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5D2B" w14:textId="658B43AC" w:rsidR="004D5599" w:rsidRPr="00821FCA" w:rsidRDefault="004D5599" w:rsidP="00821F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821FCA">
        <w:rPr>
          <w:sz w:val="28"/>
          <w:szCs w:val="28"/>
          <w:lang w:val="en-CA"/>
        </w:rPr>
        <w:fldChar w:fldCharType="begin"/>
      </w:r>
      <w:r w:rsidRPr="00821FCA">
        <w:rPr>
          <w:sz w:val="28"/>
          <w:szCs w:val="28"/>
          <w:lang w:val="en-CA"/>
        </w:rPr>
        <w:instrText xml:space="preserve"> SEQ CHAPTER \h \r 1</w:instrText>
      </w:r>
      <w:r w:rsidRPr="00821FCA">
        <w:rPr>
          <w:sz w:val="28"/>
          <w:szCs w:val="28"/>
          <w:lang w:val="en-CA"/>
        </w:rPr>
        <w:fldChar w:fldCharType="end"/>
      </w:r>
      <w:r w:rsidR="006B4713">
        <w:rPr>
          <w:b/>
          <w:bCs/>
          <w:sz w:val="28"/>
          <w:szCs w:val="28"/>
        </w:rPr>
        <w:t>3.</w:t>
      </w:r>
      <w:r w:rsidR="00640BF0">
        <w:rPr>
          <w:b/>
          <w:bCs/>
          <w:sz w:val="28"/>
          <w:szCs w:val="28"/>
        </w:rPr>
        <w:t>2</w:t>
      </w:r>
      <w:r w:rsidR="006B4713">
        <w:rPr>
          <w:b/>
          <w:bCs/>
          <w:sz w:val="28"/>
          <w:szCs w:val="28"/>
        </w:rPr>
        <w:t>2</w:t>
      </w:r>
      <w:r w:rsidR="00D66A16">
        <w:rPr>
          <w:b/>
          <w:bCs/>
          <w:sz w:val="28"/>
          <w:szCs w:val="28"/>
        </w:rPr>
        <w:t>.</w:t>
      </w:r>
      <w:r w:rsidRPr="00821FCA">
        <w:rPr>
          <w:b/>
          <w:bCs/>
          <w:sz w:val="28"/>
          <w:szCs w:val="28"/>
        </w:rPr>
        <w:t xml:space="preserve"> Ancient </w:t>
      </w:r>
      <w:r w:rsidR="00DB70AF" w:rsidRPr="00821FCA">
        <w:rPr>
          <w:b/>
          <w:bCs/>
          <w:sz w:val="28"/>
          <w:szCs w:val="28"/>
        </w:rPr>
        <w:t>Filed</w:t>
      </w:r>
      <w:r w:rsidR="00E769C0" w:rsidRPr="00821FCA">
        <w:rPr>
          <w:b/>
          <w:bCs/>
          <w:sz w:val="28"/>
          <w:szCs w:val="28"/>
        </w:rPr>
        <w:t xml:space="preserve"> </w:t>
      </w:r>
      <w:r w:rsidR="00DB70AF" w:rsidRPr="00821FCA">
        <w:rPr>
          <w:b/>
          <w:bCs/>
          <w:sz w:val="28"/>
          <w:szCs w:val="28"/>
        </w:rPr>
        <w:t>Maps, Surveys and R</w:t>
      </w:r>
      <w:r w:rsidR="00F80BBB">
        <w:rPr>
          <w:b/>
          <w:bCs/>
          <w:sz w:val="28"/>
          <w:szCs w:val="28"/>
        </w:rPr>
        <w:t>ecords</w:t>
      </w:r>
      <w:r w:rsidR="007D6B47">
        <w:rPr>
          <w:b/>
          <w:bCs/>
          <w:sz w:val="28"/>
          <w:szCs w:val="28"/>
        </w:rPr>
        <w:t xml:space="preserve"> </w:t>
      </w:r>
      <w:r w:rsidR="00F80BBB">
        <w:rPr>
          <w:b/>
          <w:bCs/>
          <w:sz w:val="28"/>
          <w:szCs w:val="28"/>
        </w:rPr>
        <w:t>Affecting Real</w:t>
      </w:r>
      <w:r w:rsidR="00DB70AF" w:rsidRPr="00821FCA">
        <w:rPr>
          <w:b/>
          <w:bCs/>
          <w:sz w:val="28"/>
          <w:szCs w:val="28"/>
        </w:rPr>
        <w:t xml:space="preserve"> Property</w:t>
      </w:r>
      <w:r w:rsidR="00A24791" w:rsidRPr="00821FCA">
        <w:rPr>
          <w:b/>
          <w:bCs/>
          <w:sz w:val="28"/>
          <w:szCs w:val="28"/>
        </w:rPr>
        <w:t xml:space="preserve"> </w:t>
      </w:r>
      <w:r w:rsidR="00EA6917" w:rsidRPr="00821FCA">
        <w:rPr>
          <w:b/>
          <w:bCs/>
          <w:sz w:val="28"/>
          <w:szCs w:val="28"/>
        </w:rPr>
        <w:t>(</w:t>
      </w:r>
      <w:r w:rsidR="00A24791" w:rsidRPr="00821FCA">
        <w:rPr>
          <w:b/>
          <w:bCs/>
          <w:sz w:val="28"/>
          <w:szCs w:val="28"/>
        </w:rPr>
        <w:t>CPLR 4522</w:t>
      </w:r>
      <w:r w:rsidR="00EA6917" w:rsidRPr="00821FCA">
        <w:rPr>
          <w:b/>
          <w:bCs/>
          <w:sz w:val="28"/>
          <w:szCs w:val="28"/>
        </w:rPr>
        <w:t>)</w:t>
      </w:r>
    </w:p>
    <w:p w14:paraId="68331F61" w14:textId="0C47C7B9" w:rsidR="005812DC" w:rsidRPr="00821FCA" w:rsidRDefault="005812DC" w:rsidP="00821F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5CEBE7B0" w14:textId="5F9D5CAC" w:rsidR="00257D85" w:rsidRPr="00821FCA" w:rsidRDefault="00EF0FE2" w:rsidP="00821FCA">
      <w:pPr>
        <w:ind w:left="720" w:right="720"/>
        <w:jc w:val="both"/>
        <w:rPr>
          <w:rFonts w:eastAsia="Times New Roman"/>
          <w:b/>
          <w:bCs/>
          <w:sz w:val="28"/>
          <w:szCs w:val="28"/>
        </w:rPr>
      </w:pPr>
      <w:r w:rsidRPr="00821FCA">
        <w:rPr>
          <w:rFonts w:eastAsia="Times New Roman"/>
          <w:b/>
          <w:bCs/>
          <w:sz w:val="28"/>
          <w:szCs w:val="28"/>
        </w:rPr>
        <w:t>All maps, surveys and official records affecting real property, which have been on file in the state in the office of the register of any county, any county clerk, any court of record or any department of the city of New York for more than ten years, are prima facie evidence of their contents.</w:t>
      </w:r>
    </w:p>
    <w:p w14:paraId="21E86C3A" w14:textId="77777777" w:rsidR="005647D8" w:rsidRPr="00821FCA" w:rsidRDefault="005647D8" w:rsidP="00821FCA">
      <w:pPr>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2309C007" w14:textId="21CD9226" w:rsidR="004D5599" w:rsidRPr="00821FCA" w:rsidRDefault="004D5599" w:rsidP="00821FCA">
      <w:pPr>
        <w:widowControl/>
        <w:tabs>
          <w:tab w:val="left" w:pos="1440"/>
          <w:tab w:val="left" w:pos="2160"/>
          <w:tab w:val="left" w:pos="2880"/>
          <w:tab w:val="left" w:pos="3600"/>
          <w:tab w:val="left" w:pos="4320"/>
          <w:tab w:val="left" w:pos="5040"/>
          <w:tab w:val="left" w:pos="5760"/>
          <w:tab w:val="left" w:pos="6480"/>
          <w:tab w:val="left" w:pos="7200"/>
        </w:tabs>
        <w:jc w:val="center"/>
        <w:rPr>
          <w:b/>
          <w:bCs/>
          <w:sz w:val="28"/>
          <w:szCs w:val="28"/>
        </w:rPr>
      </w:pPr>
      <w:r w:rsidRPr="00821FCA">
        <w:rPr>
          <w:b/>
          <w:bCs/>
          <w:sz w:val="28"/>
          <w:szCs w:val="28"/>
        </w:rPr>
        <w:t>Note</w:t>
      </w:r>
    </w:p>
    <w:p w14:paraId="06181584" w14:textId="77777777" w:rsidR="00BE5CC4" w:rsidRPr="00821FCA" w:rsidRDefault="00BE5CC4" w:rsidP="00821FCA">
      <w:pPr>
        <w:widowControl/>
        <w:tabs>
          <w:tab w:val="left" w:pos="1440"/>
          <w:tab w:val="left" w:pos="2160"/>
          <w:tab w:val="left" w:pos="2880"/>
          <w:tab w:val="left" w:pos="3600"/>
          <w:tab w:val="left" w:pos="4320"/>
          <w:tab w:val="left" w:pos="5040"/>
          <w:tab w:val="left" w:pos="5760"/>
          <w:tab w:val="left" w:pos="6480"/>
          <w:tab w:val="left" w:pos="7200"/>
        </w:tabs>
        <w:rPr>
          <w:b/>
          <w:bCs/>
          <w:sz w:val="24"/>
          <w:szCs w:val="24"/>
        </w:rPr>
      </w:pPr>
    </w:p>
    <w:p w14:paraId="40FA3C89" w14:textId="35745BAF" w:rsidR="00E7114B" w:rsidRPr="00821FCA" w:rsidRDefault="00821FCA" w:rsidP="00821FCA">
      <w:pPr>
        <w:tabs>
          <w:tab w:val="left" w:pos="720"/>
        </w:tabs>
        <w:jc w:val="both"/>
        <w:rPr>
          <w:rFonts w:eastAsia="Times New Roman"/>
          <w:sz w:val="24"/>
          <w:szCs w:val="24"/>
        </w:rPr>
      </w:pPr>
      <w:r>
        <w:rPr>
          <w:sz w:val="24"/>
          <w:szCs w:val="24"/>
        </w:rPr>
        <w:tab/>
      </w:r>
      <w:r w:rsidR="00E769C0" w:rsidRPr="00821FCA">
        <w:rPr>
          <w:sz w:val="24"/>
          <w:szCs w:val="24"/>
        </w:rPr>
        <w:t>This</w:t>
      </w:r>
      <w:r w:rsidR="00E769C0" w:rsidRPr="00821FCA">
        <w:rPr>
          <w:b/>
          <w:bCs/>
          <w:sz w:val="24"/>
          <w:szCs w:val="24"/>
        </w:rPr>
        <w:t xml:space="preserve"> </w:t>
      </w:r>
      <w:r w:rsidR="00C207FE" w:rsidRPr="00821FCA">
        <w:rPr>
          <w:rFonts w:eastAsia="Times New Roman"/>
          <w:sz w:val="24"/>
          <w:szCs w:val="24"/>
        </w:rPr>
        <w:t xml:space="preserve">rule restates verbatim CPLR 4522. </w:t>
      </w:r>
      <w:r w:rsidR="000705B8" w:rsidRPr="00821FCA">
        <w:rPr>
          <w:rFonts w:eastAsia="Times New Roman"/>
          <w:iCs/>
          <w:sz w:val="24"/>
          <w:szCs w:val="24"/>
        </w:rPr>
        <w:t>Compa</w:t>
      </w:r>
      <w:r w:rsidR="000B1E43" w:rsidRPr="00821FCA">
        <w:rPr>
          <w:rFonts w:eastAsia="Times New Roman"/>
          <w:iCs/>
          <w:sz w:val="24"/>
          <w:szCs w:val="24"/>
        </w:rPr>
        <w:t>re</w:t>
      </w:r>
      <w:r w:rsidR="000B1E43" w:rsidRPr="00821FCA">
        <w:rPr>
          <w:rFonts w:eastAsia="Times New Roman"/>
          <w:sz w:val="24"/>
          <w:szCs w:val="24"/>
        </w:rPr>
        <w:t xml:space="preserve"> Guide to N</w:t>
      </w:r>
      <w:r w:rsidR="0070552C" w:rsidRPr="00821FCA">
        <w:rPr>
          <w:rFonts w:eastAsia="Times New Roman"/>
          <w:sz w:val="24"/>
          <w:szCs w:val="24"/>
        </w:rPr>
        <w:t xml:space="preserve">ew </w:t>
      </w:r>
      <w:r w:rsidR="000B1E43" w:rsidRPr="00821FCA">
        <w:rPr>
          <w:rFonts w:eastAsia="Times New Roman"/>
          <w:sz w:val="24"/>
          <w:szCs w:val="24"/>
        </w:rPr>
        <w:t>Y</w:t>
      </w:r>
      <w:r w:rsidR="0070552C" w:rsidRPr="00821FCA">
        <w:rPr>
          <w:rFonts w:eastAsia="Times New Roman"/>
          <w:sz w:val="24"/>
          <w:szCs w:val="24"/>
        </w:rPr>
        <w:t>ork</w:t>
      </w:r>
      <w:r w:rsidR="000B1E43" w:rsidRPr="00821FCA">
        <w:rPr>
          <w:rFonts w:eastAsia="Times New Roman"/>
          <w:sz w:val="24"/>
          <w:szCs w:val="24"/>
        </w:rPr>
        <w:t xml:space="preserve"> Evidence rule </w:t>
      </w:r>
      <w:r w:rsidR="002619E4" w:rsidRPr="00821FCA">
        <w:rPr>
          <w:rFonts w:eastAsia="Times New Roman"/>
          <w:sz w:val="24"/>
          <w:szCs w:val="24"/>
        </w:rPr>
        <w:t>8.07</w:t>
      </w:r>
      <w:r w:rsidR="00C03D0A">
        <w:rPr>
          <w:rFonts w:eastAsia="Times New Roman"/>
          <w:sz w:val="24"/>
          <w:szCs w:val="24"/>
        </w:rPr>
        <w:t xml:space="preserve"> (</w:t>
      </w:r>
      <w:r w:rsidR="00451ED8" w:rsidRPr="00821FCA">
        <w:rPr>
          <w:rFonts w:eastAsia="Times New Roman"/>
          <w:sz w:val="24"/>
          <w:szCs w:val="24"/>
        </w:rPr>
        <w:t>Ancient Documents)</w:t>
      </w:r>
      <w:r w:rsidR="002619E4" w:rsidRPr="00821FCA">
        <w:rPr>
          <w:rFonts w:eastAsia="Times New Roman"/>
          <w:sz w:val="24"/>
          <w:szCs w:val="24"/>
        </w:rPr>
        <w:t>, which sets forth the</w:t>
      </w:r>
      <w:r w:rsidR="00451ED8" w:rsidRPr="00821FCA">
        <w:rPr>
          <w:rFonts w:eastAsia="Times New Roman"/>
          <w:sz w:val="24"/>
          <w:szCs w:val="24"/>
        </w:rPr>
        <w:t xml:space="preserve"> </w:t>
      </w:r>
      <w:r w:rsidR="002619E4" w:rsidRPr="00821FCA">
        <w:rPr>
          <w:rFonts w:eastAsia="Times New Roman"/>
          <w:sz w:val="24"/>
          <w:szCs w:val="24"/>
        </w:rPr>
        <w:t>common</w:t>
      </w:r>
      <w:r w:rsidR="0070552C" w:rsidRPr="00821FCA">
        <w:rPr>
          <w:rFonts w:eastAsia="Times New Roman"/>
          <w:sz w:val="24"/>
          <w:szCs w:val="24"/>
        </w:rPr>
        <w:t>-</w:t>
      </w:r>
      <w:r w:rsidR="002619E4" w:rsidRPr="00821FCA">
        <w:rPr>
          <w:rFonts w:eastAsia="Times New Roman"/>
          <w:sz w:val="24"/>
          <w:szCs w:val="24"/>
        </w:rPr>
        <w:t xml:space="preserve">law </w:t>
      </w:r>
      <w:r w:rsidR="00451ED8" w:rsidRPr="00821FCA">
        <w:rPr>
          <w:rFonts w:eastAsia="Times New Roman"/>
          <w:sz w:val="24"/>
          <w:szCs w:val="24"/>
        </w:rPr>
        <w:t xml:space="preserve">exception to the hearsay rule for </w:t>
      </w:r>
      <w:r w:rsidR="00C62876" w:rsidRPr="00821FCA">
        <w:rPr>
          <w:rFonts w:eastAsia="Times New Roman"/>
          <w:sz w:val="24"/>
          <w:szCs w:val="24"/>
        </w:rPr>
        <w:t xml:space="preserve">a statement in a document that is </w:t>
      </w:r>
      <w:r w:rsidR="00EB7F69" w:rsidRPr="00821FCA">
        <w:rPr>
          <w:rFonts w:eastAsia="Times New Roman"/>
          <w:sz w:val="24"/>
          <w:szCs w:val="24"/>
        </w:rPr>
        <w:t xml:space="preserve">proven to be in existence for more than </w:t>
      </w:r>
      <w:r w:rsidR="008B20F1" w:rsidRPr="00821FCA">
        <w:rPr>
          <w:rFonts w:eastAsia="Times New Roman"/>
          <w:sz w:val="24"/>
          <w:szCs w:val="24"/>
        </w:rPr>
        <w:t xml:space="preserve">30 </w:t>
      </w:r>
      <w:r w:rsidR="00EB7F69" w:rsidRPr="00821FCA">
        <w:rPr>
          <w:rFonts w:eastAsia="Times New Roman"/>
          <w:sz w:val="24"/>
          <w:szCs w:val="24"/>
        </w:rPr>
        <w:t>years</w:t>
      </w:r>
      <w:r w:rsidR="00673850" w:rsidRPr="00821FCA">
        <w:rPr>
          <w:rFonts w:eastAsia="Times New Roman"/>
          <w:sz w:val="24"/>
          <w:szCs w:val="24"/>
        </w:rPr>
        <w:t xml:space="preserve">; while </w:t>
      </w:r>
      <w:r w:rsidR="00300488" w:rsidRPr="00821FCA">
        <w:rPr>
          <w:rFonts w:eastAsia="Times New Roman"/>
          <w:sz w:val="24"/>
          <w:szCs w:val="24"/>
        </w:rPr>
        <w:t xml:space="preserve">that statement is </w:t>
      </w:r>
      <w:r w:rsidR="00673850" w:rsidRPr="00821FCA">
        <w:rPr>
          <w:rFonts w:eastAsia="Times New Roman"/>
          <w:sz w:val="24"/>
          <w:szCs w:val="24"/>
        </w:rPr>
        <w:t>admissible, unlike the present rule,</w:t>
      </w:r>
      <w:r w:rsidR="00300488" w:rsidRPr="00821FCA">
        <w:rPr>
          <w:rFonts w:eastAsia="Times New Roman"/>
          <w:sz w:val="24"/>
          <w:szCs w:val="24"/>
        </w:rPr>
        <w:t xml:space="preserve"> it </w:t>
      </w:r>
      <w:r w:rsidR="0074248F" w:rsidRPr="00821FCA">
        <w:rPr>
          <w:rFonts w:eastAsia="Times New Roman"/>
          <w:sz w:val="24"/>
          <w:szCs w:val="24"/>
        </w:rPr>
        <w:t xml:space="preserve">does not constitute </w:t>
      </w:r>
      <w:r w:rsidR="00300488" w:rsidRPr="00821FCA">
        <w:rPr>
          <w:rFonts w:eastAsia="Times New Roman"/>
          <w:sz w:val="24"/>
          <w:szCs w:val="24"/>
        </w:rPr>
        <w:t xml:space="preserve">prima facie evidence </w:t>
      </w:r>
      <w:r w:rsidR="0074248F" w:rsidRPr="00821FCA">
        <w:rPr>
          <w:rFonts w:eastAsia="Times New Roman"/>
          <w:sz w:val="24"/>
          <w:szCs w:val="24"/>
        </w:rPr>
        <w:t>of the truth or accuracy of the statement.</w:t>
      </w:r>
    </w:p>
    <w:p w14:paraId="6EB7EAA3" w14:textId="77777777" w:rsidR="00E7114B" w:rsidRPr="00821FCA" w:rsidRDefault="00E7114B" w:rsidP="00821FCA">
      <w:pPr>
        <w:jc w:val="both"/>
        <w:rPr>
          <w:rFonts w:eastAsia="Times New Roman"/>
          <w:sz w:val="24"/>
          <w:szCs w:val="24"/>
        </w:rPr>
      </w:pPr>
    </w:p>
    <w:p w14:paraId="22CCAE25" w14:textId="6B4A7FF2" w:rsidR="00D516AC" w:rsidRPr="00821FCA" w:rsidRDefault="00821FCA" w:rsidP="00821FCA">
      <w:pPr>
        <w:tabs>
          <w:tab w:val="left" w:pos="720"/>
        </w:tabs>
        <w:jc w:val="both"/>
        <w:rPr>
          <w:sz w:val="24"/>
          <w:szCs w:val="24"/>
        </w:rPr>
      </w:pPr>
      <w:r>
        <w:rPr>
          <w:rFonts w:eastAsia="Times New Roman"/>
          <w:sz w:val="24"/>
          <w:szCs w:val="24"/>
        </w:rPr>
        <w:tab/>
      </w:r>
      <w:r w:rsidR="002E2A23" w:rsidRPr="00821FCA">
        <w:rPr>
          <w:rFonts w:eastAsia="Times New Roman"/>
          <w:sz w:val="24"/>
          <w:szCs w:val="24"/>
        </w:rPr>
        <w:t xml:space="preserve">CPLR 4522 </w:t>
      </w:r>
      <w:r w:rsidR="001433C9" w:rsidRPr="00821FCA">
        <w:rPr>
          <w:rFonts w:eastAsia="Times New Roman"/>
          <w:sz w:val="24"/>
          <w:szCs w:val="24"/>
        </w:rPr>
        <w:t>provides that</w:t>
      </w:r>
      <w:r w:rsidR="00C207FE" w:rsidRPr="00821FCA">
        <w:rPr>
          <w:sz w:val="24"/>
          <w:szCs w:val="24"/>
        </w:rPr>
        <w:t xml:space="preserve"> maps, surveys</w:t>
      </w:r>
      <w:r w:rsidR="00390EC0" w:rsidRPr="00821FCA">
        <w:rPr>
          <w:sz w:val="24"/>
          <w:szCs w:val="24"/>
        </w:rPr>
        <w:t>,</w:t>
      </w:r>
      <w:r w:rsidR="00C207FE" w:rsidRPr="00821FCA">
        <w:rPr>
          <w:sz w:val="24"/>
          <w:szCs w:val="24"/>
        </w:rPr>
        <w:t xml:space="preserve"> and official records affecting real property, which have been on file in the state in </w:t>
      </w:r>
      <w:r w:rsidR="000E78F4" w:rsidRPr="00821FCA">
        <w:rPr>
          <w:sz w:val="24"/>
          <w:szCs w:val="24"/>
        </w:rPr>
        <w:t>an office specified in the rule</w:t>
      </w:r>
      <w:r w:rsidR="00202861" w:rsidRPr="00821FCA">
        <w:rPr>
          <w:sz w:val="24"/>
          <w:szCs w:val="24"/>
        </w:rPr>
        <w:t xml:space="preserve"> </w:t>
      </w:r>
      <w:r w:rsidR="00C207FE" w:rsidRPr="00821FCA">
        <w:rPr>
          <w:sz w:val="24"/>
          <w:szCs w:val="24"/>
        </w:rPr>
        <w:t xml:space="preserve">for more than </w:t>
      </w:r>
      <w:r w:rsidR="008B20F1" w:rsidRPr="00821FCA">
        <w:rPr>
          <w:sz w:val="24"/>
          <w:szCs w:val="24"/>
        </w:rPr>
        <w:t xml:space="preserve">10 </w:t>
      </w:r>
      <w:r w:rsidR="00C207FE" w:rsidRPr="00821FCA">
        <w:rPr>
          <w:sz w:val="24"/>
          <w:szCs w:val="24"/>
        </w:rPr>
        <w:t>years</w:t>
      </w:r>
      <w:r w:rsidR="00877E2C" w:rsidRPr="00821FCA">
        <w:rPr>
          <w:sz w:val="24"/>
          <w:szCs w:val="24"/>
        </w:rPr>
        <w:t>,</w:t>
      </w:r>
      <w:r w:rsidR="00202861" w:rsidRPr="00821FCA">
        <w:rPr>
          <w:sz w:val="24"/>
          <w:szCs w:val="24"/>
        </w:rPr>
        <w:t xml:space="preserve"> </w:t>
      </w:r>
      <w:r w:rsidR="006A5C64" w:rsidRPr="00821FCA">
        <w:rPr>
          <w:sz w:val="24"/>
          <w:szCs w:val="24"/>
        </w:rPr>
        <w:t>are</w:t>
      </w:r>
      <w:r w:rsidR="00202861" w:rsidRPr="00821FCA">
        <w:rPr>
          <w:sz w:val="24"/>
          <w:szCs w:val="24"/>
        </w:rPr>
        <w:t xml:space="preserve"> </w:t>
      </w:r>
      <w:r w:rsidR="00022D02" w:rsidRPr="00821FCA">
        <w:rPr>
          <w:sz w:val="24"/>
          <w:szCs w:val="24"/>
        </w:rPr>
        <w:t>“</w:t>
      </w:r>
      <w:r w:rsidR="00202861" w:rsidRPr="00821FCA">
        <w:rPr>
          <w:sz w:val="24"/>
          <w:szCs w:val="24"/>
        </w:rPr>
        <w:t>prima facie evidence</w:t>
      </w:r>
      <w:r w:rsidR="00022D02" w:rsidRPr="00821FCA">
        <w:rPr>
          <w:sz w:val="24"/>
          <w:szCs w:val="24"/>
        </w:rPr>
        <w:t>”</w:t>
      </w:r>
      <w:r w:rsidR="00202861" w:rsidRPr="00821FCA">
        <w:rPr>
          <w:sz w:val="24"/>
          <w:szCs w:val="24"/>
        </w:rPr>
        <w:t xml:space="preserve"> of th</w:t>
      </w:r>
      <w:r w:rsidR="00386639" w:rsidRPr="00821FCA">
        <w:rPr>
          <w:sz w:val="24"/>
          <w:szCs w:val="24"/>
        </w:rPr>
        <w:t>eir contents</w:t>
      </w:r>
      <w:r w:rsidR="003276FE" w:rsidRPr="00821FCA">
        <w:rPr>
          <w:sz w:val="24"/>
          <w:szCs w:val="24"/>
        </w:rPr>
        <w:t xml:space="preserve">. By making those items </w:t>
      </w:r>
      <w:r w:rsidR="00022D02" w:rsidRPr="00821FCA">
        <w:rPr>
          <w:sz w:val="24"/>
          <w:szCs w:val="24"/>
        </w:rPr>
        <w:t>“</w:t>
      </w:r>
      <w:r w:rsidR="003276FE" w:rsidRPr="00821FCA">
        <w:rPr>
          <w:sz w:val="24"/>
          <w:szCs w:val="24"/>
        </w:rPr>
        <w:t>prima facie evidence</w:t>
      </w:r>
      <w:r w:rsidR="00022D02" w:rsidRPr="00821FCA">
        <w:rPr>
          <w:sz w:val="24"/>
          <w:szCs w:val="24"/>
        </w:rPr>
        <w:t>”</w:t>
      </w:r>
      <w:r w:rsidR="00BC49C2" w:rsidRPr="00821FCA">
        <w:rPr>
          <w:sz w:val="24"/>
          <w:szCs w:val="24"/>
        </w:rPr>
        <w:t xml:space="preserve"> of their contents,</w:t>
      </w:r>
      <w:r w:rsidR="00C64D1A" w:rsidRPr="00821FCA">
        <w:rPr>
          <w:sz w:val="24"/>
          <w:szCs w:val="24"/>
        </w:rPr>
        <w:t xml:space="preserve"> the rule </w:t>
      </w:r>
      <w:r w:rsidR="008F3ACA" w:rsidRPr="00821FCA">
        <w:rPr>
          <w:sz w:val="24"/>
          <w:szCs w:val="24"/>
        </w:rPr>
        <w:t>thereby establishes</w:t>
      </w:r>
      <w:r w:rsidR="005D3DC1" w:rsidRPr="00821FCA">
        <w:rPr>
          <w:sz w:val="24"/>
          <w:szCs w:val="24"/>
        </w:rPr>
        <w:t xml:space="preserve"> a hearsay exception </w:t>
      </w:r>
      <w:r w:rsidR="00E7114B" w:rsidRPr="00821FCA">
        <w:rPr>
          <w:sz w:val="24"/>
          <w:szCs w:val="24"/>
        </w:rPr>
        <w:t>for those items.</w:t>
      </w:r>
    </w:p>
    <w:p w14:paraId="24B81D62" w14:textId="77777777" w:rsidR="00E7114B" w:rsidRPr="00821FCA" w:rsidRDefault="00E7114B" w:rsidP="00821FCA">
      <w:pPr>
        <w:jc w:val="both"/>
        <w:rPr>
          <w:strike/>
          <w:sz w:val="24"/>
          <w:szCs w:val="24"/>
        </w:rPr>
      </w:pPr>
    </w:p>
    <w:p w14:paraId="4603653B" w14:textId="0449BBAA" w:rsidR="00E769C0" w:rsidRPr="001A070E" w:rsidRDefault="00821FCA" w:rsidP="00821FCA">
      <w:pPr>
        <w:tabs>
          <w:tab w:val="left" w:pos="720"/>
        </w:tabs>
        <w:jc w:val="both"/>
        <w:rPr>
          <w:rFonts w:eastAsia="Calibri"/>
          <w:sz w:val="24"/>
          <w:szCs w:val="24"/>
        </w:rPr>
      </w:pPr>
      <w:r>
        <w:rPr>
          <w:rFonts w:eastAsia="Times New Roman"/>
          <w:sz w:val="24"/>
          <w:szCs w:val="24"/>
        </w:rPr>
        <w:tab/>
      </w:r>
      <w:r w:rsidR="002B4907" w:rsidRPr="00821FCA">
        <w:rPr>
          <w:rFonts w:eastAsia="Times New Roman"/>
          <w:sz w:val="24"/>
          <w:szCs w:val="24"/>
        </w:rPr>
        <w:t xml:space="preserve">The </w:t>
      </w:r>
      <w:r w:rsidR="0017038A" w:rsidRPr="00821FCA">
        <w:rPr>
          <w:rFonts w:eastAsia="Times New Roman"/>
          <w:sz w:val="24"/>
          <w:szCs w:val="24"/>
        </w:rPr>
        <w:t xml:space="preserve">Appellate Division </w:t>
      </w:r>
      <w:r w:rsidR="00C207FE" w:rsidRPr="00821FCA">
        <w:rPr>
          <w:rFonts w:eastAsia="Times New Roman"/>
          <w:sz w:val="24"/>
          <w:szCs w:val="24"/>
        </w:rPr>
        <w:t xml:space="preserve">has held that </w:t>
      </w:r>
      <w:r w:rsidR="00A550E7" w:rsidRPr="00821FCA">
        <w:rPr>
          <w:rFonts w:eastAsia="Times New Roman"/>
          <w:sz w:val="24"/>
          <w:szCs w:val="24"/>
        </w:rPr>
        <w:t xml:space="preserve">the “prima facie” </w:t>
      </w:r>
      <w:r w:rsidR="00C207FE" w:rsidRPr="00821FCA">
        <w:rPr>
          <w:rFonts w:eastAsia="Times New Roman"/>
          <w:sz w:val="24"/>
          <w:szCs w:val="24"/>
        </w:rPr>
        <w:t xml:space="preserve">language creates a rebuttable presumption </w:t>
      </w:r>
      <w:r w:rsidR="00E408D8" w:rsidRPr="00821FCA">
        <w:rPr>
          <w:rFonts w:eastAsia="Times New Roman"/>
          <w:sz w:val="24"/>
          <w:szCs w:val="24"/>
        </w:rPr>
        <w:t xml:space="preserve">of the accuracy of </w:t>
      </w:r>
      <w:r w:rsidR="0069690B" w:rsidRPr="00821FCA">
        <w:rPr>
          <w:rFonts w:eastAsia="Times New Roman"/>
          <w:sz w:val="24"/>
          <w:szCs w:val="24"/>
        </w:rPr>
        <w:t xml:space="preserve">the document </w:t>
      </w:r>
      <w:r w:rsidR="00C207FE" w:rsidRPr="00821FCA">
        <w:rPr>
          <w:rFonts w:eastAsia="Times New Roman"/>
          <w:sz w:val="24"/>
          <w:szCs w:val="24"/>
        </w:rPr>
        <w:t>(</w:t>
      </w:r>
      <w:r w:rsidR="00C207FE" w:rsidRPr="00821FCA">
        <w:rPr>
          <w:rFonts w:eastAsia="Times New Roman"/>
          <w:i/>
          <w:iCs/>
          <w:sz w:val="24"/>
          <w:szCs w:val="24"/>
        </w:rPr>
        <w:t>Knox Vil</w:t>
      </w:r>
      <w:r w:rsidR="0070552C" w:rsidRPr="00821FCA">
        <w:rPr>
          <w:rFonts w:eastAsia="Times New Roman"/>
          <w:i/>
          <w:iCs/>
          <w:sz w:val="24"/>
          <w:szCs w:val="24"/>
        </w:rPr>
        <w:t xml:space="preserve">. </w:t>
      </w:r>
      <w:r w:rsidR="00C207FE" w:rsidRPr="00821FCA">
        <w:rPr>
          <w:rFonts w:eastAsia="Times New Roman"/>
          <w:i/>
          <w:iCs/>
          <w:sz w:val="24"/>
          <w:szCs w:val="24"/>
        </w:rPr>
        <w:t>Assoc. v Town of New Windsor</w:t>
      </w:r>
      <w:r w:rsidR="00C207FE" w:rsidRPr="00821FCA">
        <w:rPr>
          <w:rFonts w:eastAsia="Times New Roman"/>
          <w:sz w:val="24"/>
          <w:szCs w:val="24"/>
        </w:rPr>
        <w:t>, 219 AD2d 585, 586 [2d Dept 1995]</w:t>
      </w:r>
      <w:r w:rsidR="00145C5B" w:rsidRPr="00821FCA">
        <w:rPr>
          <w:rFonts w:eastAsia="Times New Roman"/>
          <w:sz w:val="24"/>
          <w:szCs w:val="24"/>
        </w:rPr>
        <w:t xml:space="preserve"> [“the defendants overcame the presumption of accuracy afforded to the ancient documents produced by the plaintiff </w:t>
      </w:r>
      <w:r w:rsidR="00145C5B" w:rsidRPr="00821FCA">
        <w:rPr>
          <w:rFonts w:eastAsia="Times New Roman"/>
          <w:iCs/>
          <w:sz w:val="24"/>
          <w:szCs w:val="24"/>
        </w:rPr>
        <w:t>(</w:t>
      </w:r>
      <w:r w:rsidR="00145C5B" w:rsidRPr="00821FCA">
        <w:rPr>
          <w:rFonts w:eastAsia="Times New Roman"/>
          <w:i/>
          <w:iCs/>
          <w:sz w:val="24"/>
          <w:szCs w:val="24"/>
        </w:rPr>
        <w:t>see,</w:t>
      </w:r>
      <w:r w:rsidR="00145C5B" w:rsidRPr="00821FCA">
        <w:rPr>
          <w:rFonts w:eastAsia="Times New Roman"/>
          <w:sz w:val="24"/>
          <w:szCs w:val="24"/>
        </w:rPr>
        <w:t> CPLR 4522</w:t>
      </w:r>
      <w:r w:rsidR="0070552C" w:rsidRPr="00821FCA">
        <w:rPr>
          <w:rFonts w:eastAsia="Times New Roman"/>
          <w:sz w:val="24"/>
          <w:szCs w:val="24"/>
        </w:rPr>
        <w:t xml:space="preserve"> . . .</w:t>
      </w:r>
      <w:r w:rsidR="00140B89" w:rsidRPr="00821FCA">
        <w:rPr>
          <w:rFonts w:eastAsia="Times New Roman"/>
          <w:sz w:val="24"/>
          <w:szCs w:val="24"/>
        </w:rPr>
        <w:t>)”];</w:t>
      </w:r>
      <w:r w:rsidR="00C207FE" w:rsidRPr="00821FCA">
        <w:rPr>
          <w:rFonts w:eastAsia="Times New Roman"/>
          <w:i/>
          <w:iCs/>
          <w:sz w:val="24"/>
          <w:szCs w:val="24"/>
        </w:rPr>
        <w:t xml:space="preserve"> Berman v Golden</w:t>
      </w:r>
      <w:r w:rsidR="00C207FE" w:rsidRPr="00821FCA">
        <w:rPr>
          <w:rFonts w:eastAsia="Times New Roman"/>
          <w:sz w:val="24"/>
          <w:szCs w:val="24"/>
        </w:rPr>
        <w:t>, 131 AD2d 416, 417 [2d Dept</w:t>
      </w:r>
      <w:r w:rsidR="00A550E7" w:rsidRPr="00821FCA">
        <w:rPr>
          <w:rFonts w:eastAsia="Times New Roman"/>
          <w:sz w:val="24"/>
          <w:szCs w:val="24"/>
        </w:rPr>
        <w:t xml:space="preserve"> </w:t>
      </w:r>
      <w:r w:rsidR="00C207FE" w:rsidRPr="00821FCA">
        <w:rPr>
          <w:rFonts w:eastAsia="Times New Roman"/>
          <w:sz w:val="24"/>
          <w:szCs w:val="24"/>
        </w:rPr>
        <w:t>1987]</w:t>
      </w:r>
      <w:r w:rsidR="003156DC" w:rsidRPr="00821FCA">
        <w:rPr>
          <w:rFonts w:eastAsia="Times New Roman"/>
          <w:sz w:val="24"/>
          <w:szCs w:val="24"/>
        </w:rPr>
        <w:t xml:space="preserve"> [evidence was “insufficient to rebut the presumption of accuracy</w:t>
      </w:r>
      <w:r w:rsidR="003132E6" w:rsidRPr="00821FCA">
        <w:rPr>
          <w:rFonts w:eastAsia="Times New Roman"/>
          <w:sz w:val="24"/>
          <w:szCs w:val="24"/>
        </w:rPr>
        <w:t xml:space="preserve"> </w:t>
      </w:r>
      <w:r w:rsidR="003156DC" w:rsidRPr="00821FCA">
        <w:rPr>
          <w:rFonts w:eastAsia="Times New Roman"/>
          <w:sz w:val="24"/>
          <w:szCs w:val="24"/>
        </w:rPr>
        <w:t>which attaches pursuant to </w:t>
      </w:r>
      <w:hyperlink r:id="rId7" w:history="1">
        <w:r w:rsidR="003156DC" w:rsidRPr="00821FCA">
          <w:rPr>
            <w:rStyle w:val="Hyperlink"/>
            <w:rFonts w:eastAsia="Times New Roman"/>
            <w:color w:val="auto"/>
            <w:sz w:val="24"/>
            <w:szCs w:val="24"/>
            <w:u w:val="none"/>
          </w:rPr>
          <w:t>CPLR 4522</w:t>
        </w:r>
      </w:hyperlink>
      <w:r w:rsidR="003156DC" w:rsidRPr="00821FCA">
        <w:rPr>
          <w:rFonts w:eastAsia="Times New Roman"/>
          <w:sz w:val="24"/>
          <w:szCs w:val="24"/>
        </w:rPr>
        <w:t> to the description of the property conveyed by that deed</w:t>
      </w:r>
      <w:r w:rsidR="00A21E36" w:rsidRPr="00821FCA">
        <w:rPr>
          <w:rFonts w:eastAsia="Times New Roman"/>
          <w:sz w:val="24"/>
          <w:szCs w:val="24"/>
        </w:rPr>
        <w:t>”</w:t>
      </w:r>
      <w:r w:rsidR="0070552C" w:rsidRPr="00821FCA">
        <w:rPr>
          <w:rFonts w:eastAsia="Times New Roman"/>
          <w:sz w:val="24"/>
          <w:szCs w:val="24"/>
        </w:rPr>
        <w:t>]</w:t>
      </w:r>
      <w:r w:rsidR="006B4713" w:rsidRPr="006B4713">
        <w:rPr>
          <w:rFonts w:eastAsia="Times New Roman"/>
          <w:i/>
          <w:iCs/>
          <w:sz w:val="24"/>
          <w:szCs w:val="24"/>
        </w:rPr>
        <w:t xml:space="preserve"> See</w:t>
      </w:r>
      <w:r w:rsidR="006B4713" w:rsidRPr="006B4713">
        <w:rPr>
          <w:rFonts w:eastAsia="Times New Roman"/>
          <w:sz w:val="24"/>
          <w:szCs w:val="24"/>
        </w:rPr>
        <w:t xml:space="preserve"> </w:t>
      </w:r>
      <w:r w:rsidR="006B4713" w:rsidRPr="006B4713">
        <w:rPr>
          <w:rFonts w:eastAsia="Calibri"/>
          <w:sz w:val="24"/>
          <w:szCs w:val="24"/>
          <w:lang w:val="x-none"/>
        </w:rPr>
        <w:t xml:space="preserve">Vincent C. Alexander, Practice Commentaries, McKinney’s Cons Laws of NY, Book 7B, CPLR </w:t>
      </w:r>
      <w:r w:rsidR="006B4713" w:rsidRPr="006B4713">
        <w:rPr>
          <w:rFonts w:eastAsia="Calibri"/>
          <w:sz w:val="24"/>
          <w:szCs w:val="24"/>
        </w:rPr>
        <w:t>C4518:9.)</w:t>
      </w:r>
    </w:p>
    <w:sectPr w:rsidR="00E769C0" w:rsidRPr="001A070E" w:rsidSect="00821FCA">
      <w:type w:val="continuous"/>
      <w:pgSz w:w="12240" w:h="15840"/>
      <w:pgMar w:top="1440" w:right="2160" w:bottom="1440" w:left="216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39867" w14:textId="77777777" w:rsidR="000652F9" w:rsidRDefault="000652F9" w:rsidP="009B18A6">
      <w:r>
        <w:separator/>
      </w:r>
    </w:p>
  </w:endnote>
  <w:endnote w:type="continuationSeparator" w:id="0">
    <w:p w14:paraId="2129E9DC" w14:textId="77777777" w:rsidR="000652F9" w:rsidRDefault="000652F9" w:rsidP="009B18A6">
      <w:r>
        <w:continuationSeparator/>
      </w:r>
    </w:p>
  </w:endnote>
  <w:endnote w:type="continuationNotice" w:id="1">
    <w:p w14:paraId="06D87863" w14:textId="77777777" w:rsidR="00D66A16" w:rsidRDefault="00D66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84CBD" w14:textId="77777777" w:rsidR="000652F9" w:rsidRDefault="000652F9" w:rsidP="009B18A6">
      <w:r>
        <w:separator/>
      </w:r>
    </w:p>
  </w:footnote>
  <w:footnote w:type="continuationSeparator" w:id="0">
    <w:p w14:paraId="48B89DE2" w14:textId="77777777" w:rsidR="000652F9" w:rsidRDefault="000652F9" w:rsidP="009B18A6">
      <w:r>
        <w:continuationSeparator/>
      </w:r>
    </w:p>
  </w:footnote>
  <w:footnote w:type="continuationNotice" w:id="1">
    <w:p w14:paraId="7DD52728" w14:textId="77777777" w:rsidR="00D66A16" w:rsidRDefault="00D66A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768EC"/>
    <w:multiLevelType w:val="multilevel"/>
    <w:tmpl w:val="C1A0B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11427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OyMLAwMjcxNLAwNzdU0lEKTi0uzszPAykwqgUAb7EaiSwAAAA="/>
  </w:docVars>
  <w:rsids>
    <w:rsidRoot w:val="006D25C1"/>
    <w:rsid w:val="00022D02"/>
    <w:rsid w:val="000241DB"/>
    <w:rsid w:val="00064BE7"/>
    <w:rsid w:val="000652F9"/>
    <w:rsid w:val="000705B8"/>
    <w:rsid w:val="00086BDA"/>
    <w:rsid w:val="00094982"/>
    <w:rsid w:val="000B1E43"/>
    <w:rsid w:val="000B2A52"/>
    <w:rsid w:val="000C44C2"/>
    <w:rsid w:val="000C4F6D"/>
    <w:rsid w:val="000C6576"/>
    <w:rsid w:val="000E78F4"/>
    <w:rsid w:val="000F1FA8"/>
    <w:rsid w:val="00102E6B"/>
    <w:rsid w:val="0010745C"/>
    <w:rsid w:val="00140B89"/>
    <w:rsid w:val="001433C9"/>
    <w:rsid w:val="001456E0"/>
    <w:rsid w:val="00145C5B"/>
    <w:rsid w:val="00155D6B"/>
    <w:rsid w:val="0017038A"/>
    <w:rsid w:val="001A070E"/>
    <w:rsid w:val="001A7DD7"/>
    <w:rsid w:val="001C55D4"/>
    <w:rsid w:val="001E254A"/>
    <w:rsid w:val="00202861"/>
    <w:rsid w:val="00202C26"/>
    <w:rsid w:val="00257D85"/>
    <w:rsid w:val="002619E4"/>
    <w:rsid w:val="002A5250"/>
    <w:rsid w:val="002B024F"/>
    <w:rsid w:val="002B4907"/>
    <w:rsid w:val="002C0116"/>
    <w:rsid w:val="002E2A23"/>
    <w:rsid w:val="00300488"/>
    <w:rsid w:val="00312C2D"/>
    <w:rsid w:val="003132E6"/>
    <w:rsid w:val="003156DC"/>
    <w:rsid w:val="003276FE"/>
    <w:rsid w:val="00384AB1"/>
    <w:rsid w:val="00386639"/>
    <w:rsid w:val="00390EC0"/>
    <w:rsid w:val="003F53A5"/>
    <w:rsid w:val="00431243"/>
    <w:rsid w:val="00451ED8"/>
    <w:rsid w:val="004922D0"/>
    <w:rsid w:val="004A544B"/>
    <w:rsid w:val="004C280B"/>
    <w:rsid w:val="004D5599"/>
    <w:rsid w:val="004E7D9A"/>
    <w:rsid w:val="00515F39"/>
    <w:rsid w:val="0052046D"/>
    <w:rsid w:val="005647D8"/>
    <w:rsid w:val="005812DC"/>
    <w:rsid w:val="005A019E"/>
    <w:rsid w:val="005C4B21"/>
    <w:rsid w:val="005D3DC1"/>
    <w:rsid w:val="00612BA4"/>
    <w:rsid w:val="00621797"/>
    <w:rsid w:val="0063109A"/>
    <w:rsid w:val="00640BF0"/>
    <w:rsid w:val="00673850"/>
    <w:rsid w:val="006873DD"/>
    <w:rsid w:val="0069690B"/>
    <w:rsid w:val="006A5C64"/>
    <w:rsid w:val="006B4713"/>
    <w:rsid w:val="006D25C1"/>
    <w:rsid w:val="0070552C"/>
    <w:rsid w:val="00735BC3"/>
    <w:rsid w:val="0074248F"/>
    <w:rsid w:val="007460E8"/>
    <w:rsid w:val="00771FF9"/>
    <w:rsid w:val="00777272"/>
    <w:rsid w:val="007B5EF7"/>
    <w:rsid w:val="007D6B47"/>
    <w:rsid w:val="00821FCA"/>
    <w:rsid w:val="008432D6"/>
    <w:rsid w:val="00876A62"/>
    <w:rsid w:val="00877E2C"/>
    <w:rsid w:val="008B20F1"/>
    <w:rsid w:val="008C5F16"/>
    <w:rsid w:val="008D4EF5"/>
    <w:rsid w:val="008D5905"/>
    <w:rsid w:val="008F0914"/>
    <w:rsid w:val="008F3ACA"/>
    <w:rsid w:val="008F62D3"/>
    <w:rsid w:val="00930470"/>
    <w:rsid w:val="00934363"/>
    <w:rsid w:val="00961D6F"/>
    <w:rsid w:val="00995C41"/>
    <w:rsid w:val="009B18A6"/>
    <w:rsid w:val="009D2F8E"/>
    <w:rsid w:val="009D7A56"/>
    <w:rsid w:val="009F2A0B"/>
    <w:rsid w:val="00A02769"/>
    <w:rsid w:val="00A21E36"/>
    <w:rsid w:val="00A22C9B"/>
    <w:rsid w:val="00A24791"/>
    <w:rsid w:val="00A25501"/>
    <w:rsid w:val="00A550E7"/>
    <w:rsid w:val="00A90CF0"/>
    <w:rsid w:val="00AE0F1F"/>
    <w:rsid w:val="00AF34C2"/>
    <w:rsid w:val="00B000DD"/>
    <w:rsid w:val="00B01ADD"/>
    <w:rsid w:val="00B10FE5"/>
    <w:rsid w:val="00B1129C"/>
    <w:rsid w:val="00B3220D"/>
    <w:rsid w:val="00B32893"/>
    <w:rsid w:val="00B441AF"/>
    <w:rsid w:val="00B47918"/>
    <w:rsid w:val="00B52551"/>
    <w:rsid w:val="00B626CE"/>
    <w:rsid w:val="00B71DEB"/>
    <w:rsid w:val="00BA18EE"/>
    <w:rsid w:val="00BB3921"/>
    <w:rsid w:val="00BC49C2"/>
    <w:rsid w:val="00BD61AF"/>
    <w:rsid w:val="00BE5CC4"/>
    <w:rsid w:val="00BF760C"/>
    <w:rsid w:val="00C03D0A"/>
    <w:rsid w:val="00C207FE"/>
    <w:rsid w:val="00C24985"/>
    <w:rsid w:val="00C5544B"/>
    <w:rsid w:val="00C62876"/>
    <w:rsid w:val="00C64D1A"/>
    <w:rsid w:val="00C75BC9"/>
    <w:rsid w:val="00C91FBB"/>
    <w:rsid w:val="00D02ACD"/>
    <w:rsid w:val="00D516AC"/>
    <w:rsid w:val="00D66A16"/>
    <w:rsid w:val="00D75E72"/>
    <w:rsid w:val="00D91653"/>
    <w:rsid w:val="00DB70AF"/>
    <w:rsid w:val="00DC1A83"/>
    <w:rsid w:val="00DD3A1D"/>
    <w:rsid w:val="00DD77A7"/>
    <w:rsid w:val="00E01F0B"/>
    <w:rsid w:val="00E14980"/>
    <w:rsid w:val="00E3697E"/>
    <w:rsid w:val="00E408D8"/>
    <w:rsid w:val="00E53F13"/>
    <w:rsid w:val="00E7114B"/>
    <w:rsid w:val="00E769C0"/>
    <w:rsid w:val="00E92539"/>
    <w:rsid w:val="00EA6917"/>
    <w:rsid w:val="00EB7F69"/>
    <w:rsid w:val="00EE574C"/>
    <w:rsid w:val="00EF0FE2"/>
    <w:rsid w:val="00F164EB"/>
    <w:rsid w:val="00F41D09"/>
    <w:rsid w:val="00F7545D"/>
    <w:rsid w:val="00F80BBB"/>
    <w:rsid w:val="00F94CE8"/>
    <w:rsid w:val="00FB15F0"/>
    <w:rsid w:val="00FE63A3"/>
    <w:rsid w:val="00F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121AA"/>
  <w14:defaultImageDpi w14:val="0"/>
  <w15:docId w15:val="{5C80C0AD-30B4-4B3B-8197-33B16B92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8A6"/>
    <w:pPr>
      <w:tabs>
        <w:tab w:val="center" w:pos="4680"/>
        <w:tab w:val="right" w:pos="9360"/>
      </w:tabs>
    </w:pPr>
  </w:style>
  <w:style w:type="character" w:customStyle="1" w:styleId="HeaderChar">
    <w:name w:val="Header Char"/>
    <w:basedOn w:val="DefaultParagraphFont"/>
    <w:link w:val="Header"/>
    <w:uiPriority w:val="99"/>
    <w:locked/>
    <w:rsid w:val="009B18A6"/>
    <w:rPr>
      <w:rFonts w:ascii="Times New Roman" w:hAnsi="Times New Roman" w:cs="Times New Roman"/>
      <w:sz w:val="20"/>
      <w:szCs w:val="20"/>
    </w:rPr>
  </w:style>
  <w:style w:type="paragraph" w:styleId="Footer">
    <w:name w:val="footer"/>
    <w:basedOn w:val="Normal"/>
    <w:link w:val="FooterChar"/>
    <w:uiPriority w:val="99"/>
    <w:unhideWhenUsed/>
    <w:rsid w:val="009B18A6"/>
    <w:pPr>
      <w:tabs>
        <w:tab w:val="center" w:pos="4680"/>
        <w:tab w:val="right" w:pos="9360"/>
      </w:tabs>
    </w:pPr>
  </w:style>
  <w:style w:type="character" w:customStyle="1" w:styleId="FooterChar">
    <w:name w:val="Footer Char"/>
    <w:basedOn w:val="DefaultParagraphFont"/>
    <w:link w:val="Footer"/>
    <w:uiPriority w:val="99"/>
    <w:locked/>
    <w:rsid w:val="009B18A6"/>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61D6F"/>
    <w:rPr>
      <w:rFonts w:cs="Times New Roman"/>
      <w:sz w:val="16"/>
      <w:szCs w:val="16"/>
    </w:rPr>
  </w:style>
  <w:style w:type="paragraph" w:styleId="CommentText">
    <w:name w:val="annotation text"/>
    <w:basedOn w:val="Normal"/>
    <w:link w:val="CommentTextChar"/>
    <w:uiPriority w:val="99"/>
    <w:semiHidden/>
    <w:unhideWhenUsed/>
    <w:rsid w:val="00961D6F"/>
  </w:style>
  <w:style w:type="character" w:customStyle="1" w:styleId="CommentTextChar">
    <w:name w:val="Comment Text Char"/>
    <w:basedOn w:val="DefaultParagraphFont"/>
    <w:link w:val="CommentText"/>
    <w:uiPriority w:val="99"/>
    <w:semiHidden/>
    <w:locked/>
    <w:rsid w:val="00961D6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1D6F"/>
    <w:rPr>
      <w:b/>
      <w:bCs/>
    </w:rPr>
  </w:style>
  <w:style w:type="character" w:customStyle="1" w:styleId="CommentSubjectChar">
    <w:name w:val="Comment Subject Char"/>
    <w:basedOn w:val="CommentTextChar"/>
    <w:link w:val="CommentSubject"/>
    <w:uiPriority w:val="99"/>
    <w:semiHidden/>
    <w:locked/>
    <w:rsid w:val="00961D6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61D6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61D6F"/>
    <w:rPr>
      <w:rFonts w:ascii="Segoe UI" w:hAnsi="Segoe UI" w:cs="Segoe UI"/>
      <w:sz w:val="18"/>
      <w:szCs w:val="18"/>
    </w:rPr>
  </w:style>
  <w:style w:type="paragraph" w:styleId="FootnoteText">
    <w:name w:val="footnote text"/>
    <w:basedOn w:val="Normal"/>
    <w:link w:val="FootnoteTextChar"/>
    <w:uiPriority w:val="99"/>
    <w:semiHidden/>
    <w:unhideWhenUsed/>
    <w:rsid w:val="00FF3A67"/>
  </w:style>
  <w:style w:type="character" w:customStyle="1" w:styleId="FootnoteTextChar">
    <w:name w:val="Footnote Text Char"/>
    <w:basedOn w:val="DefaultParagraphFont"/>
    <w:link w:val="FootnoteText"/>
    <w:uiPriority w:val="99"/>
    <w:semiHidden/>
    <w:rsid w:val="00FF3A67"/>
    <w:rPr>
      <w:rFonts w:ascii="Times New Roman" w:hAnsi="Times New Roman"/>
      <w:sz w:val="20"/>
      <w:szCs w:val="20"/>
    </w:rPr>
  </w:style>
  <w:style w:type="character" w:styleId="FootnoteReference">
    <w:name w:val="footnote reference"/>
    <w:basedOn w:val="DefaultParagraphFont"/>
    <w:uiPriority w:val="99"/>
    <w:semiHidden/>
    <w:unhideWhenUsed/>
    <w:rsid w:val="00FF3A67"/>
    <w:rPr>
      <w:rFonts w:cs="Times New Roman"/>
      <w:vertAlign w:val="superscript"/>
    </w:rPr>
  </w:style>
  <w:style w:type="character" w:styleId="Hyperlink">
    <w:name w:val="Hyperlink"/>
    <w:basedOn w:val="DefaultParagraphFont"/>
    <w:uiPriority w:val="99"/>
    <w:unhideWhenUsed/>
    <w:rsid w:val="003156DC"/>
    <w:rPr>
      <w:color w:val="0563C1" w:themeColor="hyperlink"/>
      <w:u w:val="single"/>
    </w:rPr>
  </w:style>
  <w:style w:type="character" w:styleId="UnresolvedMention">
    <w:name w:val="Unresolved Mention"/>
    <w:basedOn w:val="DefaultParagraphFont"/>
    <w:uiPriority w:val="99"/>
    <w:semiHidden/>
    <w:unhideWhenUsed/>
    <w:rsid w:val="003156DC"/>
    <w:rPr>
      <w:color w:val="605E5C"/>
      <w:shd w:val="clear" w:color="auto" w:fill="E1DFDD"/>
    </w:rPr>
  </w:style>
  <w:style w:type="character" w:styleId="Strong">
    <w:name w:val="Strong"/>
    <w:basedOn w:val="DefaultParagraphFont"/>
    <w:uiPriority w:val="22"/>
    <w:qFormat/>
    <w:rsid w:val="005C4B21"/>
    <w:rPr>
      <w:b/>
      <w:bCs/>
    </w:rPr>
  </w:style>
  <w:style w:type="character" w:styleId="Emphasis">
    <w:name w:val="Emphasis"/>
    <w:basedOn w:val="DefaultParagraphFont"/>
    <w:uiPriority w:val="20"/>
    <w:qFormat/>
    <w:rsid w:val="005C4B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15510">
      <w:bodyDiv w:val="1"/>
      <w:marLeft w:val="0"/>
      <w:marRight w:val="0"/>
      <w:marTop w:val="0"/>
      <w:marBottom w:val="0"/>
      <w:divBdr>
        <w:top w:val="none" w:sz="0" w:space="0" w:color="auto"/>
        <w:left w:val="none" w:sz="0" w:space="0" w:color="auto"/>
        <w:bottom w:val="none" w:sz="0" w:space="0" w:color="auto"/>
        <w:right w:val="none" w:sz="0" w:space="0" w:color="auto"/>
      </w:divBdr>
    </w:div>
    <w:div w:id="1527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next.westlaw.com/Link/Document/FullText?findType=L&amp;pubNum=1000059&amp;cite=NYCPR4522&amp;originatingDoc=I0836973ad94011d9a489ee624f1f6e1a&amp;refType=LQ&amp;originationContext=document&amp;transitionType=DocumentItem&amp;contextData=(sc.UserEnteredCi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311</Words>
  <Characters>1776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7</cp:revision>
  <cp:lastPrinted>2021-09-17T02:40:00Z</cp:lastPrinted>
  <dcterms:created xsi:type="dcterms:W3CDTF">2021-09-17T02:37:00Z</dcterms:created>
  <dcterms:modified xsi:type="dcterms:W3CDTF">2022-05-06T06:21:00Z</dcterms:modified>
</cp:coreProperties>
</file>