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407" w14:textId="615BD4CD" w:rsidR="008F7163" w:rsidRPr="00884703" w:rsidRDefault="008F7163" w:rsidP="00884703">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hanging="720"/>
        <w:rPr>
          <w:rFonts w:ascii="Times New Roman" w:hAnsi="Times New Roman" w:cs="Times New Roman"/>
          <w:sz w:val="28"/>
          <w:szCs w:val="28"/>
        </w:rPr>
      </w:pPr>
      <w:r w:rsidRPr="00884703">
        <w:rPr>
          <w:rFonts w:ascii="Times New Roman" w:hAnsi="Times New Roman" w:cs="Times New Roman"/>
          <w:sz w:val="28"/>
          <w:szCs w:val="28"/>
          <w:lang w:val="en-CA"/>
        </w:rPr>
        <w:fldChar w:fldCharType="begin"/>
      </w:r>
      <w:r w:rsidRPr="00884703">
        <w:rPr>
          <w:rFonts w:ascii="Times New Roman" w:hAnsi="Times New Roman" w:cs="Times New Roman"/>
          <w:sz w:val="28"/>
          <w:szCs w:val="28"/>
          <w:lang w:val="en-CA"/>
        </w:rPr>
        <w:instrText xml:space="preserve"> SEQ CHAPTER \h \r 1</w:instrText>
      </w:r>
      <w:r w:rsidRPr="00884703">
        <w:rPr>
          <w:rFonts w:ascii="Times New Roman" w:hAnsi="Times New Roman" w:cs="Times New Roman"/>
          <w:sz w:val="28"/>
          <w:szCs w:val="28"/>
          <w:lang w:val="en-CA"/>
        </w:rPr>
        <w:fldChar w:fldCharType="end"/>
      </w:r>
      <w:r w:rsidR="00E8029B">
        <w:rPr>
          <w:rFonts w:ascii="Times New Roman" w:hAnsi="Times New Roman" w:cs="Times New Roman"/>
          <w:b/>
          <w:bCs/>
          <w:sz w:val="28"/>
          <w:szCs w:val="28"/>
        </w:rPr>
        <w:t>4.03</w:t>
      </w:r>
      <w:r w:rsidR="009967A1">
        <w:rPr>
          <w:rFonts w:ascii="Times New Roman" w:hAnsi="Times New Roman" w:cs="Times New Roman"/>
          <w:b/>
          <w:bCs/>
          <w:sz w:val="28"/>
          <w:szCs w:val="28"/>
        </w:rPr>
        <w:t>.</w:t>
      </w:r>
      <w:r w:rsidRPr="00884703">
        <w:rPr>
          <w:rFonts w:ascii="Times New Roman" w:hAnsi="Times New Roman" w:cs="Times New Roman"/>
          <w:b/>
          <w:bCs/>
          <w:sz w:val="28"/>
          <w:szCs w:val="28"/>
        </w:rPr>
        <w:tab/>
        <w:t>Completing and Explaining Writing, Recording, Conversation or Transaction</w:t>
      </w:r>
      <w:r w:rsidR="00C84E2B">
        <w:rPr>
          <w:rFonts w:ascii="Times New Roman" w:hAnsi="Times New Roman" w:cs="Times New Roman"/>
          <w:b/>
          <w:bCs/>
          <w:sz w:val="28"/>
          <w:szCs w:val="28"/>
        </w:rPr>
        <w:t xml:space="preserve"> </w:t>
      </w:r>
      <w:r w:rsidR="00C84E2B">
        <w:rPr>
          <w:rStyle w:val="EndnoteReference"/>
          <w:rFonts w:ascii="Times New Roman" w:hAnsi="Times New Roman" w:cs="Times New Roman"/>
          <w:b/>
          <w:bCs/>
          <w:sz w:val="28"/>
          <w:szCs w:val="28"/>
        </w:rPr>
        <w:endnoteReference w:id="1"/>
      </w:r>
    </w:p>
    <w:p w14:paraId="50F60E2B"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0A8A685B" w14:textId="221F0D12" w:rsidR="008F7163" w:rsidRPr="00884703" w:rsidRDefault="008F7163" w:rsidP="00884703">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884703">
        <w:rPr>
          <w:rFonts w:ascii="Times New Roman" w:hAnsi="Times New Roman" w:cs="Times New Roman"/>
          <w:b/>
          <w:bCs/>
          <w:sz w:val="28"/>
          <w:szCs w:val="28"/>
        </w:rPr>
        <w:t>When part of a writing, conversation, recorded statement or testimony, or evidence of part of a transaction is admitted, any other part of that writing, conversation, recorded statement or testimony, or evidence of any other part of the transaction, may be admitted when necessary to complete, explain, or clarify the previously admitted part</w:t>
      </w:r>
      <w:r w:rsidR="003048DA" w:rsidRPr="00884703">
        <w:rPr>
          <w:rFonts w:ascii="Times New Roman" w:hAnsi="Times New Roman" w:cs="Times New Roman"/>
          <w:b/>
          <w:bCs/>
          <w:sz w:val="28"/>
          <w:szCs w:val="28"/>
        </w:rPr>
        <w:t xml:space="preserve">.  </w:t>
      </w:r>
      <w:r w:rsidRPr="00884703">
        <w:rPr>
          <w:rFonts w:ascii="Times New Roman" w:hAnsi="Times New Roman" w:cs="Times New Roman"/>
          <w:b/>
          <w:bCs/>
          <w:sz w:val="28"/>
          <w:szCs w:val="28"/>
        </w:rPr>
        <w:t xml:space="preserve">The timing of the admission of such additional parts is subject to the court’s discretion. </w:t>
      </w:r>
    </w:p>
    <w:p w14:paraId="7AD231A3" w14:textId="77777777" w:rsidR="008F7163" w:rsidRPr="00884703" w:rsidRDefault="008F7163" w:rsidP="00884703">
      <w:pPr>
        <w:pStyle w:val="NoSpacing"/>
        <w:widowControl/>
        <w:tabs>
          <w:tab w:val="left" w:pos="1296"/>
          <w:tab w:val="left" w:pos="1440"/>
          <w:tab w:val="left" w:pos="2160"/>
          <w:tab w:val="left" w:pos="2880"/>
          <w:tab w:val="left" w:pos="3600"/>
          <w:tab w:val="left" w:pos="4320"/>
          <w:tab w:val="left" w:pos="5040"/>
          <w:tab w:val="left" w:pos="5760"/>
          <w:tab w:val="left" w:pos="6480"/>
          <w:tab w:val="left" w:pos="7198"/>
        </w:tabs>
        <w:ind w:left="1296" w:right="720"/>
        <w:rPr>
          <w:rFonts w:ascii="Times New Roman" w:hAnsi="Times New Roman" w:cs="Times New Roman"/>
          <w:sz w:val="28"/>
          <w:szCs w:val="28"/>
        </w:rPr>
      </w:pPr>
    </w:p>
    <w:p w14:paraId="6CC73E76"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884703">
        <w:rPr>
          <w:rFonts w:ascii="Times New Roman" w:hAnsi="Times New Roman" w:cs="Times New Roman"/>
          <w:b/>
          <w:bCs/>
          <w:sz w:val="24"/>
          <w:szCs w:val="24"/>
        </w:rPr>
        <w:t>N</w:t>
      </w:r>
      <w:r w:rsidR="00884703" w:rsidRPr="00884703">
        <w:rPr>
          <w:rFonts w:ascii="Times New Roman" w:hAnsi="Times New Roman" w:cs="Times New Roman"/>
          <w:b/>
          <w:bCs/>
          <w:sz w:val="24"/>
          <w:szCs w:val="24"/>
        </w:rPr>
        <w:t>ote</w:t>
      </w:r>
    </w:p>
    <w:p w14:paraId="32B425A3"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4149FED" w14:textId="12338728"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884703">
        <w:rPr>
          <w:rFonts w:ascii="Times New Roman" w:hAnsi="Times New Roman" w:cs="Times New Roman"/>
          <w:b/>
          <w:bCs/>
          <w:sz w:val="24"/>
          <w:szCs w:val="24"/>
        </w:rPr>
        <w:tab/>
      </w:r>
      <w:r w:rsidRPr="00884703">
        <w:rPr>
          <w:rFonts w:ascii="Times New Roman" w:hAnsi="Times New Roman" w:cs="Times New Roman"/>
          <w:sz w:val="24"/>
          <w:szCs w:val="24"/>
        </w:rPr>
        <w:t>This rule is derived from long-standing Court of Appeals precedent which recognizes that when evidence has been admitted, an adverse party may offer evidence necessary to complete, explain, or clarify the evidence that has been introduced</w:t>
      </w:r>
      <w:r w:rsidR="003048DA" w:rsidRPr="00884703">
        <w:rPr>
          <w:rFonts w:ascii="Times New Roman" w:hAnsi="Times New Roman" w:cs="Times New Roman"/>
          <w:sz w:val="24"/>
          <w:szCs w:val="24"/>
        </w:rPr>
        <w:t xml:space="preserve">.  </w:t>
      </w:r>
      <w:r w:rsidRPr="00884703">
        <w:rPr>
          <w:rFonts w:ascii="Times New Roman" w:hAnsi="Times New Roman" w:cs="Times New Roman"/>
          <w:sz w:val="24"/>
          <w:szCs w:val="24"/>
        </w:rPr>
        <w:t>(</w:t>
      </w:r>
      <w:r w:rsidRPr="00884703">
        <w:rPr>
          <w:rFonts w:ascii="Times New Roman" w:hAnsi="Times New Roman" w:cs="Times New Roman"/>
          <w:i/>
          <w:iCs/>
          <w:sz w:val="24"/>
          <w:szCs w:val="24"/>
        </w:rPr>
        <w:t>See e.g. Rouse v Whited</w:t>
      </w:r>
      <w:r w:rsidRPr="00884703">
        <w:rPr>
          <w:rFonts w:ascii="Times New Roman" w:hAnsi="Times New Roman" w:cs="Times New Roman"/>
          <w:sz w:val="24"/>
          <w:szCs w:val="24"/>
        </w:rPr>
        <w:t>, 25 NY 170, 174-175 [1862] [“</w:t>
      </w:r>
      <w:r w:rsidR="003B6201">
        <w:rPr>
          <w:rFonts w:ascii="Times New Roman" w:hAnsi="Times New Roman" w:cs="Times New Roman"/>
          <w:sz w:val="24"/>
          <w:szCs w:val="24"/>
        </w:rPr>
        <w:t xml:space="preserve"> ‘</w:t>
      </w:r>
      <w:r w:rsidRPr="00884703">
        <w:rPr>
          <w:rFonts w:ascii="Times New Roman" w:hAnsi="Times New Roman" w:cs="Times New Roman"/>
          <w:color w:val="212121"/>
          <w:sz w:val="24"/>
          <w:szCs w:val="24"/>
        </w:rPr>
        <w:t>Where a statement, forming part of a conversation, is given in evidence, whatever was said by the same person in the same conversation, that would in any way qualify or explain that statement, is also admissible</w:t>
      </w:r>
      <w:r w:rsidR="003B6201">
        <w:rPr>
          <w:rFonts w:ascii="Times New Roman" w:hAnsi="Times New Roman" w:cs="Times New Roman"/>
          <w:color w:val="212121"/>
          <w:sz w:val="24"/>
          <w:szCs w:val="24"/>
        </w:rPr>
        <w:t xml:space="preserve">’ </w:t>
      </w:r>
      <w:r w:rsidR="00884703">
        <w:rPr>
          <w:rFonts w:ascii="Times New Roman" w:hAnsi="Times New Roman" w:cs="Times New Roman"/>
          <w:color w:val="212121"/>
          <w:sz w:val="24"/>
          <w:szCs w:val="24"/>
        </w:rPr>
        <w:t>”</w:t>
      </w:r>
      <w:r w:rsidRPr="00884703">
        <w:rPr>
          <w:rFonts w:ascii="Times New Roman" w:hAnsi="Times New Roman" w:cs="Times New Roman"/>
          <w:color w:val="212121"/>
          <w:sz w:val="24"/>
          <w:szCs w:val="24"/>
        </w:rPr>
        <w:t xml:space="preserve"> (</w:t>
      </w:r>
      <w:r w:rsidR="003B6201">
        <w:rPr>
          <w:rFonts w:ascii="Times New Roman" w:hAnsi="Times New Roman" w:cs="Times New Roman"/>
          <w:color w:val="212121"/>
          <w:sz w:val="24"/>
          <w:szCs w:val="24"/>
        </w:rPr>
        <w:t>ci</w:t>
      </w:r>
      <w:r w:rsidRPr="00884703">
        <w:rPr>
          <w:rFonts w:ascii="Times New Roman" w:hAnsi="Times New Roman" w:cs="Times New Roman"/>
          <w:color w:val="212121"/>
          <w:sz w:val="24"/>
          <w:szCs w:val="24"/>
        </w:rPr>
        <w:t xml:space="preserve">ting </w:t>
      </w:r>
      <w:r w:rsidRPr="00884703">
        <w:rPr>
          <w:rFonts w:ascii="Times New Roman" w:hAnsi="Times New Roman" w:cs="Times New Roman"/>
          <w:i/>
          <w:iCs/>
          <w:color w:val="212121"/>
          <w:sz w:val="24"/>
          <w:szCs w:val="24"/>
        </w:rPr>
        <w:t xml:space="preserve">Prince v </w:t>
      </w:r>
      <w:proofErr w:type="spellStart"/>
      <w:r w:rsidRPr="00884703">
        <w:rPr>
          <w:rFonts w:ascii="Times New Roman" w:hAnsi="Times New Roman" w:cs="Times New Roman"/>
          <w:i/>
          <w:iCs/>
          <w:color w:val="212121"/>
          <w:sz w:val="24"/>
          <w:szCs w:val="24"/>
        </w:rPr>
        <w:t>Samo</w:t>
      </w:r>
      <w:proofErr w:type="spellEnd"/>
      <w:r w:rsidRPr="00884703">
        <w:rPr>
          <w:rFonts w:ascii="Times New Roman" w:hAnsi="Times New Roman" w:cs="Times New Roman"/>
          <w:color w:val="212121"/>
          <w:sz w:val="24"/>
          <w:szCs w:val="24"/>
        </w:rPr>
        <w:t xml:space="preserve">, 7 </w:t>
      </w:r>
      <w:proofErr w:type="spellStart"/>
      <w:r w:rsidRPr="00884703">
        <w:rPr>
          <w:rFonts w:ascii="Times New Roman" w:hAnsi="Times New Roman" w:cs="Times New Roman"/>
          <w:color w:val="212121"/>
          <w:sz w:val="24"/>
          <w:szCs w:val="24"/>
        </w:rPr>
        <w:t>Adol</w:t>
      </w:r>
      <w:proofErr w:type="spellEnd"/>
      <w:r w:rsidRPr="00884703">
        <w:rPr>
          <w:rFonts w:ascii="Times New Roman" w:hAnsi="Times New Roman" w:cs="Times New Roman"/>
          <w:color w:val="212121"/>
          <w:sz w:val="24"/>
          <w:szCs w:val="24"/>
        </w:rPr>
        <w:t xml:space="preserve"> &amp; Ellis 627 [1838]</w:t>
      </w:r>
      <w:r w:rsidR="003B6201">
        <w:rPr>
          <w:rFonts w:ascii="Times New Roman" w:hAnsi="Times New Roman" w:cs="Times New Roman"/>
          <w:color w:val="212121"/>
          <w:sz w:val="24"/>
          <w:szCs w:val="24"/>
        </w:rPr>
        <w:t xml:space="preserve">; </w:t>
      </w:r>
      <w:r w:rsidR="003B6201" w:rsidRPr="003B6201">
        <w:rPr>
          <w:rFonts w:ascii="Times New Roman" w:hAnsi="Times New Roman" w:cs="Times New Roman"/>
          <w:color w:val="212121"/>
          <w:sz w:val="24"/>
          <w:szCs w:val="24"/>
        </w:rPr>
        <w:t xml:space="preserve">1 Phillips' Evidence 416 [4th Am ed, from 10th </w:t>
      </w:r>
      <w:proofErr w:type="spellStart"/>
      <w:r w:rsidR="003B6201" w:rsidRPr="003B6201">
        <w:rPr>
          <w:rFonts w:ascii="Times New Roman" w:hAnsi="Times New Roman" w:cs="Times New Roman"/>
          <w:color w:val="212121"/>
          <w:sz w:val="24"/>
          <w:szCs w:val="24"/>
        </w:rPr>
        <w:t>Eng</w:t>
      </w:r>
      <w:proofErr w:type="spellEnd"/>
      <w:r w:rsidR="003B6201" w:rsidRPr="003B6201">
        <w:rPr>
          <w:rFonts w:ascii="Times New Roman" w:hAnsi="Times New Roman" w:cs="Times New Roman"/>
          <w:color w:val="212121"/>
          <w:sz w:val="24"/>
          <w:szCs w:val="24"/>
        </w:rPr>
        <w:t xml:space="preserve"> ed]</w:t>
      </w:r>
      <w:r w:rsidRPr="00884703">
        <w:rPr>
          <w:rFonts w:ascii="Times New Roman" w:hAnsi="Times New Roman" w:cs="Times New Roman"/>
          <w:color w:val="212121"/>
          <w:sz w:val="24"/>
          <w:szCs w:val="24"/>
        </w:rPr>
        <w:t>)</w:t>
      </w:r>
      <w:r w:rsidRPr="00884703">
        <w:rPr>
          <w:rFonts w:ascii="Times New Roman" w:hAnsi="Times New Roman" w:cs="Times New Roman"/>
          <w:sz w:val="24"/>
          <w:szCs w:val="24"/>
        </w:rPr>
        <w:t xml:space="preserve">]; </w:t>
      </w:r>
      <w:r w:rsidRPr="00884703">
        <w:rPr>
          <w:rFonts w:ascii="Times New Roman" w:hAnsi="Times New Roman" w:cs="Times New Roman"/>
          <w:i/>
          <w:iCs/>
          <w:sz w:val="24"/>
          <w:szCs w:val="24"/>
        </w:rPr>
        <w:t>Grattan v Metropolitan Life Ins. Co.</w:t>
      </w:r>
      <w:r w:rsidRPr="00884703">
        <w:rPr>
          <w:rFonts w:ascii="Times New Roman" w:hAnsi="Times New Roman" w:cs="Times New Roman"/>
          <w:sz w:val="24"/>
          <w:szCs w:val="24"/>
        </w:rPr>
        <w:t>, 92 NY 274, 284 [1883] [“</w:t>
      </w:r>
      <w:r w:rsidRPr="00884703">
        <w:rPr>
          <w:rFonts w:ascii="Times New Roman" w:hAnsi="Times New Roman" w:cs="Times New Roman"/>
          <w:color w:val="212121"/>
          <w:sz w:val="24"/>
          <w:szCs w:val="24"/>
        </w:rPr>
        <w:t>The rule appears to be firmly settled, both as to a conversation or writing, that the introduction of a part renders admissible so much of the remainder as tends to explain or qualify what has been received and that is to be deemed a qualification which rebuts and destroys the inference to be derived from or the use to be made of the portion put in evidence”</w:t>
      </w:r>
      <w:r w:rsidRPr="00884703">
        <w:rPr>
          <w:rFonts w:ascii="Times New Roman" w:hAnsi="Times New Roman" w:cs="Times New Roman"/>
          <w:sz w:val="24"/>
          <w:szCs w:val="24"/>
        </w:rPr>
        <w:t xml:space="preserve">]; </w:t>
      </w:r>
      <w:r w:rsidRPr="00884703">
        <w:rPr>
          <w:rFonts w:ascii="Times New Roman" w:hAnsi="Times New Roman" w:cs="Times New Roman"/>
          <w:i/>
          <w:iCs/>
          <w:sz w:val="24"/>
          <w:szCs w:val="24"/>
        </w:rPr>
        <w:t>Nay v Curley</w:t>
      </w:r>
      <w:r w:rsidRPr="00884703">
        <w:rPr>
          <w:rFonts w:ascii="Times New Roman" w:hAnsi="Times New Roman" w:cs="Times New Roman"/>
          <w:sz w:val="24"/>
          <w:szCs w:val="24"/>
        </w:rPr>
        <w:t>, 113 NY 575, 578-579 [1889] [“</w:t>
      </w:r>
      <w:r w:rsidRPr="00884703">
        <w:rPr>
          <w:rFonts w:ascii="Times New Roman" w:hAnsi="Times New Roman" w:cs="Times New Roman"/>
          <w:color w:val="212121"/>
          <w:sz w:val="24"/>
          <w:szCs w:val="24"/>
        </w:rPr>
        <w:t>where a party calls a witness and examines him as to a particular part of a communication or transaction, the other party may call out the whole of the communication or transaction bearing upon or tending to explain or qualify the particular part to which the examination of the other party was directed”].) The rule is founded upon "the plainest principles of equity.</w:t>
      </w:r>
      <w:r w:rsidR="00884703">
        <w:rPr>
          <w:rFonts w:ascii="Times New Roman" w:hAnsi="Times New Roman" w:cs="Times New Roman"/>
          <w:color w:val="212121"/>
          <w:sz w:val="24"/>
          <w:szCs w:val="24"/>
        </w:rPr>
        <w:t>”</w:t>
      </w:r>
      <w:r w:rsidRPr="00884703">
        <w:rPr>
          <w:rFonts w:ascii="Times New Roman" w:hAnsi="Times New Roman" w:cs="Times New Roman"/>
          <w:color w:val="212121"/>
          <w:sz w:val="24"/>
          <w:szCs w:val="24"/>
        </w:rPr>
        <w:t xml:space="preserve"> (</w:t>
      </w:r>
      <w:r w:rsidRPr="00884703">
        <w:rPr>
          <w:rFonts w:ascii="Times New Roman" w:hAnsi="Times New Roman" w:cs="Times New Roman"/>
          <w:i/>
          <w:iCs/>
          <w:color w:val="212121"/>
          <w:sz w:val="24"/>
          <w:szCs w:val="24"/>
        </w:rPr>
        <w:t>Rouse</w:t>
      </w:r>
      <w:r w:rsidRPr="00884703">
        <w:rPr>
          <w:rFonts w:ascii="Times New Roman" w:hAnsi="Times New Roman" w:cs="Times New Roman"/>
          <w:color w:val="212121"/>
          <w:sz w:val="24"/>
          <w:szCs w:val="24"/>
        </w:rPr>
        <w:t>, 25 NY at 177 [“All statements made in a conversation, in relation to the same subject or matter, are to be supposed to have been intended to explain or qualify each other, and therefore the plainest principles of equity require, that if one of the statements is to be used against the party, all the other statements tending to explain it or to qualify this use, should be shown and considered in connection with it”].)</w:t>
      </w:r>
    </w:p>
    <w:p w14:paraId="66482C66"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9DC3512"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884703">
        <w:rPr>
          <w:rFonts w:ascii="Times New Roman" w:hAnsi="Times New Roman" w:cs="Times New Roman"/>
          <w:sz w:val="24"/>
          <w:szCs w:val="24"/>
        </w:rPr>
        <w:tab/>
        <w:t xml:space="preserve">The rule as stated reflects the limits on “completeness” imposed by the Court of Appeals, namely, </w:t>
      </w:r>
      <w:r w:rsidR="00884703">
        <w:rPr>
          <w:rFonts w:ascii="Times New Roman" w:hAnsi="Times New Roman" w:cs="Times New Roman"/>
          <w:sz w:val="24"/>
          <w:szCs w:val="24"/>
        </w:rPr>
        <w:t>“</w:t>
      </w:r>
      <w:r w:rsidRPr="00884703">
        <w:rPr>
          <w:rFonts w:ascii="Times New Roman" w:hAnsi="Times New Roman" w:cs="Times New Roman"/>
          <w:sz w:val="24"/>
          <w:szCs w:val="24"/>
        </w:rPr>
        <w:t>(</w:t>
      </w:r>
      <w:r w:rsidRPr="00884703">
        <w:rPr>
          <w:rFonts w:ascii="Times New Roman" w:hAnsi="Times New Roman" w:cs="Times New Roman"/>
          <w:i/>
          <w:iCs/>
          <w:sz w:val="24"/>
          <w:szCs w:val="24"/>
        </w:rPr>
        <w:t>a</w:t>
      </w:r>
      <w:r w:rsidRPr="00884703">
        <w:rPr>
          <w:rFonts w:ascii="Times New Roman" w:hAnsi="Times New Roman" w:cs="Times New Roman"/>
          <w:sz w:val="24"/>
          <w:szCs w:val="24"/>
        </w:rPr>
        <w:t>) No utterance irrelevant to the issue is receivable; (</w:t>
      </w:r>
      <w:r w:rsidRPr="00884703">
        <w:rPr>
          <w:rFonts w:ascii="Times New Roman" w:hAnsi="Times New Roman" w:cs="Times New Roman"/>
          <w:i/>
          <w:iCs/>
          <w:sz w:val="24"/>
          <w:szCs w:val="24"/>
        </w:rPr>
        <w:t>b</w:t>
      </w:r>
      <w:r w:rsidRPr="00884703">
        <w:rPr>
          <w:rFonts w:ascii="Times New Roman" w:hAnsi="Times New Roman" w:cs="Times New Roman"/>
          <w:sz w:val="24"/>
          <w:szCs w:val="24"/>
        </w:rPr>
        <w:t>) no more of the remainder of the utterance than concerns the same subject and is explanatory of the first part is receivable; (</w:t>
      </w:r>
      <w:r w:rsidRPr="00884703">
        <w:rPr>
          <w:rFonts w:ascii="Times New Roman" w:hAnsi="Times New Roman" w:cs="Times New Roman"/>
          <w:i/>
          <w:iCs/>
          <w:sz w:val="24"/>
          <w:szCs w:val="24"/>
        </w:rPr>
        <w:t>c</w:t>
      </w:r>
      <w:r w:rsidRPr="00884703">
        <w:rPr>
          <w:rFonts w:ascii="Times New Roman" w:hAnsi="Times New Roman" w:cs="Times New Roman"/>
          <w:sz w:val="24"/>
          <w:szCs w:val="24"/>
        </w:rPr>
        <w:t xml:space="preserve">) the remainder thus received merely </w:t>
      </w:r>
      <w:r w:rsidRPr="00884703">
        <w:rPr>
          <w:rFonts w:ascii="Times New Roman" w:hAnsi="Times New Roman" w:cs="Times New Roman"/>
          <w:sz w:val="24"/>
          <w:szCs w:val="24"/>
        </w:rPr>
        <w:lastRenderedPageBreak/>
        <w:t>aids in the construction of the utterance as a whole, and is not in itself testimony.</w:t>
      </w:r>
      <w:r w:rsidR="00884703">
        <w:rPr>
          <w:rFonts w:ascii="Times New Roman" w:hAnsi="Times New Roman" w:cs="Times New Roman"/>
          <w:sz w:val="24"/>
          <w:szCs w:val="24"/>
        </w:rPr>
        <w:t>”</w:t>
      </w:r>
      <w:r w:rsidRPr="00884703">
        <w:rPr>
          <w:rFonts w:ascii="Times New Roman" w:hAnsi="Times New Roman" w:cs="Times New Roman"/>
          <w:sz w:val="24"/>
          <w:szCs w:val="24"/>
        </w:rPr>
        <w:t xml:space="preserve"> (</w:t>
      </w:r>
      <w:r w:rsidRPr="00884703">
        <w:rPr>
          <w:rFonts w:ascii="Times New Roman" w:hAnsi="Times New Roman" w:cs="Times New Roman"/>
          <w:i/>
          <w:iCs/>
          <w:sz w:val="24"/>
          <w:szCs w:val="24"/>
        </w:rPr>
        <w:t>People v Schlessel</w:t>
      </w:r>
      <w:r w:rsidRPr="00884703">
        <w:rPr>
          <w:rFonts w:ascii="Times New Roman" w:hAnsi="Times New Roman" w:cs="Times New Roman"/>
          <w:sz w:val="24"/>
          <w:szCs w:val="24"/>
        </w:rPr>
        <w:t xml:space="preserve">, 196 NY 476, 481 [1909].) </w:t>
      </w:r>
    </w:p>
    <w:p w14:paraId="0FECE296"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DBD4F77" w14:textId="72F003E4"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884703">
        <w:rPr>
          <w:rFonts w:ascii="Times New Roman" w:hAnsi="Times New Roman" w:cs="Times New Roman"/>
          <w:sz w:val="24"/>
          <w:szCs w:val="24"/>
        </w:rPr>
        <w:tab/>
        <w:t>Under the rule, when part of a party’s own statement is admitted against that party as an admission against the party’s interest, the party may offer into evidence any part of the statement which is exculpatory</w:t>
      </w:r>
      <w:r w:rsidR="003B7157" w:rsidRPr="00884703">
        <w:rPr>
          <w:rFonts w:ascii="Times New Roman" w:hAnsi="Times New Roman" w:cs="Times New Roman"/>
          <w:sz w:val="24"/>
          <w:szCs w:val="24"/>
        </w:rPr>
        <w:t xml:space="preserve">.  </w:t>
      </w:r>
      <w:r w:rsidRPr="00884703">
        <w:rPr>
          <w:rFonts w:ascii="Times New Roman" w:hAnsi="Times New Roman" w:cs="Times New Roman"/>
          <w:sz w:val="24"/>
          <w:szCs w:val="24"/>
        </w:rPr>
        <w:t>(</w:t>
      </w:r>
      <w:r w:rsidRPr="00884703">
        <w:rPr>
          <w:rFonts w:ascii="Times New Roman" w:hAnsi="Times New Roman" w:cs="Times New Roman"/>
          <w:i/>
          <w:iCs/>
          <w:sz w:val="24"/>
          <w:szCs w:val="24"/>
        </w:rPr>
        <w:t xml:space="preserve">See </w:t>
      </w:r>
      <w:proofErr w:type="gramStart"/>
      <w:r w:rsidR="003B7157" w:rsidRPr="00884703">
        <w:rPr>
          <w:rFonts w:ascii="Times New Roman" w:hAnsi="Times New Roman" w:cs="Times New Roman"/>
          <w:i/>
          <w:iCs/>
          <w:sz w:val="24"/>
          <w:szCs w:val="24"/>
        </w:rPr>
        <w:t xml:space="preserve">e.g. </w:t>
      </w:r>
      <w:proofErr w:type="gramEnd"/>
      <w:r w:rsidRPr="00884703">
        <w:rPr>
          <w:rFonts w:ascii="Times New Roman" w:hAnsi="Times New Roman" w:cs="Times New Roman"/>
          <w:i/>
          <w:iCs/>
          <w:sz w:val="24"/>
          <w:szCs w:val="24"/>
        </w:rPr>
        <w:t>People v Dlugash</w:t>
      </w:r>
      <w:r w:rsidRPr="00884703">
        <w:rPr>
          <w:rFonts w:ascii="Times New Roman" w:hAnsi="Times New Roman" w:cs="Times New Roman"/>
          <w:sz w:val="24"/>
          <w:szCs w:val="24"/>
        </w:rPr>
        <w:t xml:space="preserve">, 41 NY2d 725, 736 [1977]; </w:t>
      </w:r>
      <w:r w:rsidRPr="00884703">
        <w:rPr>
          <w:rFonts w:ascii="Times New Roman" w:hAnsi="Times New Roman" w:cs="Times New Roman"/>
          <w:i/>
          <w:iCs/>
          <w:sz w:val="24"/>
          <w:szCs w:val="24"/>
        </w:rPr>
        <w:t>People v Gallo</w:t>
      </w:r>
      <w:r w:rsidRPr="00884703">
        <w:rPr>
          <w:rFonts w:ascii="Times New Roman" w:hAnsi="Times New Roman" w:cs="Times New Roman"/>
          <w:sz w:val="24"/>
          <w:szCs w:val="24"/>
        </w:rPr>
        <w:t xml:space="preserve">, 12 NY2d 12, 15-16 [1962]; </w:t>
      </w:r>
      <w:r w:rsidRPr="00884703">
        <w:rPr>
          <w:rFonts w:ascii="Times New Roman" w:hAnsi="Times New Roman" w:cs="Times New Roman"/>
          <w:i/>
          <w:iCs/>
          <w:sz w:val="24"/>
          <w:szCs w:val="24"/>
        </w:rPr>
        <w:t>Grattan</w:t>
      </w:r>
      <w:r w:rsidRPr="00884703">
        <w:rPr>
          <w:rFonts w:ascii="Times New Roman" w:hAnsi="Times New Roman" w:cs="Times New Roman"/>
          <w:sz w:val="24"/>
          <w:szCs w:val="24"/>
        </w:rPr>
        <w:t>, 92 NY at 284-286].) Similarly, when a witness has been impeached by a statement the witness previously made, other parts of the statement may be admitted to clarify or explain the statement</w:t>
      </w:r>
      <w:r w:rsidR="003B7157" w:rsidRPr="00884703">
        <w:rPr>
          <w:rFonts w:ascii="Times New Roman" w:hAnsi="Times New Roman" w:cs="Times New Roman"/>
          <w:sz w:val="24"/>
          <w:szCs w:val="24"/>
        </w:rPr>
        <w:t xml:space="preserve">.  </w:t>
      </w:r>
      <w:r w:rsidRPr="00884703">
        <w:rPr>
          <w:rFonts w:ascii="Times New Roman" w:hAnsi="Times New Roman" w:cs="Times New Roman"/>
          <w:sz w:val="24"/>
          <w:szCs w:val="24"/>
        </w:rPr>
        <w:t>(</w:t>
      </w:r>
      <w:r w:rsidRPr="00884703">
        <w:rPr>
          <w:rFonts w:ascii="Times New Roman" w:hAnsi="Times New Roman" w:cs="Times New Roman"/>
          <w:i/>
          <w:iCs/>
          <w:sz w:val="24"/>
          <w:szCs w:val="24"/>
        </w:rPr>
        <w:t xml:space="preserve">See </w:t>
      </w:r>
      <w:proofErr w:type="gramStart"/>
      <w:r w:rsidR="003B7157" w:rsidRPr="00884703">
        <w:rPr>
          <w:rFonts w:ascii="Times New Roman" w:hAnsi="Times New Roman" w:cs="Times New Roman"/>
          <w:i/>
          <w:iCs/>
          <w:sz w:val="24"/>
          <w:szCs w:val="24"/>
        </w:rPr>
        <w:t xml:space="preserve">e.g. </w:t>
      </w:r>
      <w:proofErr w:type="gramEnd"/>
      <w:r w:rsidRPr="00884703">
        <w:rPr>
          <w:rFonts w:ascii="Times New Roman" w:hAnsi="Times New Roman" w:cs="Times New Roman"/>
          <w:i/>
          <w:iCs/>
          <w:sz w:val="24"/>
          <w:szCs w:val="24"/>
        </w:rPr>
        <w:t>People v Ochoa</w:t>
      </w:r>
      <w:r w:rsidRPr="00884703">
        <w:rPr>
          <w:rFonts w:ascii="Times New Roman" w:hAnsi="Times New Roman" w:cs="Times New Roman"/>
          <w:sz w:val="24"/>
          <w:szCs w:val="24"/>
        </w:rPr>
        <w:t xml:space="preserve">, 14 NY3d 180, 187 [2010]; </w:t>
      </w:r>
      <w:r w:rsidRPr="00884703">
        <w:rPr>
          <w:rFonts w:ascii="Times New Roman" w:hAnsi="Times New Roman" w:cs="Times New Roman"/>
          <w:i/>
          <w:iCs/>
          <w:sz w:val="24"/>
          <w:szCs w:val="24"/>
        </w:rPr>
        <w:t>Feblot v New York Times Co.</w:t>
      </w:r>
      <w:r w:rsidRPr="00884703">
        <w:rPr>
          <w:rFonts w:ascii="Times New Roman" w:hAnsi="Times New Roman" w:cs="Times New Roman"/>
          <w:sz w:val="24"/>
          <w:szCs w:val="24"/>
        </w:rPr>
        <w:t>,</w:t>
      </w:r>
      <w:r w:rsidRPr="00884703">
        <w:rPr>
          <w:rFonts w:ascii="Times New Roman" w:hAnsi="Times New Roman" w:cs="Times New Roman"/>
          <w:i/>
          <w:iCs/>
          <w:sz w:val="24"/>
          <w:szCs w:val="24"/>
        </w:rPr>
        <w:t xml:space="preserve"> </w:t>
      </w:r>
      <w:r w:rsidRPr="00884703">
        <w:rPr>
          <w:rFonts w:ascii="Times New Roman" w:hAnsi="Times New Roman" w:cs="Times New Roman"/>
          <w:sz w:val="24"/>
          <w:szCs w:val="24"/>
        </w:rPr>
        <w:t xml:space="preserve">32 NY2d 486, 496-498 [1973]; </w:t>
      </w:r>
      <w:r w:rsidRPr="00884703">
        <w:rPr>
          <w:rFonts w:ascii="Times New Roman" w:hAnsi="Times New Roman" w:cs="Times New Roman"/>
          <w:i/>
          <w:iCs/>
          <w:sz w:val="24"/>
          <w:szCs w:val="24"/>
        </w:rPr>
        <w:t>see also People v Ramos</w:t>
      </w:r>
      <w:r w:rsidRPr="00884703">
        <w:rPr>
          <w:rFonts w:ascii="Times New Roman" w:hAnsi="Times New Roman" w:cs="Times New Roman"/>
          <w:sz w:val="24"/>
          <w:szCs w:val="24"/>
        </w:rPr>
        <w:t>, 70 NY2d 639, 640-641 [1987] [Court emphasized that parts of the statement used for impeachment purposes that concerned unrelated matters were not admissible].) This rule of “completeness” does not in any way modify rule 8.05 (Admission by Adopted Statement) as it relates to a defendant’s silence.</w:t>
      </w:r>
    </w:p>
    <w:p w14:paraId="329E39D6"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B1D83A8" w14:textId="09BD9620"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884703">
        <w:rPr>
          <w:rFonts w:ascii="Times New Roman" w:hAnsi="Times New Roman" w:cs="Times New Roman"/>
          <w:sz w:val="24"/>
          <w:szCs w:val="24"/>
        </w:rPr>
        <w:tab/>
        <w:t>The rule also addresses a timing issue; that is, when the completion evidence may be admitted</w:t>
      </w:r>
      <w:r w:rsidR="003B7157" w:rsidRPr="00884703">
        <w:rPr>
          <w:rFonts w:ascii="Times New Roman" w:hAnsi="Times New Roman" w:cs="Times New Roman"/>
          <w:sz w:val="24"/>
          <w:szCs w:val="24"/>
        </w:rPr>
        <w:t xml:space="preserve">.  </w:t>
      </w:r>
      <w:r w:rsidRPr="00884703">
        <w:rPr>
          <w:rFonts w:ascii="Times New Roman" w:hAnsi="Times New Roman" w:cs="Times New Roman"/>
          <w:sz w:val="24"/>
          <w:szCs w:val="24"/>
        </w:rPr>
        <w:t>The rule commits the timing determination to the discretion of the court</w:t>
      </w:r>
      <w:r w:rsidR="003B7157" w:rsidRPr="00884703">
        <w:rPr>
          <w:rFonts w:ascii="Times New Roman" w:hAnsi="Times New Roman" w:cs="Times New Roman"/>
          <w:sz w:val="24"/>
          <w:szCs w:val="24"/>
        </w:rPr>
        <w:t xml:space="preserve">.  </w:t>
      </w:r>
      <w:r w:rsidRPr="00884703">
        <w:rPr>
          <w:rFonts w:ascii="Times New Roman" w:hAnsi="Times New Roman" w:cs="Times New Roman"/>
          <w:sz w:val="24"/>
          <w:szCs w:val="24"/>
        </w:rPr>
        <w:t>(</w:t>
      </w:r>
      <w:r w:rsidRPr="00884703">
        <w:rPr>
          <w:rFonts w:ascii="Times New Roman" w:hAnsi="Times New Roman" w:cs="Times New Roman"/>
          <w:i/>
          <w:iCs/>
          <w:sz w:val="24"/>
          <w:szCs w:val="24"/>
        </w:rPr>
        <w:t xml:space="preserve">See </w:t>
      </w:r>
      <w:proofErr w:type="gramStart"/>
      <w:r w:rsidR="003B7157" w:rsidRPr="00884703">
        <w:rPr>
          <w:rFonts w:ascii="Times New Roman" w:hAnsi="Times New Roman" w:cs="Times New Roman"/>
          <w:i/>
          <w:iCs/>
          <w:sz w:val="24"/>
          <w:szCs w:val="24"/>
        </w:rPr>
        <w:t xml:space="preserve">e.g. </w:t>
      </w:r>
      <w:proofErr w:type="gramEnd"/>
      <w:r w:rsidRPr="00884703">
        <w:rPr>
          <w:rFonts w:ascii="Times New Roman" w:hAnsi="Times New Roman" w:cs="Times New Roman"/>
          <w:i/>
          <w:iCs/>
          <w:sz w:val="24"/>
          <w:szCs w:val="24"/>
        </w:rPr>
        <w:t>People v Torre</w:t>
      </w:r>
      <w:r w:rsidRPr="00884703">
        <w:rPr>
          <w:rFonts w:ascii="Times New Roman" w:hAnsi="Times New Roman" w:cs="Times New Roman"/>
          <w:sz w:val="24"/>
          <w:szCs w:val="24"/>
        </w:rPr>
        <w:t xml:space="preserve">, 42 NY2d 1036, 1037 [1977] [where part is admitted during cross-examination, other parts may be admitted on re-direct]; </w:t>
      </w:r>
      <w:r w:rsidRPr="00884703">
        <w:rPr>
          <w:rFonts w:ascii="Times New Roman" w:hAnsi="Times New Roman" w:cs="Times New Roman"/>
          <w:i/>
          <w:iCs/>
          <w:sz w:val="24"/>
          <w:szCs w:val="24"/>
        </w:rPr>
        <w:t>Gallo</w:t>
      </w:r>
      <w:r w:rsidRPr="00884703">
        <w:rPr>
          <w:rFonts w:ascii="Times New Roman" w:hAnsi="Times New Roman" w:cs="Times New Roman"/>
          <w:sz w:val="24"/>
          <w:szCs w:val="24"/>
        </w:rPr>
        <w:t>, 12 NY2d at 15-16 [where part of a written statement was read into the record on the People’s rebuttal, other parts which were exculpatory may be admitted at that time].)</w:t>
      </w:r>
    </w:p>
    <w:p w14:paraId="3650B7B9"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1A4F911"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884703">
        <w:rPr>
          <w:rFonts w:ascii="Times New Roman" w:hAnsi="Times New Roman" w:cs="Times New Roman"/>
          <w:sz w:val="24"/>
          <w:szCs w:val="24"/>
        </w:rPr>
        <w:tab/>
        <w:t>While other jurisdictions’ codification of the completeness rule permits the use of other writings or recordings for explanatory and clarification purposes of the admitted writing or recording (</w:t>
      </w:r>
      <w:r w:rsidRPr="00884703">
        <w:rPr>
          <w:rFonts w:ascii="Times New Roman" w:hAnsi="Times New Roman" w:cs="Times New Roman"/>
          <w:i/>
          <w:iCs/>
          <w:sz w:val="24"/>
          <w:szCs w:val="24"/>
        </w:rPr>
        <w:t>see e.g.</w:t>
      </w:r>
      <w:r w:rsidRPr="00884703">
        <w:rPr>
          <w:rFonts w:ascii="Times New Roman" w:hAnsi="Times New Roman" w:cs="Times New Roman"/>
          <w:sz w:val="24"/>
          <w:szCs w:val="24"/>
        </w:rPr>
        <w:t xml:space="preserve"> Fed Rules Evid rule 106), the Court of Appeals has not addressed the use of other writings or recordings. </w:t>
      </w:r>
    </w:p>
    <w:p w14:paraId="40F3D83E" w14:textId="77777777" w:rsidR="008F7163" w:rsidRPr="0088470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5BB9EE8" w14:textId="60035A30" w:rsidR="008F7163" w:rsidRDefault="008F7163"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sidRPr="00884703">
        <w:rPr>
          <w:rFonts w:ascii="Times New Roman" w:hAnsi="Times New Roman" w:cs="Times New Roman"/>
          <w:sz w:val="24"/>
          <w:szCs w:val="24"/>
        </w:rPr>
        <w:tab/>
      </w:r>
      <w:r w:rsidR="00C76F86">
        <w:rPr>
          <w:rFonts w:ascii="Times New Roman" w:hAnsi="Times New Roman" w:cs="Times New Roman"/>
          <w:sz w:val="24"/>
          <w:szCs w:val="24"/>
        </w:rPr>
        <w:t>New York has</w:t>
      </w:r>
      <w:r w:rsidR="00536A3A">
        <w:rPr>
          <w:rFonts w:ascii="Times New Roman" w:hAnsi="Times New Roman" w:cs="Times New Roman"/>
          <w:sz w:val="24"/>
          <w:szCs w:val="24"/>
        </w:rPr>
        <w:t xml:space="preserve"> </w:t>
      </w:r>
      <w:r w:rsidRPr="00884703">
        <w:rPr>
          <w:rFonts w:ascii="Times New Roman" w:hAnsi="Times New Roman" w:cs="Times New Roman"/>
          <w:sz w:val="24"/>
          <w:szCs w:val="24"/>
        </w:rPr>
        <w:t xml:space="preserve">expressly incorporated </w:t>
      </w:r>
      <w:r w:rsidR="00536A3A">
        <w:rPr>
          <w:rFonts w:ascii="Times New Roman" w:hAnsi="Times New Roman" w:cs="Times New Roman"/>
          <w:sz w:val="24"/>
          <w:szCs w:val="24"/>
        </w:rPr>
        <w:t>the rule of completeness</w:t>
      </w:r>
      <w:r w:rsidRPr="00884703">
        <w:rPr>
          <w:rFonts w:ascii="Times New Roman" w:hAnsi="Times New Roman" w:cs="Times New Roman"/>
          <w:sz w:val="24"/>
          <w:szCs w:val="24"/>
        </w:rPr>
        <w:t xml:space="preserve"> in CPLR 3117 (b) (“</w:t>
      </w:r>
      <w:r w:rsidRPr="00884703">
        <w:rPr>
          <w:rFonts w:ascii="Times New Roman" w:hAnsi="Times New Roman" w:cs="Times New Roman"/>
          <w:color w:val="212121"/>
          <w:sz w:val="24"/>
          <w:szCs w:val="24"/>
        </w:rPr>
        <w:t>If only part of a deposition is read at the trial by a party, any other party may read any other part of the deposition which ought in fairness to be considered in connection with the part read”)</w:t>
      </w:r>
      <w:r w:rsidR="00536A3A">
        <w:rPr>
          <w:rFonts w:ascii="Times New Roman" w:hAnsi="Times New Roman" w:cs="Times New Roman"/>
          <w:color w:val="212121"/>
          <w:sz w:val="24"/>
          <w:szCs w:val="24"/>
        </w:rPr>
        <w:t>,</w:t>
      </w:r>
      <w:r w:rsidRPr="00884703">
        <w:rPr>
          <w:rFonts w:ascii="Times New Roman" w:hAnsi="Times New Roman" w:cs="Times New Roman"/>
          <w:color w:val="212121"/>
          <w:sz w:val="24"/>
          <w:szCs w:val="24"/>
        </w:rPr>
        <w:t xml:space="preserve"> and in CPLR 4517 (b) (“If only part of the prior trial testimony of a witness is read at the trial by a party, any other party may read any other part of the prior testimony of that witness that ought in fairness to be considered in connection with the part read”).</w:t>
      </w:r>
    </w:p>
    <w:p w14:paraId="4E4C88E4" w14:textId="77777777" w:rsidR="00D96C8E" w:rsidRDefault="00D96C8E"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413A99CB" w14:textId="25EA2975" w:rsidR="007E5098" w:rsidRPr="007E5098" w:rsidRDefault="00E364FF" w:rsidP="007E5098">
      <w:pPr>
        <w:widowControl/>
        <w:snapToGrid w:val="0"/>
        <w:jc w:val="both"/>
        <w:rPr>
          <w:sz w:val="24"/>
          <w:szCs w:val="24"/>
        </w:rPr>
      </w:pPr>
      <w:r>
        <w:rPr>
          <w:sz w:val="24"/>
          <w:szCs w:val="24"/>
        </w:rPr>
        <w:tab/>
      </w:r>
      <w:bookmarkStart w:id="0" w:name="_Hlk93591606"/>
      <w:bookmarkStart w:id="1" w:name="_Hlk93588556"/>
      <w:r w:rsidR="007E5098" w:rsidRPr="007E5098">
        <w:rPr>
          <w:sz w:val="24"/>
          <w:szCs w:val="24"/>
        </w:rPr>
        <w:t xml:space="preserve">In </w:t>
      </w:r>
      <w:r w:rsidR="007E5098" w:rsidRPr="007E5098">
        <w:rPr>
          <w:i/>
          <w:iCs/>
          <w:sz w:val="24"/>
          <w:szCs w:val="24"/>
        </w:rPr>
        <w:t>Hemphill v New</w:t>
      </w:r>
      <w:r w:rsidR="007E5098" w:rsidRPr="007E5098">
        <w:rPr>
          <w:sz w:val="24"/>
          <w:szCs w:val="24"/>
        </w:rPr>
        <w:t xml:space="preserve"> </w:t>
      </w:r>
      <w:r w:rsidR="007E5098" w:rsidRPr="007E5098">
        <w:rPr>
          <w:i/>
          <w:iCs/>
          <w:sz w:val="24"/>
          <w:szCs w:val="24"/>
        </w:rPr>
        <w:t>York</w:t>
      </w:r>
      <w:r w:rsidR="007E5098" w:rsidRPr="007E5098">
        <w:rPr>
          <w:sz w:val="24"/>
          <w:szCs w:val="24"/>
        </w:rPr>
        <w:t xml:space="preserve"> </w:t>
      </w:r>
      <w:bookmarkEnd w:id="1"/>
      <w:r w:rsidR="007E5098" w:rsidRPr="007E5098">
        <w:rPr>
          <w:sz w:val="24"/>
          <w:szCs w:val="24"/>
        </w:rPr>
        <w:t>(595 US —, —, — S Ct —, —, 2022 WL 174223, *8 [2022]), the Court barred the introduction in evidence of “unconfronted testimonial hearsay” under the “opening the door to evidence” principle (</w:t>
      </w:r>
      <w:r w:rsidR="007E5098" w:rsidRPr="007E5098">
        <w:rPr>
          <w:i/>
          <w:iCs/>
          <w:sz w:val="24"/>
          <w:szCs w:val="24"/>
        </w:rPr>
        <w:t>see</w:t>
      </w:r>
      <w:r w:rsidR="007E5098" w:rsidRPr="007E5098">
        <w:rPr>
          <w:sz w:val="24"/>
          <w:szCs w:val="24"/>
        </w:rPr>
        <w:t xml:space="preserve"> Guide to NY Evid rule 4.08). </w:t>
      </w:r>
      <w:r w:rsidR="007E5098">
        <w:rPr>
          <w:sz w:val="24"/>
          <w:szCs w:val="24"/>
        </w:rPr>
        <w:t xml:space="preserve"> </w:t>
      </w:r>
      <w:r w:rsidR="007E5098" w:rsidRPr="007E5098">
        <w:rPr>
          <w:sz w:val="24"/>
          <w:szCs w:val="24"/>
        </w:rPr>
        <w:t xml:space="preserve">In doing so, the Court opined that “the Court does not decide today the validity of the common-law rule of completeness as applied to testimonial hearsay.  Under that rule, a party against whom a part of an utterance has been put in, may in his turn complement it by putting in the remainder.  The parties agree that the rule of completeness does not apply to the facts of this case, as Morris’ plea allocution was not part of any statement that Hemphill </w:t>
      </w:r>
      <w:r w:rsidR="007E5098" w:rsidRPr="007E5098">
        <w:rPr>
          <w:sz w:val="24"/>
          <w:szCs w:val="24"/>
        </w:rPr>
        <w:lastRenderedPageBreak/>
        <w:t xml:space="preserve">introduced.  Whether and under what circumstances that rule might allow the admission of testimonial hearsay against a criminal defendant presents different issues that are not before this Court” (595 US —, —, — S Ct —, —, 2022 WL 174223, *9 [internal quotation marks and citations omitted]).  </w:t>
      </w:r>
    </w:p>
    <w:p w14:paraId="03E57B3B" w14:textId="002AE275" w:rsidR="00E364FF" w:rsidRPr="00E364FF" w:rsidRDefault="00E364FF" w:rsidP="00E364FF">
      <w:pPr>
        <w:widowControl/>
        <w:snapToGrid w:val="0"/>
        <w:jc w:val="both"/>
        <w:rPr>
          <w:rFonts w:eastAsia="Times New Roman"/>
          <w:color w:val="00B050"/>
          <w:sz w:val="24"/>
          <w:szCs w:val="24"/>
          <w:lang w:val="x-none"/>
        </w:rPr>
      </w:pPr>
    </w:p>
    <w:bookmarkEnd w:id="0"/>
    <w:p w14:paraId="3DBF4C0C" w14:textId="02CC7330" w:rsidR="00D96C8E" w:rsidRPr="00884703" w:rsidRDefault="00E364FF" w:rsidP="0088470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 xml:space="preserve"> </w:t>
      </w:r>
    </w:p>
    <w:sectPr w:rsidR="00D96C8E" w:rsidRPr="00884703" w:rsidSect="00884703">
      <w:footerReference w:type="default" r:id="rId7"/>
      <w:endnotePr>
        <w:numFmt w:val="decimal"/>
      </w:endnotePr>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CA3C" w14:textId="77777777" w:rsidR="00B144EC" w:rsidRDefault="00B144EC" w:rsidP="00884703">
      <w:r>
        <w:separator/>
      </w:r>
    </w:p>
  </w:endnote>
  <w:endnote w:type="continuationSeparator" w:id="0">
    <w:p w14:paraId="1178C345" w14:textId="77777777" w:rsidR="00B144EC" w:rsidRDefault="00B144EC" w:rsidP="00884703">
      <w:r>
        <w:continuationSeparator/>
      </w:r>
    </w:p>
  </w:endnote>
  <w:endnote w:id="1">
    <w:p w14:paraId="2D58085B" w14:textId="3E706C41" w:rsidR="00C84E2B" w:rsidRDefault="00C84E2B">
      <w:pPr>
        <w:pStyle w:val="EndnoteText"/>
      </w:pPr>
      <w:r>
        <w:rPr>
          <w:rStyle w:val="EndnoteReference"/>
        </w:rPr>
        <w:endnoteRef/>
      </w:r>
      <w:r>
        <w:t xml:space="preserve"> In J</w:t>
      </w:r>
      <w:r w:rsidR="00C73EE1">
        <w:t>anuary</w:t>
      </w:r>
      <w:r>
        <w:t xml:space="preserve"> 2022, the Note </w:t>
      </w:r>
      <w:r w:rsidR="00A630AD">
        <w:t xml:space="preserve">was amended to include the last paragraph’s discussion of </w:t>
      </w:r>
      <w:r w:rsidR="00A630AD" w:rsidRPr="00A630AD">
        <w:rPr>
          <w:i/>
          <w:iCs/>
        </w:rPr>
        <w:t>Hemphill</w:t>
      </w:r>
      <w:r w:rsidR="00A630AD">
        <w:rPr>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97A" w14:textId="77777777" w:rsidR="00884703" w:rsidRDefault="00884703">
    <w:pPr>
      <w:pStyle w:val="Footer"/>
      <w:jc w:val="center"/>
    </w:pPr>
    <w:r>
      <w:fldChar w:fldCharType="begin"/>
    </w:r>
    <w:r>
      <w:instrText xml:space="preserve"> PAGE   \* MERGEFORMAT </w:instrText>
    </w:r>
    <w:r>
      <w:fldChar w:fldCharType="separate"/>
    </w:r>
    <w:r w:rsidR="00E8029B">
      <w:rPr>
        <w:noProof/>
      </w:rPr>
      <w:t>2</w:t>
    </w:r>
    <w:r>
      <w:fldChar w:fldCharType="end"/>
    </w:r>
  </w:p>
  <w:p w14:paraId="1B23CB9E" w14:textId="77777777" w:rsidR="00884703" w:rsidRDefault="0088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7F4D" w14:textId="77777777" w:rsidR="00B144EC" w:rsidRDefault="00B144EC" w:rsidP="00884703">
      <w:r>
        <w:separator/>
      </w:r>
    </w:p>
  </w:footnote>
  <w:footnote w:type="continuationSeparator" w:id="0">
    <w:p w14:paraId="287DE338" w14:textId="77777777" w:rsidR="00B144EC" w:rsidRDefault="00B144EC" w:rsidP="0088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03"/>
    <w:rsid w:val="0000048D"/>
    <w:rsid w:val="000D0C3A"/>
    <w:rsid w:val="0027782F"/>
    <w:rsid w:val="003048DA"/>
    <w:rsid w:val="00313265"/>
    <w:rsid w:val="00322394"/>
    <w:rsid w:val="003A1680"/>
    <w:rsid w:val="003B6201"/>
    <w:rsid w:val="003B7157"/>
    <w:rsid w:val="0041400E"/>
    <w:rsid w:val="00536A3A"/>
    <w:rsid w:val="00577463"/>
    <w:rsid w:val="00616A56"/>
    <w:rsid w:val="00706FF4"/>
    <w:rsid w:val="0073091F"/>
    <w:rsid w:val="007E5098"/>
    <w:rsid w:val="00884703"/>
    <w:rsid w:val="008F7163"/>
    <w:rsid w:val="009125A3"/>
    <w:rsid w:val="00920198"/>
    <w:rsid w:val="0097573E"/>
    <w:rsid w:val="009967A1"/>
    <w:rsid w:val="00A630AD"/>
    <w:rsid w:val="00A91542"/>
    <w:rsid w:val="00B1230D"/>
    <w:rsid w:val="00B144EC"/>
    <w:rsid w:val="00BA262E"/>
    <w:rsid w:val="00C73EE1"/>
    <w:rsid w:val="00C76F86"/>
    <w:rsid w:val="00C84E2B"/>
    <w:rsid w:val="00C92EA4"/>
    <w:rsid w:val="00D00256"/>
    <w:rsid w:val="00D96C8E"/>
    <w:rsid w:val="00E364FF"/>
    <w:rsid w:val="00E8029B"/>
    <w:rsid w:val="00EB2479"/>
    <w:rsid w:val="00F1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1E89E"/>
  <w14:defaultImageDpi w14:val="0"/>
  <w15:docId w15:val="{CDB4FCFA-2803-4AC8-9A70-6E5DDBC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884703"/>
    <w:pPr>
      <w:tabs>
        <w:tab w:val="center" w:pos="4680"/>
        <w:tab w:val="right" w:pos="9360"/>
      </w:tabs>
    </w:pPr>
  </w:style>
  <w:style w:type="character" w:customStyle="1" w:styleId="HeaderChar">
    <w:name w:val="Header Char"/>
    <w:basedOn w:val="DefaultParagraphFont"/>
    <w:link w:val="Header"/>
    <w:uiPriority w:val="99"/>
    <w:locked/>
    <w:rsid w:val="00884703"/>
    <w:rPr>
      <w:rFonts w:ascii="Times New Roman" w:hAnsi="Times New Roman" w:cs="Times New Roman"/>
      <w:sz w:val="20"/>
      <w:szCs w:val="20"/>
    </w:rPr>
  </w:style>
  <w:style w:type="paragraph" w:styleId="Footer">
    <w:name w:val="footer"/>
    <w:basedOn w:val="Normal"/>
    <w:link w:val="FooterChar"/>
    <w:uiPriority w:val="99"/>
    <w:unhideWhenUsed/>
    <w:rsid w:val="00884703"/>
    <w:pPr>
      <w:tabs>
        <w:tab w:val="center" w:pos="4680"/>
        <w:tab w:val="right" w:pos="9360"/>
      </w:tabs>
    </w:pPr>
  </w:style>
  <w:style w:type="character" w:customStyle="1" w:styleId="FooterChar">
    <w:name w:val="Footer Char"/>
    <w:basedOn w:val="DefaultParagraphFont"/>
    <w:link w:val="Footer"/>
    <w:uiPriority w:val="99"/>
    <w:locked/>
    <w:rsid w:val="0088470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8470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703"/>
    <w:rPr>
      <w:rFonts w:ascii="Segoe UI" w:hAnsi="Segoe UI" w:cs="Segoe UI"/>
      <w:sz w:val="18"/>
      <w:szCs w:val="18"/>
    </w:rPr>
  </w:style>
  <w:style w:type="paragraph" w:styleId="EndnoteText">
    <w:name w:val="endnote text"/>
    <w:basedOn w:val="Normal"/>
    <w:link w:val="EndnoteTextChar"/>
    <w:uiPriority w:val="99"/>
    <w:semiHidden/>
    <w:unhideWhenUsed/>
    <w:rsid w:val="00C84E2B"/>
  </w:style>
  <w:style w:type="character" w:customStyle="1" w:styleId="EndnoteTextChar">
    <w:name w:val="Endnote Text Char"/>
    <w:basedOn w:val="DefaultParagraphFont"/>
    <w:link w:val="EndnoteText"/>
    <w:uiPriority w:val="99"/>
    <w:semiHidden/>
    <w:rsid w:val="00C84E2B"/>
    <w:rPr>
      <w:rFonts w:ascii="Times New Roman" w:hAnsi="Times New Roman"/>
      <w:sz w:val="20"/>
      <w:szCs w:val="20"/>
    </w:rPr>
  </w:style>
  <w:style w:type="character" w:styleId="EndnoteReference">
    <w:name w:val="endnote reference"/>
    <w:basedOn w:val="DefaultParagraphFont"/>
    <w:uiPriority w:val="99"/>
    <w:semiHidden/>
    <w:unhideWhenUsed/>
    <w:rsid w:val="00C84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014C-6823-4500-A307-6ACD04F9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1060</Words>
  <Characters>5133</Characters>
  <Application>Microsoft Office Word</Application>
  <DocSecurity>0</DocSecurity>
  <Lines>98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42</cp:revision>
  <cp:lastPrinted>2022-01-24T21:16:00Z</cp:lastPrinted>
  <dcterms:created xsi:type="dcterms:W3CDTF">2017-10-18T18:28:00Z</dcterms:created>
  <dcterms:modified xsi:type="dcterms:W3CDTF">2022-01-24T21:16:00Z</dcterms:modified>
</cp:coreProperties>
</file>