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83AE" w14:textId="45FB59C1" w:rsidR="00E30C9B" w:rsidRPr="00FC7BEE" w:rsidRDefault="00E30C9B" w:rsidP="00E30C9B">
      <w:pPr>
        <w:widowControl/>
        <w:shd w:val="clear" w:color="auto" w:fill="FFFFFF"/>
        <w:autoSpaceDE/>
        <w:autoSpaceDN/>
        <w:adjustRightInd/>
        <w:rPr>
          <w:rFonts w:eastAsia="Times New Roman"/>
          <w:b/>
          <w:bCs/>
          <w:color w:val="000000"/>
          <w:sz w:val="28"/>
          <w:szCs w:val="28"/>
        </w:rPr>
      </w:pPr>
      <w:r w:rsidRPr="00FC7BEE">
        <w:rPr>
          <w:rFonts w:eastAsia="Times New Roman"/>
          <w:b/>
          <w:bCs/>
          <w:color w:val="000000"/>
          <w:sz w:val="28"/>
          <w:szCs w:val="28"/>
        </w:rPr>
        <w:t>4.</w:t>
      </w:r>
      <w:r w:rsidR="009B4249" w:rsidRPr="00FC7BEE">
        <w:rPr>
          <w:rFonts w:eastAsia="Times New Roman"/>
          <w:b/>
          <w:bCs/>
          <w:color w:val="000000"/>
          <w:sz w:val="28"/>
          <w:szCs w:val="28"/>
        </w:rPr>
        <w:t>27</w:t>
      </w:r>
      <w:r w:rsidRPr="00FC7BEE">
        <w:rPr>
          <w:rFonts w:eastAsia="Times New Roman"/>
          <w:b/>
          <w:bCs/>
          <w:color w:val="000000"/>
          <w:sz w:val="28"/>
          <w:szCs w:val="28"/>
        </w:rPr>
        <w:t xml:space="preserve"> Defendant</w:t>
      </w:r>
      <w:r w:rsidR="003E7E25" w:rsidRPr="00FC7BEE">
        <w:rPr>
          <w:rFonts w:eastAsia="Times New Roman"/>
          <w:b/>
          <w:bCs/>
          <w:color w:val="000000"/>
          <w:sz w:val="28"/>
          <w:szCs w:val="28"/>
        </w:rPr>
        <w:t xml:space="preserve">’s Testimony </w:t>
      </w:r>
      <w:r w:rsidR="00B13936" w:rsidRPr="00FC7BEE">
        <w:rPr>
          <w:rFonts w:eastAsia="Times New Roman"/>
          <w:b/>
          <w:bCs/>
          <w:color w:val="000000"/>
          <w:sz w:val="28"/>
          <w:szCs w:val="28"/>
        </w:rPr>
        <w:t>Re:</w:t>
      </w:r>
      <w:r w:rsidRPr="00FC7BEE">
        <w:rPr>
          <w:rFonts w:eastAsia="Times New Roman"/>
          <w:b/>
          <w:bCs/>
          <w:color w:val="000000"/>
          <w:sz w:val="28"/>
          <w:szCs w:val="28"/>
        </w:rPr>
        <w:t xml:space="preserve"> Intent</w:t>
      </w:r>
      <w:r w:rsidR="001A1378" w:rsidRPr="00FC7BEE">
        <w:rPr>
          <w:rFonts w:eastAsia="Times New Roman"/>
          <w:b/>
          <w:bCs/>
          <w:color w:val="000000"/>
          <w:sz w:val="28"/>
          <w:szCs w:val="28"/>
        </w:rPr>
        <w:t>, Knowledge, or</w:t>
      </w:r>
      <w:r w:rsidRPr="00FC7BEE">
        <w:rPr>
          <w:rFonts w:eastAsia="Times New Roman"/>
          <w:b/>
          <w:bCs/>
          <w:color w:val="000000"/>
          <w:sz w:val="28"/>
          <w:szCs w:val="28"/>
        </w:rPr>
        <w:t xml:space="preserve"> Motive</w:t>
      </w:r>
    </w:p>
    <w:p w14:paraId="74E064AB" w14:textId="5F82FCB7" w:rsidR="00E30C9B" w:rsidRPr="00FC7BEE" w:rsidRDefault="00E30C9B" w:rsidP="00E30C9B">
      <w:pPr>
        <w:widowControl/>
        <w:shd w:val="clear" w:color="auto" w:fill="FFFFFF"/>
        <w:autoSpaceDE/>
        <w:autoSpaceDN/>
        <w:adjustRightInd/>
        <w:rPr>
          <w:rFonts w:eastAsia="Times New Roman"/>
          <w:b/>
          <w:bCs/>
          <w:color w:val="000000"/>
          <w:sz w:val="28"/>
          <w:szCs w:val="28"/>
        </w:rPr>
      </w:pPr>
    </w:p>
    <w:p w14:paraId="3F25D76A" w14:textId="160ACC0E" w:rsidR="00E30C9B" w:rsidRPr="00FC7BEE" w:rsidRDefault="001A1378" w:rsidP="001A1378">
      <w:pPr>
        <w:widowControl/>
        <w:shd w:val="clear" w:color="auto" w:fill="FFFFFF"/>
        <w:autoSpaceDE/>
        <w:autoSpaceDN/>
        <w:adjustRightInd/>
        <w:ind w:left="720" w:right="720"/>
        <w:jc w:val="both"/>
        <w:rPr>
          <w:rFonts w:eastAsia="Times New Roman"/>
          <w:b/>
          <w:bCs/>
          <w:color w:val="000000"/>
          <w:sz w:val="28"/>
          <w:szCs w:val="28"/>
        </w:rPr>
      </w:pPr>
      <w:r w:rsidRPr="00FC7BEE">
        <w:rPr>
          <w:rFonts w:eastAsia="Times New Roman"/>
          <w:b/>
          <w:bCs/>
          <w:color w:val="000000"/>
          <w:sz w:val="28"/>
          <w:szCs w:val="28"/>
        </w:rPr>
        <w:t xml:space="preserve">When the intent, knowledge, or motive of a defendant in performing a particular act or making a particular declaration </w:t>
      </w:r>
      <w:r w:rsidRPr="00FC7BEE">
        <w:rPr>
          <w:rFonts w:eastAsia="Times New Roman"/>
          <w:b/>
          <w:bCs/>
          <w:sz w:val="28"/>
          <w:szCs w:val="28"/>
        </w:rPr>
        <w:t xml:space="preserve">is </w:t>
      </w:r>
      <w:r w:rsidR="00DF5604" w:rsidRPr="00FC7BEE">
        <w:rPr>
          <w:rFonts w:eastAsia="Times New Roman"/>
          <w:b/>
          <w:bCs/>
          <w:sz w:val="28"/>
          <w:szCs w:val="28"/>
        </w:rPr>
        <w:t xml:space="preserve">an element of </w:t>
      </w:r>
      <w:r w:rsidR="004A0022" w:rsidRPr="00FC7BEE">
        <w:rPr>
          <w:rFonts w:eastAsia="Times New Roman"/>
          <w:b/>
          <w:bCs/>
          <w:sz w:val="28"/>
          <w:szCs w:val="28"/>
        </w:rPr>
        <w:t>an</w:t>
      </w:r>
      <w:r w:rsidR="00DF5604" w:rsidRPr="00FC7BEE">
        <w:rPr>
          <w:rFonts w:eastAsia="Times New Roman"/>
          <w:b/>
          <w:bCs/>
          <w:sz w:val="28"/>
          <w:szCs w:val="28"/>
        </w:rPr>
        <w:t xml:space="preserve"> offens</w:t>
      </w:r>
      <w:r w:rsidR="00B411E6" w:rsidRPr="00FC7BEE">
        <w:rPr>
          <w:rFonts w:eastAsia="Times New Roman"/>
          <w:b/>
          <w:bCs/>
          <w:sz w:val="28"/>
          <w:szCs w:val="28"/>
        </w:rPr>
        <w:t>e or reflects on</w:t>
      </w:r>
      <w:r w:rsidR="00DF5604" w:rsidRPr="00FC7BEE">
        <w:rPr>
          <w:rFonts w:eastAsia="Times New Roman"/>
          <w:b/>
          <w:bCs/>
          <w:color w:val="000000"/>
          <w:sz w:val="28"/>
          <w:szCs w:val="28"/>
        </w:rPr>
        <w:t xml:space="preserve"> </w:t>
      </w:r>
      <w:r w:rsidRPr="00FC7BEE">
        <w:rPr>
          <w:rFonts w:eastAsia="Times New Roman"/>
          <w:b/>
          <w:bCs/>
          <w:color w:val="000000"/>
          <w:sz w:val="28"/>
          <w:szCs w:val="28"/>
        </w:rPr>
        <w:t>a material issue, the defendant may testify as to his</w:t>
      </w:r>
      <w:r w:rsidR="00E41C31" w:rsidRPr="00FC7BEE">
        <w:rPr>
          <w:rFonts w:eastAsia="Times New Roman"/>
          <w:b/>
          <w:bCs/>
          <w:color w:val="000000"/>
          <w:sz w:val="28"/>
          <w:szCs w:val="28"/>
        </w:rPr>
        <w:t xml:space="preserve"> or her</w:t>
      </w:r>
      <w:r w:rsidRPr="00FC7BEE">
        <w:rPr>
          <w:rFonts w:eastAsia="Times New Roman"/>
          <w:b/>
          <w:bCs/>
          <w:color w:val="000000"/>
          <w:sz w:val="28"/>
          <w:szCs w:val="28"/>
        </w:rPr>
        <w:t xml:space="preserve"> intent</w:t>
      </w:r>
      <w:r w:rsidR="00826F93" w:rsidRPr="00FC7BEE">
        <w:rPr>
          <w:rFonts w:eastAsia="Times New Roman"/>
          <w:b/>
          <w:bCs/>
          <w:color w:val="000000"/>
          <w:sz w:val="28"/>
          <w:szCs w:val="28"/>
        </w:rPr>
        <w:t>, knowledge,</w:t>
      </w:r>
      <w:r w:rsidRPr="00FC7BEE">
        <w:rPr>
          <w:rFonts w:eastAsia="Times New Roman"/>
          <w:b/>
          <w:bCs/>
          <w:color w:val="000000"/>
          <w:sz w:val="28"/>
          <w:szCs w:val="28"/>
        </w:rPr>
        <w:t xml:space="preserve"> or motive.</w:t>
      </w:r>
    </w:p>
    <w:p w14:paraId="26AF59D3" w14:textId="3B374716" w:rsidR="00E30C9B" w:rsidRPr="00FC7BEE" w:rsidRDefault="00E30C9B" w:rsidP="00E30C9B">
      <w:pPr>
        <w:widowControl/>
        <w:shd w:val="clear" w:color="auto" w:fill="FFFFFF"/>
        <w:autoSpaceDE/>
        <w:autoSpaceDN/>
        <w:adjustRightInd/>
        <w:rPr>
          <w:rFonts w:eastAsia="Times New Roman"/>
          <w:b/>
          <w:bCs/>
          <w:color w:val="000000"/>
          <w:sz w:val="28"/>
          <w:szCs w:val="28"/>
        </w:rPr>
      </w:pPr>
    </w:p>
    <w:p w14:paraId="52AEE764" w14:textId="05A427CE" w:rsidR="0016047F" w:rsidRPr="00FC7BEE" w:rsidRDefault="0016047F" w:rsidP="0016047F">
      <w:pPr>
        <w:widowControl/>
        <w:shd w:val="clear" w:color="auto" w:fill="FFFFFF"/>
        <w:autoSpaceDE/>
        <w:autoSpaceDN/>
        <w:adjustRightInd/>
        <w:jc w:val="center"/>
        <w:rPr>
          <w:rFonts w:eastAsia="Times New Roman"/>
          <w:b/>
          <w:bCs/>
          <w:color w:val="000000"/>
          <w:sz w:val="24"/>
          <w:szCs w:val="24"/>
        </w:rPr>
      </w:pPr>
      <w:r w:rsidRPr="00FC7BEE">
        <w:rPr>
          <w:rFonts w:eastAsia="Times New Roman"/>
          <w:b/>
          <w:bCs/>
          <w:color w:val="000000"/>
          <w:sz w:val="24"/>
          <w:szCs w:val="24"/>
        </w:rPr>
        <w:t>Note</w:t>
      </w:r>
    </w:p>
    <w:p w14:paraId="0597BD3E" w14:textId="294397DE" w:rsidR="0016047F" w:rsidRPr="00FC7BEE" w:rsidRDefault="0016047F" w:rsidP="00FC7BEE">
      <w:pPr>
        <w:widowControl/>
        <w:shd w:val="clear" w:color="auto" w:fill="FFFFFF"/>
        <w:autoSpaceDE/>
        <w:autoSpaceDN/>
        <w:adjustRightInd/>
        <w:rPr>
          <w:rFonts w:eastAsia="Times New Roman"/>
          <w:color w:val="000000"/>
          <w:sz w:val="24"/>
          <w:szCs w:val="24"/>
        </w:rPr>
      </w:pPr>
    </w:p>
    <w:p w14:paraId="74F3ECFA" w14:textId="77777777" w:rsidR="0016047F" w:rsidRPr="00FC7BEE" w:rsidRDefault="0016047F" w:rsidP="000E3E9E">
      <w:pPr>
        <w:widowControl/>
        <w:shd w:val="clear" w:color="auto" w:fill="FFFFFF"/>
        <w:autoSpaceDE/>
        <w:autoSpaceDN/>
        <w:adjustRightInd/>
        <w:jc w:val="both"/>
        <w:rPr>
          <w:rFonts w:eastAsia="Times New Roman"/>
          <w:color w:val="000000"/>
          <w:sz w:val="24"/>
          <w:szCs w:val="24"/>
        </w:rPr>
      </w:pPr>
      <w:r w:rsidRPr="00FC7BEE">
        <w:rPr>
          <w:rFonts w:eastAsia="Times New Roman"/>
          <w:color w:val="000000"/>
          <w:sz w:val="24"/>
          <w:szCs w:val="24"/>
        </w:rPr>
        <w:tab/>
        <w:t>This well-settled rule is derived from a long line of cases.</w:t>
      </w:r>
    </w:p>
    <w:p w14:paraId="7800D129" w14:textId="73FD2001" w:rsidR="0016047F" w:rsidRPr="00FC7BEE" w:rsidRDefault="0016047F" w:rsidP="000E3E9E">
      <w:pPr>
        <w:widowControl/>
        <w:shd w:val="clear" w:color="auto" w:fill="FFFFFF"/>
        <w:autoSpaceDE/>
        <w:autoSpaceDN/>
        <w:adjustRightInd/>
        <w:jc w:val="both"/>
        <w:rPr>
          <w:rFonts w:eastAsia="Times New Roman"/>
          <w:color w:val="000000"/>
          <w:sz w:val="24"/>
          <w:szCs w:val="24"/>
        </w:rPr>
      </w:pPr>
    </w:p>
    <w:p w14:paraId="0D6BABF7" w14:textId="4BFAFC52" w:rsidR="005E6E4E" w:rsidRPr="00FC7BEE" w:rsidRDefault="00BA4249" w:rsidP="00BA4249">
      <w:pPr>
        <w:widowControl/>
        <w:shd w:val="clear" w:color="auto" w:fill="FFFFFF"/>
        <w:tabs>
          <w:tab w:val="left" w:pos="720"/>
        </w:tabs>
        <w:autoSpaceDE/>
        <w:autoSpaceDN/>
        <w:adjustRightInd/>
        <w:jc w:val="both"/>
        <w:rPr>
          <w:rFonts w:eastAsia="Times New Roman"/>
          <w:color w:val="000000"/>
          <w:sz w:val="24"/>
          <w:szCs w:val="24"/>
        </w:rPr>
      </w:pPr>
      <w:r>
        <w:rPr>
          <w:rFonts w:eastAsia="Times New Roman"/>
          <w:i/>
          <w:iCs/>
          <w:color w:val="000000"/>
          <w:sz w:val="24"/>
          <w:szCs w:val="24"/>
        </w:rPr>
        <w:tab/>
      </w:r>
      <w:proofErr w:type="spellStart"/>
      <w:r w:rsidR="0016047F" w:rsidRPr="00FC7BEE">
        <w:rPr>
          <w:rFonts w:eastAsia="Times New Roman"/>
          <w:i/>
          <w:iCs/>
          <w:color w:val="000000"/>
          <w:sz w:val="24"/>
          <w:szCs w:val="24"/>
        </w:rPr>
        <w:t>Kerrains</w:t>
      </w:r>
      <w:proofErr w:type="spellEnd"/>
      <w:r w:rsidR="0016047F" w:rsidRPr="00FC7BEE">
        <w:rPr>
          <w:rFonts w:eastAsia="Times New Roman"/>
          <w:i/>
          <w:iCs/>
          <w:color w:val="000000"/>
          <w:sz w:val="24"/>
          <w:szCs w:val="24"/>
        </w:rPr>
        <w:t xml:space="preserve"> v People</w:t>
      </w:r>
      <w:r w:rsidR="0016047F" w:rsidRPr="00FC7BEE">
        <w:rPr>
          <w:rFonts w:eastAsia="Times New Roman"/>
          <w:color w:val="000000"/>
          <w:sz w:val="24"/>
          <w:szCs w:val="24"/>
        </w:rPr>
        <w:t xml:space="preserve"> </w:t>
      </w:r>
      <w:r w:rsidR="008A4BAA" w:rsidRPr="00FC7BEE">
        <w:rPr>
          <w:rFonts w:eastAsia="Times New Roman"/>
          <w:color w:val="000000"/>
          <w:sz w:val="24"/>
          <w:szCs w:val="24"/>
        </w:rPr>
        <w:t>(</w:t>
      </w:r>
      <w:r w:rsidR="0016047F" w:rsidRPr="00FC7BEE">
        <w:rPr>
          <w:rFonts w:eastAsia="Times New Roman"/>
          <w:color w:val="000000"/>
          <w:sz w:val="24"/>
          <w:szCs w:val="24"/>
        </w:rPr>
        <w:t>60 NY 221, 228-</w:t>
      </w:r>
      <w:r w:rsidR="008A4BAA" w:rsidRPr="00FC7BEE">
        <w:rPr>
          <w:rFonts w:eastAsia="Times New Roman"/>
          <w:color w:val="000000"/>
          <w:sz w:val="24"/>
          <w:szCs w:val="24"/>
        </w:rPr>
        <w:t>2</w:t>
      </w:r>
      <w:r w:rsidR="0016047F" w:rsidRPr="00FC7BEE">
        <w:rPr>
          <w:rFonts w:eastAsia="Times New Roman"/>
          <w:color w:val="000000"/>
          <w:sz w:val="24"/>
          <w:szCs w:val="24"/>
        </w:rPr>
        <w:t>29 [1875]</w:t>
      </w:r>
      <w:r w:rsidR="006A4038" w:rsidRPr="00FC7BEE">
        <w:rPr>
          <w:rFonts w:eastAsia="Times New Roman"/>
          <w:color w:val="000000"/>
          <w:sz w:val="24"/>
          <w:szCs w:val="24"/>
        </w:rPr>
        <w:t>)</w:t>
      </w:r>
      <w:r w:rsidR="002970BB" w:rsidRPr="00FC7BEE">
        <w:rPr>
          <w:rFonts w:eastAsia="Times New Roman"/>
          <w:color w:val="000000"/>
          <w:sz w:val="24"/>
          <w:szCs w:val="24"/>
        </w:rPr>
        <w:t xml:space="preserve">, for example, allowed </w:t>
      </w:r>
      <w:r w:rsidR="0016047F" w:rsidRPr="00FC7BEE">
        <w:rPr>
          <w:rFonts w:eastAsia="Times New Roman"/>
          <w:color w:val="000000"/>
          <w:sz w:val="24"/>
          <w:szCs w:val="24"/>
        </w:rPr>
        <w:t xml:space="preserve">a defendant to testify to his motive for procuring the purported murder weapon </w:t>
      </w:r>
      <w:proofErr w:type="gramStart"/>
      <w:r w:rsidR="0016047F" w:rsidRPr="00FC7BEE">
        <w:rPr>
          <w:rFonts w:eastAsia="Times New Roman"/>
          <w:color w:val="000000"/>
          <w:sz w:val="24"/>
          <w:szCs w:val="24"/>
        </w:rPr>
        <w:t>in order to</w:t>
      </w:r>
      <w:proofErr w:type="gramEnd"/>
      <w:r w:rsidR="0016047F" w:rsidRPr="00FC7BEE">
        <w:rPr>
          <w:rFonts w:eastAsia="Times New Roman"/>
          <w:color w:val="000000"/>
          <w:sz w:val="24"/>
          <w:szCs w:val="24"/>
        </w:rPr>
        <w:t xml:space="preserve"> disprove </w:t>
      </w:r>
      <w:r w:rsidR="00ED5E13" w:rsidRPr="00FC7BEE">
        <w:rPr>
          <w:rFonts w:eastAsia="Times New Roman"/>
          <w:color w:val="000000"/>
          <w:sz w:val="24"/>
          <w:szCs w:val="24"/>
        </w:rPr>
        <w:t>that he had an</w:t>
      </w:r>
      <w:r w:rsidR="0016047F" w:rsidRPr="00FC7BEE">
        <w:rPr>
          <w:rFonts w:eastAsia="Times New Roman"/>
          <w:color w:val="000000"/>
          <w:sz w:val="24"/>
          <w:szCs w:val="24"/>
        </w:rPr>
        <w:t xml:space="preserve"> </w:t>
      </w:r>
      <w:r w:rsidR="002970BB" w:rsidRPr="00FC7BEE">
        <w:rPr>
          <w:rFonts w:eastAsia="Times New Roman"/>
          <w:color w:val="000000"/>
          <w:sz w:val="24"/>
          <w:szCs w:val="24"/>
        </w:rPr>
        <w:t xml:space="preserve">intent to use it to kill the deceased. </w:t>
      </w:r>
      <w:r w:rsidR="00D263FF" w:rsidRPr="00FC7BEE">
        <w:rPr>
          <w:rFonts w:eastAsia="Times New Roman"/>
          <w:color w:val="000000"/>
          <w:sz w:val="24"/>
          <w:szCs w:val="24"/>
        </w:rPr>
        <w:t xml:space="preserve">In </w:t>
      </w:r>
      <w:proofErr w:type="spellStart"/>
      <w:r w:rsidR="002970BB" w:rsidRPr="00FC7BEE">
        <w:rPr>
          <w:rFonts w:eastAsia="Times New Roman"/>
          <w:i/>
          <w:iCs/>
          <w:color w:val="000000"/>
          <w:sz w:val="24"/>
          <w:szCs w:val="24"/>
        </w:rPr>
        <w:t>Kerrains</w:t>
      </w:r>
      <w:proofErr w:type="spellEnd"/>
      <w:r w:rsidR="003A3279" w:rsidRPr="00FC7BEE">
        <w:rPr>
          <w:rFonts w:eastAsia="Times New Roman"/>
          <w:color w:val="000000"/>
          <w:sz w:val="24"/>
          <w:szCs w:val="24"/>
        </w:rPr>
        <w:t xml:space="preserve">’ </w:t>
      </w:r>
      <w:r w:rsidR="00D263FF" w:rsidRPr="00FC7BEE">
        <w:rPr>
          <w:rFonts w:eastAsia="Times New Roman"/>
          <w:color w:val="000000"/>
          <w:sz w:val="24"/>
          <w:szCs w:val="24"/>
        </w:rPr>
        <w:t>words</w:t>
      </w:r>
      <w:r w:rsidR="007F0A2D" w:rsidRPr="00FC7BEE">
        <w:rPr>
          <w:rFonts w:eastAsia="Times New Roman"/>
          <w:color w:val="000000"/>
          <w:sz w:val="24"/>
          <w:szCs w:val="24"/>
        </w:rPr>
        <w:t>:</w:t>
      </w:r>
    </w:p>
    <w:p w14:paraId="26D5FCAA" w14:textId="77777777" w:rsidR="005E6E4E" w:rsidRPr="00FC7BEE" w:rsidRDefault="005E6E4E" w:rsidP="00FC7BEE">
      <w:pPr>
        <w:widowControl/>
        <w:shd w:val="clear" w:color="auto" w:fill="FFFFFF"/>
        <w:autoSpaceDE/>
        <w:autoSpaceDN/>
        <w:adjustRightInd/>
        <w:jc w:val="both"/>
        <w:rPr>
          <w:rFonts w:eastAsia="Times New Roman"/>
          <w:color w:val="000000"/>
          <w:sz w:val="24"/>
          <w:szCs w:val="24"/>
        </w:rPr>
      </w:pPr>
    </w:p>
    <w:p w14:paraId="282F5E25" w14:textId="05ABE72A" w:rsidR="00970B65" w:rsidRPr="000D5079" w:rsidRDefault="007F0A2D" w:rsidP="000D5079">
      <w:pPr>
        <w:widowControl/>
        <w:shd w:val="clear" w:color="auto" w:fill="FFFFFF"/>
        <w:tabs>
          <w:tab w:val="left" w:pos="720"/>
        </w:tabs>
        <w:autoSpaceDE/>
        <w:autoSpaceDN/>
        <w:adjustRightInd/>
        <w:ind w:left="720" w:right="720"/>
        <w:jc w:val="both"/>
        <w:rPr>
          <w:rFonts w:eastAsia="Times New Roman"/>
          <w:color w:val="000000"/>
          <w:sz w:val="24"/>
          <w:szCs w:val="24"/>
          <w:shd w:val="clear" w:color="auto" w:fill="FFFFFF"/>
        </w:rPr>
      </w:pPr>
      <w:r w:rsidRPr="00FC7BEE">
        <w:rPr>
          <w:rFonts w:eastAsia="Times New Roman"/>
          <w:color w:val="000000"/>
          <w:sz w:val="24"/>
          <w:szCs w:val="24"/>
        </w:rPr>
        <w:t>“</w:t>
      </w:r>
      <w:r w:rsidR="000B7BEC" w:rsidRPr="00FC7BEE">
        <w:rPr>
          <w:rFonts w:eastAsia="Times New Roman"/>
          <w:color w:val="000000"/>
          <w:sz w:val="24"/>
          <w:szCs w:val="24"/>
        </w:rPr>
        <w:t>[W]</w:t>
      </w:r>
      <w:r w:rsidRPr="00FC7BEE">
        <w:rPr>
          <w:rFonts w:eastAsia="Times New Roman"/>
          <w:color w:val="000000"/>
          <w:sz w:val="24"/>
          <w:szCs w:val="24"/>
        </w:rPr>
        <w:t xml:space="preserve">hen the motive of a witness in performing a particular act, or making a particular declaration, becomes a material issue in a cause, or reflects important light upon such issue, he may himself be sworn </w:t>
      </w:r>
      <w:proofErr w:type="gramStart"/>
      <w:r w:rsidRPr="00FC7BEE">
        <w:rPr>
          <w:rFonts w:eastAsia="Times New Roman"/>
          <w:color w:val="000000"/>
          <w:sz w:val="24"/>
          <w:szCs w:val="24"/>
        </w:rPr>
        <w:t>in regard to</w:t>
      </w:r>
      <w:proofErr w:type="gramEnd"/>
      <w:r w:rsidRPr="00FC7BEE">
        <w:rPr>
          <w:rFonts w:eastAsia="Times New Roman"/>
          <w:color w:val="000000"/>
          <w:sz w:val="24"/>
          <w:szCs w:val="24"/>
        </w:rPr>
        <w:t xml:space="preserve"> it, notwithstanding the difficulty of furnishing contradictory evidence, and notwithstanding the diminished credit to which his testimony may be entitled as coming from the mouth of an interested witness. The motive for procuring the ax was a fact material upon the principal fact in the case, and it was clearly competent for the prisoner to testify in respect to it” </w:t>
      </w:r>
      <w:r w:rsidR="00A6299F" w:rsidRPr="00FC7BEE">
        <w:rPr>
          <w:rFonts w:eastAsia="Times New Roman"/>
          <w:color w:val="000000"/>
          <w:sz w:val="24"/>
          <w:szCs w:val="24"/>
        </w:rPr>
        <w:t>(internal quotation marks</w:t>
      </w:r>
      <w:r w:rsidR="007430CC" w:rsidRPr="00FC7BEE">
        <w:rPr>
          <w:rFonts w:eastAsia="Times New Roman"/>
          <w:color w:val="000000"/>
          <w:sz w:val="24"/>
          <w:szCs w:val="24"/>
        </w:rPr>
        <w:t xml:space="preserve"> omitted</w:t>
      </w:r>
      <w:r w:rsidR="00970B65" w:rsidRPr="00FC7BEE">
        <w:rPr>
          <w:rFonts w:eastAsia="Times New Roman"/>
          <w:color w:val="000000"/>
          <w:sz w:val="24"/>
          <w:szCs w:val="24"/>
        </w:rPr>
        <w:t xml:space="preserve">; </w:t>
      </w:r>
      <w:r w:rsidR="00970B65" w:rsidRPr="00FC7BEE">
        <w:rPr>
          <w:rFonts w:eastAsia="Times New Roman"/>
          <w:i/>
          <w:iCs/>
          <w:color w:val="000000"/>
          <w:sz w:val="24"/>
          <w:szCs w:val="24"/>
        </w:rPr>
        <w:t>accord</w:t>
      </w:r>
      <w:r w:rsidR="00970B65" w:rsidRPr="00FC7BEE">
        <w:rPr>
          <w:rFonts w:eastAsia="Times New Roman"/>
          <w:color w:val="000000"/>
          <w:sz w:val="24"/>
          <w:szCs w:val="24"/>
        </w:rPr>
        <w:t xml:space="preserve"> </w:t>
      </w:r>
      <w:r w:rsidR="00970B65" w:rsidRPr="00FC7BEE">
        <w:rPr>
          <w:rFonts w:eastAsia="Times New Roman"/>
          <w:i/>
          <w:iCs/>
          <w:color w:val="000000"/>
          <w:sz w:val="24"/>
          <w:szCs w:val="24"/>
        </w:rPr>
        <w:t>People v Levan</w:t>
      </w:r>
      <w:r w:rsidR="00970B65" w:rsidRPr="00FC7BEE">
        <w:rPr>
          <w:rFonts w:eastAsia="Times New Roman"/>
          <w:color w:val="000000"/>
          <w:sz w:val="24"/>
          <w:szCs w:val="24"/>
        </w:rPr>
        <w:t xml:space="preserve">, 295 NY 26, 34 [1945] [“Testimony by the defendant as to what his intent was would not have been conclusive but it was competent”]; </w:t>
      </w:r>
      <w:r w:rsidR="00970B65" w:rsidRPr="00FC7BEE">
        <w:rPr>
          <w:rFonts w:eastAsia="Times New Roman"/>
          <w:i/>
          <w:iCs/>
          <w:color w:val="000000"/>
          <w:sz w:val="24"/>
          <w:szCs w:val="24"/>
        </w:rPr>
        <w:t>People v McCullough</w:t>
      </w:r>
      <w:r w:rsidR="00970B65" w:rsidRPr="00FC7BEE">
        <w:rPr>
          <w:rFonts w:eastAsia="Times New Roman"/>
          <w:color w:val="000000"/>
          <w:sz w:val="24"/>
          <w:szCs w:val="24"/>
        </w:rPr>
        <w:t>, 278 AD2d 915, 917 [4th Dept 2000] [</w:t>
      </w:r>
      <w:r w:rsidR="00970B65" w:rsidRPr="00FC7BEE">
        <w:rPr>
          <w:rFonts w:eastAsia="Times New Roman"/>
          <w:color w:val="000000"/>
          <w:sz w:val="24"/>
          <w:szCs w:val="24"/>
          <w:shd w:val="clear" w:color="auto" w:fill="FFFFFF"/>
        </w:rPr>
        <w:t>“ ‘where an actor</w:t>
      </w:r>
      <w:r w:rsidR="00BA4249">
        <w:rPr>
          <w:rFonts w:eastAsia="Times New Roman"/>
          <w:color w:val="000000"/>
          <w:sz w:val="24"/>
          <w:szCs w:val="24"/>
          <w:shd w:val="clear" w:color="auto" w:fill="FFFFFF"/>
        </w:rPr>
        <w:t>’</w:t>
      </w:r>
      <w:r w:rsidR="00970B65" w:rsidRPr="00FC7BEE">
        <w:rPr>
          <w:rFonts w:eastAsia="Times New Roman"/>
          <w:color w:val="000000"/>
          <w:sz w:val="24"/>
          <w:szCs w:val="24"/>
          <w:shd w:val="clear" w:color="auto" w:fill="FFFFFF"/>
        </w:rPr>
        <w:t>s state of mind is a material issue, the actor is allowed to testify concerning such issue’ (</w:t>
      </w:r>
      <w:r w:rsidR="00970B65" w:rsidRPr="00FC7BEE">
        <w:rPr>
          <w:rFonts w:eastAsia="Times New Roman"/>
          <w:i/>
          <w:iCs/>
          <w:color w:val="000000"/>
          <w:sz w:val="24"/>
          <w:szCs w:val="24"/>
          <w:bdr w:val="none" w:sz="0" w:space="0" w:color="auto" w:frame="1"/>
        </w:rPr>
        <w:t>People v Rivera</w:t>
      </w:r>
      <w:r w:rsidR="00D77B11">
        <w:rPr>
          <w:rFonts w:eastAsia="Times New Roman"/>
          <w:color w:val="000000"/>
          <w:sz w:val="24"/>
          <w:szCs w:val="24"/>
          <w:bdr w:val="none" w:sz="0" w:space="0" w:color="auto" w:frame="1"/>
        </w:rPr>
        <w:t>,</w:t>
      </w:r>
      <w:r w:rsidR="00D77B11">
        <w:rPr>
          <w:rFonts w:eastAsia="Times New Roman"/>
          <w:color w:val="000000"/>
          <w:sz w:val="24"/>
          <w:szCs w:val="24"/>
          <w:shd w:val="clear" w:color="auto" w:fill="FFFFFF"/>
        </w:rPr>
        <w:t xml:space="preserve"> </w:t>
      </w:r>
      <w:r w:rsidR="00970B65" w:rsidRPr="00FC7BEE">
        <w:rPr>
          <w:rFonts w:eastAsia="Times New Roman"/>
          <w:color w:val="000000"/>
          <w:sz w:val="24"/>
          <w:szCs w:val="24"/>
          <w:shd w:val="clear" w:color="auto" w:fill="FFFFFF"/>
        </w:rPr>
        <w:t>101 AD2d 981, 982,</w:t>
      </w:r>
      <w:r w:rsidR="00D77B11">
        <w:rPr>
          <w:rFonts w:eastAsia="Times New Roman"/>
          <w:color w:val="000000"/>
          <w:sz w:val="24"/>
          <w:szCs w:val="24"/>
          <w:shd w:val="clear" w:color="auto" w:fill="FFFFFF"/>
        </w:rPr>
        <w:t xml:space="preserve"> </w:t>
      </w:r>
      <w:proofErr w:type="spellStart"/>
      <w:r w:rsidR="00970B65" w:rsidRPr="00FC7BEE">
        <w:rPr>
          <w:rFonts w:eastAsia="Times New Roman"/>
          <w:i/>
          <w:iCs/>
          <w:color w:val="000000"/>
          <w:sz w:val="24"/>
          <w:szCs w:val="24"/>
          <w:bdr w:val="none" w:sz="0" w:space="0" w:color="auto" w:frame="1"/>
        </w:rPr>
        <w:t>affd</w:t>
      </w:r>
      <w:proofErr w:type="spellEnd"/>
      <w:r w:rsidR="00D77B11">
        <w:rPr>
          <w:rFonts w:eastAsia="Times New Roman"/>
          <w:color w:val="000000"/>
          <w:sz w:val="24"/>
          <w:szCs w:val="24"/>
          <w:shd w:val="clear" w:color="auto" w:fill="FFFFFF"/>
        </w:rPr>
        <w:t xml:space="preserve"> </w:t>
      </w:r>
      <w:r w:rsidR="00970B65" w:rsidRPr="00FC7BEE">
        <w:rPr>
          <w:rFonts w:eastAsia="Times New Roman"/>
          <w:color w:val="000000"/>
          <w:sz w:val="24"/>
          <w:szCs w:val="24"/>
          <w:shd w:val="clear" w:color="auto" w:fill="FFFFFF"/>
        </w:rPr>
        <w:t>65 NY2d 661). Defendant was convicted of intentional murder as an accomplice, and thus the jury had to find that he acted ‘with the mental culpability required for the commission’ of that offense (Penal Law § 20.00 . . .</w:t>
      </w:r>
      <w:r w:rsidR="00C214EB">
        <w:rPr>
          <w:rFonts w:eastAsia="Times New Roman"/>
          <w:color w:val="000000"/>
          <w:sz w:val="24"/>
          <w:szCs w:val="24"/>
          <w:shd w:val="clear" w:color="auto" w:fill="FFFFFF"/>
        </w:rPr>
        <w:t>)</w:t>
      </w:r>
      <w:r w:rsidR="00970B65" w:rsidRPr="00FC7BEE">
        <w:rPr>
          <w:rFonts w:eastAsia="Times New Roman"/>
          <w:color w:val="000000"/>
          <w:sz w:val="24"/>
          <w:szCs w:val="24"/>
          <w:shd w:val="clear" w:color="auto" w:fill="FFFFFF"/>
        </w:rPr>
        <w:t>”];</w:t>
      </w:r>
      <w:r w:rsidR="00970B65" w:rsidRPr="00FC7BEE">
        <w:rPr>
          <w:rFonts w:eastAsia="Times New Roman"/>
          <w:color w:val="000000"/>
          <w:sz w:val="24"/>
          <w:szCs w:val="24"/>
        </w:rPr>
        <w:t xml:space="preserve"> </w:t>
      </w:r>
      <w:r w:rsidR="00970B65" w:rsidRPr="00FC7BEE">
        <w:rPr>
          <w:rFonts w:eastAsia="Times New Roman"/>
          <w:i/>
          <w:iCs/>
          <w:color w:val="000000"/>
          <w:sz w:val="24"/>
          <w:szCs w:val="24"/>
        </w:rPr>
        <w:t xml:space="preserve">People v </w:t>
      </w:r>
      <w:proofErr w:type="spellStart"/>
      <w:r w:rsidR="00970B65" w:rsidRPr="00FC7BEE">
        <w:rPr>
          <w:rFonts w:eastAsia="Times New Roman"/>
          <w:i/>
          <w:iCs/>
          <w:color w:val="000000"/>
          <w:sz w:val="24"/>
          <w:szCs w:val="24"/>
        </w:rPr>
        <w:t>McBee</w:t>
      </w:r>
      <w:proofErr w:type="spellEnd"/>
      <w:r w:rsidR="00970B65" w:rsidRPr="00FC7BEE">
        <w:rPr>
          <w:rFonts w:eastAsia="Times New Roman"/>
          <w:color w:val="000000"/>
          <w:sz w:val="24"/>
          <w:szCs w:val="24"/>
        </w:rPr>
        <w:t>, 143 AD2d 773, 774</w:t>
      </w:r>
      <w:r w:rsidR="000D5079">
        <w:rPr>
          <w:rFonts w:eastAsia="Times New Roman"/>
          <w:color w:val="000000"/>
          <w:sz w:val="24"/>
          <w:szCs w:val="24"/>
        </w:rPr>
        <w:t>-</w:t>
      </w:r>
      <w:r w:rsidR="00970B65" w:rsidRPr="00FC7BEE">
        <w:rPr>
          <w:rFonts w:eastAsia="Times New Roman"/>
          <w:color w:val="000000"/>
          <w:sz w:val="24"/>
          <w:szCs w:val="24"/>
        </w:rPr>
        <w:t xml:space="preserve">775 [2d Dept 1988] [in a prosecution for possession of cocaine with intent to sell, “the defendant should have been permitted to testify fully regarding his mental state with respect to the disposal of the (cocaine)”]; </w:t>
      </w:r>
      <w:r w:rsidR="00970B65" w:rsidRPr="00FC7BEE">
        <w:rPr>
          <w:rFonts w:eastAsia="Times New Roman"/>
          <w:i/>
          <w:iCs/>
          <w:color w:val="000000"/>
          <w:sz w:val="24"/>
          <w:szCs w:val="24"/>
        </w:rPr>
        <w:t>People v Cohen</w:t>
      </w:r>
      <w:r w:rsidR="00970B65" w:rsidRPr="00FC7BEE">
        <w:rPr>
          <w:rFonts w:eastAsia="Times New Roman"/>
          <w:color w:val="000000"/>
          <w:sz w:val="24"/>
          <w:szCs w:val="24"/>
        </w:rPr>
        <w:t xml:space="preserve">, 266 App </w:t>
      </w:r>
      <w:proofErr w:type="spellStart"/>
      <w:r w:rsidR="00970B65" w:rsidRPr="00FC7BEE">
        <w:rPr>
          <w:rFonts w:eastAsia="Times New Roman"/>
          <w:color w:val="000000"/>
          <w:sz w:val="24"/>
          <w:szCs w:val="24"/>
        </w:rPr>
        <w:t>Div</w:t>
      </w:r>
      <w:proofErr w:type="spellEnd"/>
      <w:r w:rsidR="00970B65" w:rsidRPr="00FC7BEE">
        <w:rPr>
          <w:rFonts w:eastAsia="Times New Roman"/>
          <w:color w:val="000000"/>
          <w:sz w:val="24"/>
          <w:szCs w:val="24"/>
        </w:rPr>
        <w:t xml:space="preserve"> 23, 27 [3d Dept 1943] [in a prosecution for receiving stolen property, the defendant should have been permitted to state that he believed he was paying full value for the articles purchased because “</w:t>
      </w:r>
      <w:r w:rsidR="00F231D4">
        <w:rPr>
          <w:rFonts w:eastAsia="Times New Roman"/>
          <w:color w:val="000000"/>
          <w:sz w:val="24"/>
          <w:szCs w:val="24"/>
        </w:rPr>
        <w:t>(</w:t>
      </w:r>
      <w:r w:rsidR="00970B65" w:rsidRPr="00FC7BEE">
        <w:rPr>
          <w:rFonts w:eastAsia="Times New Roman"/>
          <w:color w:val="000000"/>
          <w:sz w:val="24"/>
          <w:szCs w:val="24"/>
        </w:rPr>
        <w:t>h</w:t>
      </w:r>
      <w:r w:rsidR="00F231D4">
        <w:rPr>
          <w:rFonts w:eastAsia="Times New Roman"/>
          <w:color w:val="000000"/>
          <w:sz w:val="24"/>
          <w:szCs w:val="24"/>
        </w:rPr>
        <w:t>)</w:t>
      </w:r>
      <w:r w:rsidR="00970B65" w:rsidRPr="00FC7BEE">
        <w:rPr>
          <w:rFonts w:eastAsia="Times New Roman"/>
          <w:color w:val="000000"/>
          <w:sz w:val="24"/>
          <w:szCs w:val="24"/>
        </w:rPr>
        <w:t>is belief upon that subject was relevant as bearing upon guilty knowledge. Appellant</w:t>
      </w:r>
      <w:r w:rsidR="00BA4249">
        <w:rPr>
          <w:rFonts w:eastAsia="Times New Roman"/>
          <w:color w:val="000000"/>
          <w:sz w:val="24"/>
          <w:szCs w:val="24"/>
        </w:rPr>
        <w:t>’</w:t>
      </w:r>
      <w:r w:rsidR="00970B65" w:rsidRPr="00FC7BEE">
        <w:rPr>
          <w:rFonts w:eastAsia="Times New Roman"/>
          <w:color w:val="000000"/>
          <w:sz w:val="24"/>
          <w:szCs w:val="24"/>
        </w:rPr>
        <w:t xml:space="preserve">s testimony as to his intent and </w:t>
      </w:r>
      <w:r w:rsidR="00970B65" w:rsidRPr="00FC7BEE">
        <w:rPr>
          <w:rFonts w:eastAsia="Times New Roman"/>
          <w:color w:val="000000"/>
          <w:sz w:val="24"/>
          <w:szCs w:val="24"/>
        </w:rPr>
        <w:lastRenderedPageBreak/>
        <w:t xml:space="preserve">belief was competent”]; </w:t>
      </w:r>
      <w:r w:rsidR="00970B65" w:rsidRPr="00FC7BEE">
        <w:rPr>
          <w:rFonts w:eastAsia="Times New Roman"/>
          <w:i/>
          <w:iCs/>
          <w:color w:val="000000"/>
          <w:sz w:val="24"/>
          <w:szCs w:val="24"/>
        </w:rPr>
        <w:t>People v Pierce</w:t>
      </w:r>
      <w:r w:rsidR="00970B65" w:rsidRPr="00FC7BEE">
        <w:rPr>
          <w:rFonts w:eastAsia="Times New Roman"/>
          <w:color w:val="000000"/>
          <w:sz w:val="24"/>
          <w:szCs w:val="24"/>
        </w:rPr>
        <w:t xml:space="preserve">, 218 App </w:t>
      </w:r>
      <w:proofErr w:type="spellStart"/>
      <w:r w:rsidR="00970B65" w:rsidRPr="00FC7BEE">
        <w:rPr>
          <w:rFonts w:eastAsia="Times New Roman"/>
          <w:color w:val="000000"/>
          <w:sz w:val="24"/>
          <w:szCs w:val="24"/>
        </w:rPr>
        <w:t>Div</w:t>
      </w:r>
      <w:proofErr w:type="spellEnd"/>
      <w:r w:rsidR="00970B65" w:rsidRPr="00FC7BEE">
        <w:rPr>
          <w:rFonts w:eastAsia="Times New Roman"/>
          <w:color w:val="000000"/>
          <w:sz w:val="24"/>
          <w:szCs w:val="24"/>
        </w:rPr>
        <w:t xml:space="preserve"> 254, 257 [3d Dept 1926] [“Nothing is better settled . . . where the intent is a necessary ingredient of the crime than that a defendant may testify directly as to his intent”])</w:t>
      </w:r>
      <w:r w:rsidR="00F231D4">
        <w:rPr>
          <w:rFonts w:eastAsia="Times New Roman"/>
          <w:color w:val="000000"/>
          <w:sz w:val="24"/>
          <w:szCs w:val="24"/>
        </w:rPr>
        <w:t>.</w:t>
      </w:r>
    </w:p>
    <w:sectPr w:rsidR="00970B65" w:rsidRPr="000D5079" w:rsidSect="002F4D8F">
      <w:footerReference w:type="default" r:id="rId7"/>
      <w:type w:val="continuous"/>
      <w:pgSz w:w="12240" w:h="15840" w:code="1"/>
      <w:pgMar w:top="1440" w:right="2160" w:bottom="1440" w:left="216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628F" w14:textId="77777777" w:rsidR="00FC7BEE" w:rsidRDefault="00FC7BEE" w:rsidP="00FC7BEE">
      <w:r>
        <w:separator/>
      </w:r>
    </w:p>
  </w:endnote>
  <w:endnote w:type="continuationSeparator" w:id="0">
    <w:p w14:paraId="06D857DC" w14:textId="77777777" w:rsidR="00FC7BEE" w:rsidRDefault="00FC7BEE" w:rsidP="00FC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355102"/>
      <w:docPartObj>
        <w:docPartGallery w:val="Page Numbers (Bottom of Page)"/>
        <w:docPartUnique/>
      </w:docPartObj>
    </w:sdtPr>
    <w:sdtEndPr>
      <w:rPr>
        <w:noProof/>
      </w:rPr>
    </w:sdtEndPr>
    <w:sdtContent>
      <w:p w14:paraId="711DC88A" w14:textId="33697689" w:rsidR="000D5079" w:rsidRDefault="000D50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AC42" w14:textId="77777777" w:rsidR="00FC7BEE" w:rsidRDefault="00FC7BEE" w:rsidP="00FC7BEE">
      <w:r>
        <w:separator/>
      </w:r>
    </w:p>
  </w:footnote>
  <w:footnote w:type="continuationSeparator" w:id="0">
    <w:p w14:paraId="675A514F" w14:textId="77777777" w:rsidR="00FC7BEE" w:rsidRDefault="00FC7BEE" w:rsidP="00FC7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14C19"/>
    <w:multiLevelType w:val="hybridMultilevel"/>
    <w:tmpl w:val="0AE661C0"/>
    <w:lvl w:ilvl="0" w:tplc="B5F882A2">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377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0C9B"/>
    <w:rsid w:val="00012839"/>
    <w:rsid w:val="00021E65"/>
    <w:rsid w:val="000775D6"/>
    <w:rsid w:val="00092616"/>
    <w:rsid w:val="000B7BEC"/>
    <w:rsid w:val="000C164A"/>
    <w:rsid w:val="000C2693"/>
    <w:rsid w:val="000D5079"/>
    <w:rsid w:val="000E3E9E"/>
    <w:rsid w:val="00107997"/>
    <w:rsid w:val="00145F77"/>
    <w:rsid w:val="0016047F"/>
    <w:rsid w:val="001A1378"/>
    <w:rsid w:val="001B09B9"/>
    <w:rsid w:val="0022525A"/>
    <w:rsid w:val="00254815"/>
    <w:rsid w:val="00271926"/>
    <w:rsid w:val="00282944"/>
    <w:rsid w:val="00283608"/>
    <w:rsid w:val="002944F0"/>
    <w:rsid w:val="002970BB"/>
    <w:rsid w:val="002A308A"/>
    <w:rsid w:val="002F4D8F"/>
    <w:rsid w:val="003035A9"/>
    <w:rsid w:val="00311920"/>
    <w:rsid w:val="00315310"/>
    <w:rsid w:val="00346001"/>
    <w:rsid w:val="003A3279"/>
    <w:rsid w:val="003E6BDC"/>
    <w:rsid w:val="003E7E25"/>
    <w:rsid w:val="0044482A"/>
    <w:rsid w:val="00471D4A"/>
    <w:rsid w:val="004A0022"/>
    <w:rsid w:val="004B3822"/>
    <w:rsid w:val="004F1512"/>
    <w:rsid w:val="005538F8"/>
    <w:rsid w:val="00564B24"/>
    <w:rsid w:val="005C73D0"/>
    <w:rsid w:val="005E6E4E"/>
    <w:rsid w:val="006368FF"/>
    <w:rsid w:val="0064449E"/>
    <w:rsid w:val="006A4038"/>
    <w:rsid w:val="006B7884"/>
    <w:rsid w:val="006C54AB"/>
    <w:rsid w:val="006D3D1C"/>
    <w:rsid w:val="006F6B73"/>
    <w:rsid w:val="007430CC"/>
    <w:rsid w:val="007F0A2D"/>
    <w:rsid w:val="00826F93"/>
    <w:rsid w:val="0086146D"/>
    <w:rsid w:val="00875CD4"/>
    <w:rsid w:val="008A4BAA"/>
    <w:rsid w:val="008F4156"/>
    <w:rsid w:val="009117E4"/>
    <w:rsid w:val="009538A1"/>
    <w:rsid w:val="00963CD4"/>
    <w:rsid w:val="00970B65"/>
    <w:rsid w:val="009B4249"/>
    <w:rsid w:val="009E6219"/>
    <w:rsid w:val="00A03882"/>
    <w:rsid w:val="00A1555A"/>
    <w:rsid w:val="00A6299F"/>
    <w:rsid w:val="00A649A0"/>
    <w:rsid w:val="00AA688B"/>
    <w:rsid w:val="00AD48FC"/>
    <w:rsid w:val="00B02B0E"/>
    <w:rsid w:val="00B13936"/>
    <w:rsid w:val="00B411E6"/>
    <w:rsid w:val="00BA4249"/>
    <w:rsid w:val="00BA5765"/>
    <w:rsid w:val="00BC204E"/>
    <w:rsid w:val="00C214EB"/>
    <w:rsid w:val="00C36390"/>
    <w:rsid w:val="00D061F2"/>
    <w:rsid w:val="00D263FF"/>
    <w:rsid w:val="00D42512"/>
    <w:rsid w:val="00D61C8F"/>
    <w:rsid w:val="00D71933"/>
    <w:rsid w:val="00D774AD"/>
    <w:rsid w:val="00D77B11"/>
    <w:rsid w:val="00D957A4"/>
    <w:rsid w:val="00DE1C08"/>
    <w:rsid w:val="00DF5604"/>
    <w:rsid w:val="00DF66FF"/>
    <w:rsid w:val="00E131CE"/>
    <w:rsid w:val="00E14619"/>
    <w:rsid w:val="00E30C9B"/>
    <w:rsid w:val="00E31DAF"/>
    <w:rsid w:val="00E41C31"/>
    <w:rsid w:val="00E91A2C"/>
    <w:rsid w:val="00EA42C4"/>
    <w:rsid w:val="00ED5E13"/>
    <w:rsid w:val="00F22F91"/>
    <w:rsid w:val="00F231D4"/>
    <w:rsid w:val="00F76980"/>
    <w:rsid w:val="00FC7BEE"/>
    <w:rsid w:val="00FC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DFE4"/>
  <w15:chartTrackingRefBased/>
  <w15:docId w15:val="{39826538-13E5-43D0-AF40-4335D13B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C9B"/>
    <w:pPr>
      <w:widowControl w:val="0"/>
      <w:autoSpaceDE w:val="0"/>
      <w:autoSpaceDN w:val="0"/>
      <w:adjustRightInd w:val="0"/>
      <w:spacing w:before="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99"/>
    <w:qFormat/>
    <w:rsid w:val="00107997"/>
    <w:pPr>
      <w:spacing w:before="0"/>
    </w:pPr>
  </w:style>
  <w:style w:type="character" w:styleId="CommentReference">
    <w:name w:val="annotation reference"/>
    <w:basedOn w:val="DefaultParagraphFont"/>
    <w:uiPriority w:val="99"/>
    <w:semiHidden/>
    <w:unhideWhenUsed/>
    <w:rsid w:val="006A4038"/>
    <w:rPr>
      <w:sz w:val="16"/>
      <w:szCs w:val="16"/>
    </w:rPr>
  </w:style>
  <w:style w:type="paragraph" w:styleId="CommentText">
    <w:name w:val="annotation text"/>
    <w:basedOn w:val="Normal"/>
    <w:link w:val="CommentTextChar"/>
    <w:uiPriority w:val="99"/>
    <w:semiHidden/>
    <w:unhideWhenUsed/>
    <w:rsid w:val="006A4038"/>
  </w:style>
  <w:style w:type="character" w:customStyle="1" w:styleId="CommentTextChar">
    <w:name w:val="Comment Text Char"/>
    <w:basedOn w:val="DefaultParagraphFont"/>
    <w:link w:val="CommentText"/>
    <w:uiPriority w:val="99"/>
    <w:semiHidden/>
    <w:rsid w:val="006A403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4038"/>
    <w:rPr>
      <w:b/>
      <w:bCs/>
    </w:rPr>
  </w:style>
  <w:style w:type="character" w:customStyle="1" w:styleId="CommentSubjectChar">
    <w:name w:val="Comment Subject Char"/>
    <w:basedOn w:val="CommentTextChar"/>
    <w:link w:val="CommentSubject"/>
    <w:uiPriority w:val="99"/>
    <w:semiHidden/>
    <w:rsid w:val="006A403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0556">
      <w:bodyDiv w:val="1"/>
      <w:marLeft w:val="0"/>
      <w:marRight w:val="0"/>
      <w:marTop w:val="0"/>
      <w:marBottom w:val="0"/>
      <w:divBdr>
        <w:top w:val="none" w:sz="0" w:space="0" w:color="auto"/>
        <w:left w:val="none" w:sz="0" w:space="0" w:color="auto"/>
        <w:bottom w:val="none" w:sz="0" w:space="0" w:color="auto"/>
        <w:right w:val="none" w:sz="0" w:space="0" w:color="auto"/>
      </w:divBdr>
      <w:divsChild>
        <w:div w:id="453255103">
          <w:marLeft w:val="0"/>
          <w:marRight w:val="0"/>
          <w:marTop w:val="0"/>
          <w:marBottom w:val="0"/>
          <w:divBdr>
            <w:top w:val="none" w:sz="0" w:space="0" w:color="auto"/>
            <w:left w:val="none" w:sz="0" w:space="0" w:color="auto"/>
            <w:bottom w:val="none" w:sz="0" w:space="0" w:color="auto"/>
            <w:right w:val="none" w:sz="0" w:space="0" w:color="auto"/>
          </w:divBdr>
        </w:div>
      </w:divsChild>
    </w:div>
    <w:div w:id="783614222">
      <w:bodyDiv w:val="1"/>
      <w:marLeft w:val="0"/>
      <w:marRight w:val="0"/>
      <w:marTop w:val="0"/>
      <w:marBottom w:val="0"/>
      <w:divBdr>
        <w:top w:val="none" w:sz="0" w:space="0" w:color="auto"/>
        <w:left w:val="none" w:sz="0" w:space="0" w:color="auto"/>
        <w:bottom w:val="none" w:sz="0" w:space="0" w:color="auto"/>
        <w:right w:val="none" w:sz="0" w:space="0" w:color="auto"/>
      </w:divBdr>
      <w:divsChild>
        <w:div w:id="1279795190">
          <w:marLeft w:val="0"/>
          <w:marRight w:val="0"/>
          <w:marTop w:val="0"/>
          <w:marBottom w:val="0"/>
          <w:divBdr>
            <w:top w:val="none" w:sz="0" w:space="0" w:color="auto"/>
            <w:left w:val="none" w:sz="0" w:space="0" w:color="auto"/>
            <w:bottom w:val="none" w:sz="0" w:space="0" w:color="auto"/>
            <w:right w:val="none" w:sz="0" w:space="0" w:color="auto"/>
          </w:divBdr>
          <w:divsChild>
            <w:div w:id="5243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2062">
      <w:bodyDiv w:val="1"/>
      <w:marLeft w:val="0"/>
      <w:marRight w:val="0"/>
      <w:marTop w:val="0"/>
      <w:marBottom w:val="0"/>
      <w:divBdr>
        <w:top w:val="none" w:sz="0" w:space="0" w:color="auto"/>
        <w:left w:val="none" w:sz="0" w:space="0" w:color="auto"/>
        <w:bottom w:val="none" w:sz="0" w:space="0" w:color="auto"/>
        <w:right w:val="none" w:sz="0" w:space="0" w:color="auto"/>
      </w:divBdr>
      <w:divsChild>
        <w:div w:id="711733777">
          <w:marLeft w:val="0"/>
          <w:marRight w:val="0"/>
          <w:marTop w:val="0"/>
          <w:marBottom w:val="0"/>
          <w:divBdr>
            <w:top w:val="none" w:sz="0" w:space="0" w:color="auto"/>
            <w:left w:val="none" w:sz="0" w:space="0" w:color="auto"/>
            <w:bottom w:val="none" w:sz="0" w:space="0" w:color="auto"/>
            <w:right w:val="none" w:sz="0" w:space="0" w:color="auto"/>
          </w:divBdr>
          <w:divsChild>
            <w:div w:id="1152720212">
              <w:marLeft w:val="0"/>
              <w:marRight w:val="0"/>
              <w:marTop w:val="0"/>
              <w:marBottom w:val="0"/>
              <w:divBdr>
                <w:top w:val="none" w:sz="0" w:space="0" w:color="auto"/>
                <w:left w:val="none" w:sz="0" w:space="0" w:color="auto"/>
                <w:bottom w:val="none" w:sz="0" w:space="0" w:color="auto"/>
                <w:right w:val="none" w:sz="0" w:space="0" w:color="auto"/>
              </w:divBdr>
              <w:divsChild>
                <w:div w:id="16213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Wendy Whiteman</cp:lastModifiedBy>
  <cp:revision>71</cp:revision>
  <cp:lastPrinted>2023-04-24T14:30:00Z</cp:lastPrinted>
  <dcterms:created xsi:type="dcterms:W3CDTF">2023-01-16T22:49:00Z</dcterms:created>
  <dcterms:modified xsi:type="dcterms:W3CDTF">2023-05-04T19:27:00Z</dcterms:modified>
</cp:coreProperties>
</file>