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FC114" w14:textId="04F2B1EF" w:rsidR="004D1965" w:rsidRPr="00537731" w:rsidRDefault="004D1965" w:rsidP="004E67AF">
      <w:pPr>
        <w:spacing w:line="276" w:lineRule="auto"/>
        <w:rPr>
          <w:b/>
          <w:sz w:val="28"/>
          <w:szCs w:val="28"/>
        </w:rPr>
      </w:pPr>
      <w:r w:rsidRPr="00537731">
        <w:rPr>
          <w:b/>
          <w:sz w:val="28"/>
          <w:szCs w:val="28"/>
          <w:lang w:val="en-CA"/>
        </w:rPr>
        <w:fldChar w:fldCharType="begin"/>
      </w:r>
      <w:r w:rsidRPr="00537731">
        <w:rPr>
          <w:b/>
          <w:sz w:val="28"/>
          <w:szCs w:val="28"/>
          <w:lang w:val="en-CA"/>
        </w:rPr>
        <w:instrText xml:space="preserve"> SEQ CHAPTER \h \r 1</w:instrText>
      </w:r>
      <w:r w:rsidRPr="00537731">
        <w:rPr>
          <w:b/>
          <w:sz w:val="28"/>
          <w:szCs w:val="28"/>
          <w:lang w:val="en-CA"/>
        </w:rPr>
        <w:fldChar w:fldCharType="end"/>
      </w:r>
      <w:r w:rsidR="00956FC2" w:rsidRPr="00537731">
        <w:rPr>
          <w:b/>
          <w:sz w:val="28"/>
          <w:szCs w:val="28"/>
        </w:rPr>
        <w:t xml:space="preserve">5.03 Attorney </w:t>
      </w:r>
      <w:r w:rsidR="004C5E37" w:rsidRPr="00537731">
        <w:rPr>
          <w:b/>
          <w:sz w:val="28"/>
          <w:szCs w:val="28"/>
        </w:rPr>
        <w:t>(</w:t>
      </w:r>
      <w:r w:rsidR="00956FC2" w:rsidRPr="00537731">
        <w:rPr>
          <w:b/>
          <w:sz w:val="28"/>
          <w:szCs w:val="28"/>
        </w:rPr>
        <w:t>CPLR 4503</w:t>
      </w:r>
      <w:r w:rsidR="004C5E37" w:rsidRPr="00537731">
        <w:rPr>
          <w:b/>
          <w:sz w:val="28"/>
          <w:szCs w:val="28"/>
        </w:rPr>
        <w:t>)</w:t>
      </w:r>
      <w:r w:rsidR="00015FC9" w:rsidRPr="00537731">
        <w:rPr>
          <w:rStyle w:val="EndnoteReference"/>
          <w:b/>
          <w:sz w:val="28"/>
          <w:szCs w:val="28"/>
        </w:rPr>
        <w:endnoteReference w:id="1"/>
      </w:r>
    </w:p>
    <w:p w14:paraId="357EFAE7" w14:textId="77777777" w:rsidR="00C12D09" w:rsidRPr="00537731" w:rsidRDefault="00C12D09"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8"/>
          <w:szCs w:val="28"/>
        </w:rPr>
      </w:pPr>
    </w:p>
    <w:p w14:paraId="636C3334"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b/>
          <w:bCs/>
          <w:sz w:val="28"/>
          <w:szCs w:val="28"/>
        </w:rPr>
      </w:pPr>
      <w:r w:rsidRPr="00537731">
        <w:rPr>
          <w:b/>
          <w:bCs/>
          <w:sz w:val="28"/>
          <w:szCs w:val="28"/>
        </w:rPr>
        <w:t xml:space="preserve">(a) </w:t>
      </w:r>
      <w:r w:rsidR="003B74D9" w:rsidRPr="00537731">
        <w:rPr>
          <w:b/>
          <w:bCs/>
          <w:sz w:val="28"/>
          <w:szCs w:val="28"/>
        </w:rPr>
        <w:tab/>
      </w:r>
      <w:r w:rsidRPr="00537731">
        <w:rPr>
          <w:b/>
          <w:bCs/>
          <w:sz w:val="28"/>
          <w:szCs w:val="28"/>
        </w:rPr>
        <w:t>1. Confidential communication privileged.</w:t>
      </w:r>
    </w:p>
    <w:p w14:paraId="48F53013" w14:textId="77777777" w:rsidR="00956FC2" w:rsidRPr="00537731" w:rsidRDefault="00956FC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01422F1C" w14:textId="77777777" w:rsidR="00C12D09" w:rsidRPr="00537731" w:rsidRDefault="004D1965"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537731">
        <w:rPr>
          <w:b/>
          <w:bCs/>
          <w:sz w:val="28"/>
          <w:szCs w:val="28"/>
        </w:rPr>
        <w:t>Unless the client waives the privilege, an attorney or his or her employee, or any person who obtains without the knowledge of the client evidence of a confidential communication made between the attorney or his or her employee and the client in the course of professional employment, shall not disclose, or be allowed to disclose such communication, nor shall the client be compelled to disclose such communication, in any action, disciplinary trial or hearing, or administrative action, proceeding or hearing conducted by or on behalf of any state, municipal or local governmental agency or by the legislature or</w:t>
      </w:r>
      <w:r w:rsidR="00C12D09" w:rsidRPr="00537731">
        <w:rPr>
          <w:b/>
          <w:bCs/>
          <w:sz w:val="28"/>
          <w:szCs w:val="28"/>
        </w:rPr>
        <w:t xml:space="preserve"> any committee or body thereof.</w:t>
      </w:r>
    </w:p>
    <w:p w14:paraId="6315EF5B" w14:textId="77777777" w:rsidR="00C12D09" w:rsidRPr="00537731" w:rsidRDefault="00C12D09"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B8C5A03" w14:textId="77777777" w:rsidR="00C12D09" w:rsidRPr="00537731" w:rsidRDefault="004D1965"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537731">
        <w:rPr>
          <w:b/>
          <w:bCs/>
          <w:sz w:val="28"/>
          <w:szCs w:val="28"/>
        </w:rPr>
        <w:t>Evidence of any such communication obtained by any such person, and evidence resulting therefrom, shall not be disclosed by any state, municipal or local governmental agency or by the legislature or any committee or body thereof.</w:t>
      </w:r>
    </w:p>
    <w:p w14:paraId="3266163C" w14:textId="77777777" w:rsidR="00C12D09" w:rsidRPr="00537731" w:rsidRDefault="00C12D09"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116FB9EA" w14:textId="77777777" w:rsidR="004D1965" w:rsidRPr="00537731" w:rsidRDefault="004D1965"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537731">
        <w:rPr>
          <w:b/>
          <w:bCs/>
          <w:sz w:val="28"/>
          <w:szCs w:val="28"/>
        </w:rPr>
        <w:t>The relationship of an attorney and client shall exist between a professional service corporation organized under article fifteen of the business corporation law to practice as an attorney and counselor-at-law and the clients to whom it renders legal services.</w:t>
      </w:r>
    </w:p>
    <w:p w14:paraId="063C0FBE" w14:textId="77777777" w:rsidR="00956FC2" w:rsidRPr="00537731" w:rsidRDefault="00956FC2"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4F40392" w14:textId="77777777" w:rsidR="000D0AB5" w:rsidRDefault="003B74D9" w:rsidP="000D0AB5">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537731">
        <w:rPr>
          <w:b/>
          <w:bCs/>
          <w:sz w:val="28"/>
          <w:szCs w:val="28"/>
        </w:rPr>
        <w:tab/>
      </w:r>
      <w:r w:rsidR="00956FC2" w:rsidRPr="00537731">
        <w:rPr>
          <w:b/>
          <w:bCs/>
          <w:sz w:val="28"/>
          <w:szCs w:val="28"/>
        </w:rPr>
        <w:t>2. Personal representatives.</w:t>
      </w:r>
    </w:p>
    <w:p w14:paraId="6FC07543" w14:textId="77777777" w:rsidR="000D0AB5" w:rsidRDefault="000D0AB5" w:rsidP="000D0AB5">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14FF073F" w14:textId="7039AD76" w:rsidR="004D1965" w:rsidRPr="00537731" w:rsidRDefault="004D1965" w:rsidP="000D0AB5">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537731">
        <w:rPr>
          <w:b/>
          <w:bCs/>
          <w:sz w:val="28"/>
          <w:szCs w:val="28"/>
        </w:rPr>
        <w:t xml:space="preserve">(A) For purposes of the attorney-client privilege, if the client is a personal representative and the attorney represents the personal representative in that capacity, in the absence of an agreement </w:t>
      </w:r>
      <w:r w:rsidRPr="00537731">
        <w:rPr>
          <w:b/>
          <w:bCs/>
          <w:sz w:val="28"/>
          <w:szCs w:val="28"/>
        </w:rPr>
        <w:lastRenderedPageBreak/>
        <w:t>between the attorney and the personal representative to the contrary:</w:t>
      </w:r>
    </w:p>
    <w:p w14:paraId="16C5BD87" w14:textId="77777777" w:rsidR="00956FC2" w:rsidRPr="00537731" w:rsidRDefault="00956FC2"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B04A784" w14:textId="77777777" w:rsidR="004D1965" w:rsidRPr="00537731" w:rsidRDefault="004D1965" w:rsidP="00D5405E">
      <w:pPr>
        <w:widowControl/>
        <w:tabs>
          <w:tab w:val="left" w:pos="1440"/>
          <w:tab w:val="left" w:pos="2160"/>
          <w:tab w:val="left" w:pos="2880"/>
          <w:tab w:val="left" w:pos="3600"/>
          <w:tab w:val="left" w:pos="4320"/>
          <w:tab w:val="left" w:pos="5040"/>
          <w:tab w:val="left" w:pos="5760"/>
          <w:tab w:val="left" w:pos="6478"/>
        </w:tabs>
        <w:ind w:left="2160" w:right="720"/>
        <w:jc w:val="both"/>
        <w:rPr>
          <w:b/>
          <w:bCs/>
          <w:sz w:val="28"/>
          <w:szCs w:val="28"/>
        </w:rPr>
      </w:pPr>
      <w:r w:rsidRPr="00537731">
        <w:rPr>
          <w:b/>
          <w:bCs/>
          <w:sz w:val="28"/>
          <w:szCs w:val="28"/>
        </w:rPr>
        <w:t>(i) No beneficiary of the estate is, or shall be treated as, the client of the attorney solely by reason of his or her status as beneficiary; and</w:t>
      </w:r>
    </w:p>
    <w:p w14:paraId="3C9B4F61" w14:textId="77777777" w:rsidR="00956FC2" w:rsidRPr="00537731" w:rsidRDefault="00956FC2" w:rsidP="004E67AF">
      <w:pPr>
        <w:widowControl/>
        <w:tabs>
          <w:tab w:val="left" w:pos="1440"/>
          <w:tab w:val="left" w:pos="2160"/>
          <w:tab w:val="left" w:pos="2880"/>
          <w:tab w:val="left" w:pos="3600"/>
          <w:tab w:val="left" w:pos="4320"/>
          <w:tab w:val="left" w:pos="5040"/>
          <w:tab w:val="left" w:pos="5760"/>
          <w:tab w:val="left" w:pos="6478"/>
        </w:tabs>
        <w:ind w:left="2880" w:right="1440"/>
        <w:jc w:val="both"/>
        <w:rPr>
          <w:b/>
          <w:bCs/>
          <w:sz w:val="28"/>
          <w:szCs w:val="28"/>
        </w:rPr>
      </w:pPr>
    </w:p>
    <w:p w14:paraId="2D4104EC" w14:textId="56C8BDE9" w:rsidR="004D1965" w:rsidRDefault="004D1965" w:rsidP="00D5405E">
      <w:pPr>
        <w:widowControl/>
        <w:tabs>
          <w:tab w:val="left" w:pos="1440"/>
          <w:tab w:val="left" w:pos="2160"/>
          <w:tab w:val="left" w:pos="2880"/>
          <w:tab w:val="left" w:pos="3600"/>
          <w:tab w:val="left" w:pos="4320"/>
          <w:tab w:val="left" w:pos="5040"/>
          <w:tab w:val="left" w:pos="5760"/>
          <w:tab w:val="left" w:pos="6478"/>
        </w:tabs>
        <w:ind w:left="2160" w:right="720"/>
        <w:jc w:val="both"/>
        <w:rPr>
          <w:b/>
          <w:bCs/>
          <w:sz w:val="28"/>
          <w:szCs w:val="28"/>
        </w:rPr>
      </w:pPr>
      <w:r w:rsidRPr="00537731">
        <w:rPr>
          <w:b/>
          <w:bCs/>
          <w:sz w:val="28"/>
          <w:szCs w:val="28"/>
        </w:rPr>
        <w:t>(ii) The existence of a fiduciary relationship between the personal representative and a beneficiary of the estate does not by itself constitute or give rise to any waiver of the privilege for confidential communications made in the course of professional employment between the attorney or his or her employee and the personal representative who is the client</w:t>
      </w:r>
      <w:r w:rsidR="00CB4778">
        <w:rPr>
          <w:b/>
          <w:bCs/>
          <w:sz w:val="28"/>
          <w:szCs w:val="28"/>
        </w:rPr>
        <w:t>; and</w:t>
      </w:r>
    </w:p>
    <w:p w14:paraId="700419B2" w14:textId="77777777" w:rsidR="00CB4778" w:rsidRDefault="00CB4778" w:rsidP="001F3CBD">
      <w:pPr>
        <w:widowControl/>
        <w:tabs>
          <w:tab w:val="left" w:pos="1440"/>
          <w:tab w:val="left" w:pos="2160"/>
          <w:tab w:val="left" w:pos="2880"/>
          <w:tab w:val="left" w:pos="3600"/>
          <w:tab w:val="left" w:pos="4320"/>
          <w:tab w:val="left" w:pos="5040"/>
          <w:tab w:val="left" w:pos="5760"/>
          <w:tab w:val="left" w:pos="6478"/>
        </w:tabs>
        <w:ind w:left="2160" w:right="1440"/>
        <w:jc w:val="both"/>
        <w:rPr>
          <w:b/>
          <w:bCs/>
          <w:sz w:val="28"/>
          <w:szCs w:val="28"/>
        </w:rPr>
      </w:pPr>
    </w:p>
    <w:p w14:paraId="79625AB5" w14:textId="263165EF" w:rsidR="00CB4778" w:rsidRPr="00537731" w:rsidRDefault="00CB4778" w:rsidP="00D5405E">
      <w:pPr>
        <w:widowControl/>
        <w:tabs>
          <w:tab w:val="left" w:pos="1440"/>
          <w:tab w:val="left" w:pos="2160"/>
          <w:tab w:val="left" w:pos="2880"/>
          <w:tab w:val="left" w:pos="3600"/>
          <w:tab w:val="left" w:pos="4320"/>
          <w:tab w:val="left" w:pos="5040"/>
          <w:tab w:val="left" w:pos="5760"/>
          <w:tab w:val="left" w:pos="6478"/>
        </w:tabs>
        <w:ind w:left="2160" w:right="720"/>
        <w:jc w:val="both"/>
        <w:rPr>
          <w:b/>
          <w:bCs/>
          <w:sz w:val="28"/>
          <w:szCs w:val="28"/>
        </w:rPr>
      </w:pPr>
      <w:r>
        <w:rPr>
          <w:b/>
          <w:bCs/>
          <w:sz w:val="28"/>
          <w:szCs w:val="28"/>
        </w:rPr>
        <w:t>(iii) The fiduciary’s testimony</w:t>
      </w:r>
      <w:r w:rsidR="00D5405E">
        <w:rPr>
          <w:b/>
          <w:bCs/>
          <w:sz w:val="28"/>
          <w:szCs w:val="28"/>
        </w:rPr>
        <w:t xml:space="preserve"> that he or she has relied on the attorney’s advice shall not by itself constitute such a waiver.</w:t>
      </w:r>
    </w:p>
    <w:p w14:paraId="32668C8E" w14:textId="77777777" w:rsidR="00956FC2" w:rsidRPr="00537731" w:rsidRDefault="00956FC2" w:rsidP="004E67AF">
      <w:pPr>
        <w:widowControl/>
        <w:tabs>
          <w:tab w:val="left" w:pos="72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232AED9E" w14:textId="77777777" w:rsidR="004D1965" w:rsidRPr="00537731" w:rsidRDefault="004D1965" w:rsidP="001F3CBD">
      <w:pPr>
        <w:widowControl/>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537731">
        <w:rPr>
          <w:b/>
          <w:bCs/>
          <w:sz w:val="28"/>
          <w:szCs w:val="28"/>
        </w:rPr>
        <w:t>(B) F</w:t>
      </w:r>
      <w:r w:rsidR="00D174BC" w:rsidRPr="00537731">
        <w:rPr>
          <w:b/>
          <w:bCs/>
          <w:sz w:val="28"/>
          <w:szCs w:val="28"/>
        </w:rPr>
        <w:t>or purposes of this paragraph, “</w:t>
      </w:r>
      <w:r w:rsidRPr="00537731">
        <w:rPr>
          <w:b/>
          <w:bCs/>
          <w:sz w:val="28"/>
          <w:szCs w:val="28"/>
        </w:rPr>
        <w:t>personal representative</w:t>
      </w:r>
      <w:r w:rsidR="00D174BC" w:rsidRPr="00537731">
        <w:rPr>
          <w:b/>
          <w:bCs/>
          <w:sz w:val="28"/>
          <w:szCs w:val="28"/>
        </w:rPr>
        <w:t>”</w:t>
      </w:r>
      <w:r w:rsidRPr="00537731">
        <w:rPr>
          <w:b/>
          <w:bCs/>
          <w:sz w:val="28"/>
          <w:szCs w:val="28"/>
        </w:rPr>
        <w:t xml:space="preserve"> shall mean (i) the administrator, administrator c.t.a., ancillary administrator, executor, preliminary executor, temporary administrator or trustee to whom letters have been issued within the meaning of subdivision thirty-four of section one hun</w:t>
      </w:r>
      <w:r w:rsidR="00D174BC" w:rsidRPr="00537731">
        <w:rPr>
          <w:b/>
          <w:bCs/>
          <w:sz w:val="28"/>
          <w:szCs w:val="28"/>
        </w:rPr>
        <w:t>dred three of the surrogate’</w:t>
      </w:r>
      <w:r w:rsidRPr="00537731">
        <w:rPr>
          <w:b/>
          <w:bCs/>
          <w:sz w:val="28"/>
          <w:szCs w:val="28"/>
        </w:rPr>
        <w:t>s court procedure act, and (ii) the guardian of an incapacitated communicant if and to the extent that the order appointing such guardian under subdivision (c) of section 81.16 of the mental hygiene law or any subsequent order of any court expressly provides that the guardian is to be the personal representative of the incapacitated communicant</w:t>
      </w:r>
      <w:r w:rsidR="00D174BC" w:rsidRPr="00537731">
        <w:rPr>
          <w:b/>
          <w:bCs/>
          <w:sz w:val="28"/>
          <w:szCs w:val="28"/>
        </w:rPr>
        <w:t xml:space="preserve"> for purposes of this section; “</w:t>
      </w:r>
      <w:r w:rsidRPr="00537731">
        <w:rPr>
          <w:b/>
          <w:bCs/>
          <w:sz w:val="28"/>
          <w:szCs w:val="28"/>
        </w:rPr>
        <w:t>beneficiary</w:t>
      </w:r>
      <w:r w:rsidR="00D174BC" w:rsidRPr="00537731">
        <w:rPr>
          <w:b/>
          <w:bCs/>
          <w:sz w:val="28"/>
          <w:szCs w:val="28"/>
        </w:rPr>
        <w:t>”</w:t>
      </w:r>
      <w:r w:rsidRPr="00537731">
        <w:rPr>
          <w:b/>
          <w:bCs/>
          <w:sz w:val="28"/>
          <w:szCs w:val="28"/>
        </w:rPr>
        <w:t xml:space="preserve"> shall have the meaning set forth in subdivision eight of section </w:t>
      </w:r>
      <w:r w:rsidRPr="00537731">
        <w:rPr>
          <w:b/>
          <w:bCs/>
          <w:sz w:val="28"/>
          <w:szCs w:val="28"/>
        </w:rPr>
        <w:lastRenderedPageBreak/>
        <w:t>one hundred three of the sur</w:t>
      </w:r>
      <w:r w:rsidR="00D174BC" w:rsidRPr="00537731">
        <w:rPr>
          <w:b/>
          <w:bCs/>
          <w:sz w:val="28"/>
          <w:szCs w:val="28"/>
        </w:rPr>
        <w:t>rogate’s court procedure act and “</w:t>
      </w:r>
      <w:r w:rsidRPr="00537731">
        <w:rPr>
          <w:b/>
          <w:bCs/>
          <w:sz w:val="28"/>
          <w:szCs w:val="28"/>
        </w:rPr>
        <w:t>estate</w:t>
      </w:r>
      <w:r w:rsidR="00D174BC" w:rsidRPr="00537731">
        <w:rPr>
          <w:b/>
          <w:bCs/>
          <w:sz w:val="28"/>
          <w:szCs w:val="28"/>
        </w:rPr>
        <w:t>”</w:t>
      </w:r>
      <w:r w:rsidRPr="00537731">
        <w:rPr>
          <w:b/>
          <w:bCs/>
          <w:sz w:val="28"/>
          <w:szCs w:val="28"/>
        </w:rPr>
        <w:t xml:space="preserve"> shall have the meaning set forth in subdivision nineteen of section one</w:t>
      </w:r>
      <w:r w:rsidR="00D174BC" w:rsidRPr="00537731">
        <w:rPr>
          <w:b/>
          <w:bCs/>
          <w:sz w:val="28"/>
          <w:szCs w:val="28"/>
        </w:rPr>
        <w:t xml:space="preserve"> hundred three of the surrogate’</w:t>
      </w:r>
      <w:r w:rsidRPr="00537731">
        <w:rPr>
          <w:b/>
          <w:bCs/>
          <w:sz w:val="28"/>
          <w:szCs w:val="28"/>
        </w:rPr>
        <w:t>s court procedure act.</w:t>
      </w:r>
    </w:p>
    <w:p w14:paraId="40EA8B8F" w14:textId="77777777" w:rsidR="00956FC2" w:rsidRPr="00537731" w:rsidRDefault="00956FC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47F28CD4" w14:textId="26CF27D0" w:rsidR="004D1965" w:rsidRPr="00537731" w:rsidRDefault="00956FC2"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537731">
        <w:rPr>
          <w:b/>
          <w:bCs/>
          <w:sz w:val="28"/>
          <w:szCs w:val="28"/>
        </w:rPr>
        <w:t>(b) Wills and revocable trusts.</w:t>
      </w:r>
      <w:r w:rsidR="002A220F">
        <w:rPr>
          <w:b/>
          <w:bCs/>
          <w:sz w:val="28"/>
          <w:szCs w:val="28"/>
        </w:rPr>
        <w:t xml:space="preserve"> </w:t>
      </w:r>
      <w:r w:rsidR="004D1965" w:rsidRPr="00537731">
        <w:rPr>
          <w:b/>
          <w:bCs/>
          <w:sz w:val="28"/>
          <w:szCs w:val="28"/>
        </w:rPr>
        <w:t>In any action involving the probate, validity or construction of a will or, after the grantor</w:t>
      </w:r>
      <w:r w:rsidR="00D174BC" w:rsidRPr="00537731">
        <w:rPr>
          <w:b/>
          <w:bCs/>
          <w:sz w:val="28"/>
          <w:szCs w:val="28"/>
        </w:rPr>
        <w:t>’</w:t>
      </w:r>
      <w:r w:rsidR="004D1965" w:rsidRPr="00537731">
        <w:rPr>
          <w:b/>
          <w:bCs/>
          <w:sz w:val="28"/>
          <w:szCs w:val="28"/>
        </w:rPr>
        <w:t>s death, a revocable trust, an attorney or his employee shall be required to disclose information as to the preparation, execution or revocation of any will, revocable trust, or other relevant instrument, but he</w:t>
      </w:r>
      <w:r w:rsidR="00FB7CA9">
        <w:rPr>
          <w:b/>
          <w:bCs/>
          <w:sz w:val="28"/>
          <w:szCs w:val="28"/>
        </w:rPr>
        <w:t xml:space="preserve"> [or she]</w:t>
      </w:r>
      <w:r w:rsidR="004D1965" w:rsidRPr="00537731">
        <w:rPr>
          <w:b/>
          <w:bCs/>
          <w:sz w:val="28"/>
          <w:szCs w:val="28"/>
        </w:rPr>
        <w:t xml:space="preserve"> shall not be allowed to disclose any communication privileged under subdivision (a) which would tend to disgr</w:t>
      </w:r>
      <w:r w:rsidRPr="00537731">
        <w:rPr>
          <w:b/>
          <w:bCs/>
          <w:sz w:val="28"/>
          <w:szCs w:val="28"/>
        </w:rPr>
        <w:t>ace the memory of the decedent.</w:t>
      </w:r>
    </w:p>
    <w:p w14:paraId="1E682466" w14:textId="77777777" w:rsidR="00EB7BC1" w:rsidRPr="00537731" w:rsidRDefault="00EB7BC1"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3B3F953E" w14:textId="0BCA3AC3" w:rsidR="00EB7BC1" w:rsidRPr="004A68E2" w:rsidRDefault="00D9528F" w:rsidP="004E67AF">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4A68E2">
        <w:rPr>
          <w:b/>
          <w:bCs/>
          <w:sz w:val="28"/>
          <w:szCs w:val="28"/>
        </w:rPr>
        <w:t>(</w:t>
      </w:r>
      <w:r w:rsidR="006C5654" w:rsidRPr="004A68E2">
        <w:rPr>
          <w:b/>
          <w:bCs/>
          <w:sz w:val="28"/>
          <w:szCs w:val="28"/>
        </w:rPr>
        <w:t>c</w:t>
      </w:r>
      <w:r w:rsidRPr="004A68E2">
        <w:rPr>
          <w:b/>
          <w:bCs/>
          <w:sz w:val="28"/>
          <w:szCs w:val="28"/>
        </w:rPr>
        <w:t xml:space="preserve">) </w:t>
      </w:r>
      <w:r w:rsidRPr="004A68E2">
        <w:rPr>
          <w:b/>
          <w:bCs/>
          <w:sz w:val="28"/>
          <w:szCs w:val="28"/>
          <w:shd w:val="clear" w:color="auto" w:fill="FFFFFF"/>
        </w:rPr>
        <w:t xml:space="preserve">Corporations and governmental </w:t>
      </w:r>
      <w:r w:rsidR="0062023A" w:rsidRPr="004A68E2">
        <w:rPr>
          <w:b/>
          <w:bCs/>
          <w:sz w:val="28"/>
          <w:szCs w:val="28"/>
          <w:shd w:val="clear" w:color="auto" w:fill="FFFFFF"/>
        </w:rPr>
        <w:t>entities</w:t>
      </w:r>
      <w:r w:rsidRPr="004A68E2">
        <w:rPr>
          <w:b/>
          <w:bCs/>
          <w:sz w:val="28"/>
          <w:szCs w:val="28"/>
          <w:shd w:val="clear" w:color="auto" w:fill="FFFFFF"/>
        </w:rPr>
        <w:t xml:space="preserve"> may avail themselves of the attorney-client privilege for confidential communications with their attorneys relating to their legal matters.</w:t>
      </w:r>
    </w:p>
    <w:p w14:paraId="3F11851F"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4"/>
          <w:szCs w:val="24"/>
        </w:rPr>
      </w:pPr>
    </w:p>
    <w:p w14:paraId="1E2CC384"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center"/>
        <w:rPr>
          <w:b/>
          <w:bCs/>
          <w:sz w:val="24"/>
          <w:szCs w:val="24"/>
        </w:rPr>
      </w:pPr>
      <w:r w:rsidRPr="00537731">
        <w:rPr>
          <w:b/>
          <w:bCs/>
          <w:sz w:val="24"/>
          <w:szCs w:val="24"/>
        </w:rPr>
        <w:t>Note</w:t>
      </w:r>
    </w:p>
    <w:p w14:paraId="36555CD8" w14:textId="77777777" w:rsidR="00956FC2" w:rsidRPr="00537731" w:rsidRDefault="00956FC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4"/>
          <w:szCs w:val="24"/>
        </w:rPr>
      </w:pPr>
    </w:p>
    <w:p w14:paraId="03D7A5A9" w14:textId="02A38910" w:rsidR="00956FC2" w:rsidRPr="004A68E2"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6C5654" w:rsidRPr="004A68E2">
        <w:rPr>
          <w:b/>
          <w:bCs/>
          <w:sz w:val="24"/>
          <w:szCs w:val="24"/>
        </w:rPr>
        <w:t>Subdivisions (a) and (b)</w:t>
      </w:r>
      <w:r w:rsidR="006C5654" w:rsidRPr="004A68E2">
        <w:rPr>
          <w:sz w:val="24"/>
          <w:szCs w:val="24"/>
        </w:rPr>
        <w:t xml:space="preserve"> of t</w:t>
      </w:r>
      <w:r w:rsidR="004D1965" w:rsidRPr="004A68E2">
        <w:rPr>
          <w:sz w:val="24"/>
          <w:szCs w:val="24"/>
        </w:rPr>
        <w:t>his rule</w:t>
      </w:r>
      <w:r w:rsidR="006C5654" w:rsidRPr="004A68E2">
        <w:rPr>
          <w:sz w:val="24"/>
          <w:szCs w:val="24"/>
        </w:rPr>
        <w:t xml:space="preserve"> are</w:t>
      </w:r>
      <w:r w:rsidR="004D1965" w:rsidRPr="004A68E2">
        <w:rPr>
          <w:sz w:val="24"/>
          <w:szCs w:val="24"/>
        </w:rPr>
        <w:t xml:space="preserve"> reproduced verbatim from CPLR 4503 (</w:t>
      </w:r>
      <w:r w:rsidR="004D1965" w:rsidRPr="004A68E2">
        <w:rPr>
          <w:i/>
          <w:iCs/>
          <w:sz w:val="24"/>
          <w:szCs w:val="24"/>
        </w:rPr>
        <w:t xml:space="preserve">see generally </w:t>
      </w:r>
      <w:r w:rsidR="004D1965" w:rsidRPr="004A68E2">
        <w:rPr>
          <w:sz w:val="24"/>
          <w:szCs w:val="24"/>
        </w:rPr>
        <w:t xml:space="preserve">Vincent C. Alexander, Prac Commentaries, McKinney’s Cons Laws of NY, </w:t>
      </w:r>
      <w:r w:rsidR="00956FC2" w:rsidRPr="004A68E2">
        <w:rPr>
          <w:sz w:val="24"/>
          <w:szCs w:val="24"/>
        </w:rPr>
        <w:t>Book 7B, CPLR C4503:1-C4503:7)</w:t>
      </w:r>
      <w:r w:rsidR="008F2AE7" w:rsidRPr="004A68E2">
        <w:rPr>
          <w:sz w:val="24"/>
          <w:szCs w:val="24"/>
        </w:rPr>
        <w:t xml:space="preserve">; </w:t>
      </w:r>
      <w:r w:rsidR="0062023A" w:rsidRPr="004A68E2">
        <w:rPr>
          <w:sz w:val="24"/>
          <w:szCs w:val="24"/>
        </w:rPr>
        <w:t>subdivision (</w:t>
      </w:r>
      <w:r w:rsidR="006C5654" w:rsidRPr="004A68E2">
        <w:rPr>
          <w:sz w:val="24"/>
          <w:szCs w:val="24"/>
        </w:rPr>
        <w:t>c)</w:t>
      </w:r>
      <w:r w:rsidR="004E1B7B" w:rsidRPr="004A68E2">
        <w:rPr>
          <w:sz w:val="24"/>
          <w:szCs w:val="24"/>
        </w:rPr>
        <w:t xml:space="preserve"> </w:t>
      </w:r>
      <w:r w:rsidR="0062023A" w:rsidRPr="004A68E2">
        <w:rPr>
          <w:sz w:val="24"/>
          <w:szCs w:val="24"/>
        </w:rPr>
        <w:t>is derived fro</w:t>
      </w:r>
      <w:r w:rsidR="002908AA" w:rsidRPr="004A68E2">
        <w:rPr>
          <w:sz w:val="24"/>
          <w:szCs w:val="24"/>
        </w:rPr>
        <w:t xml:space="preserve">m </w:t>
      </w:r>
      <w:r w:rsidR="00627B7C" w:rsidRPr="004A68E2">
        <w:rPr>
          <w:bCs/>
          <w:i/>
          <w:sz w:val="24"/>
          <w:szCs w:val="24"/>
          <w:shd w:val="clear" w:color="auto" w:fill="FFFFFF"/>
        </w:rPr>
        <w:t xml:space="preserve">Matter of Appellate Advocates v New York State Dept. of Corr. &amp; Community Supervision </w:t>
      </w:r>
      <w:r w:rsidR="00BA6CF1" w:rsidRPr="004A68E2">
        <w:rPr>
          <w:bCs/>
          <w:iCs/>
          <w:sz w:val="24"/>
          <w:szCs w:val="24"/>
          <w:shd w:val="clear" w:color="auto" w:fill="FFFFFF"/>
        </w:rPr>
        <w:t>(</w:t>
      </w:r>
      <w:r w:rsidR="006F7B18" w:rsidRPr="004A68E2">
        <w:rPr>
          <w:bCs/>
          <w:iCs/>
          <w:sz w:val="24"/>
          <w:szCs w:val="24"/>
          <w:shd w:val="clear" w:color="auto" w:fill="FFFFFF"/>
        </w:rPr>
        <w:t>40</w:t>
      </w:r>
      <w:r w:rsidR="00BA6CF1" w:rsidRPr="004A68E2">
        <w:rPr>
          <w:bCs/>
          <w:sz w:val="24"/>
          <w:szCs w:val="24"/>
          <w:shd w:val="clear" w:color="auto" w:fill="FFFFFF"/>
        </w:rPr>
        <w:t xml:space="preserve"> NY3d </w:t>
      </w:r>
      <w:r w:rsidR="006F7B18" w:rsidRPr="004A68E2">
        <w:rPr>
          <w:bCs/>
          <w:sz w:val="24"/>
          <w:szCs w:val="24"/>
          <w:shd w:val="clear" w:color="auto" w:fill="FFFFFF"/>
        </w:rPr>
        <w:t>547</w:t>
      </w:r>
      <w:r w:rsidR="00627B7C" w:rsidRPr="004A68E2">
        <w:rPr>
          <w:bCs/>
          <w:sz w:val="24"/>
          <w:szCs w:val="24"/>
          <w:shd w:val="clear" w:color="auto" w:fill="FFFFFF"/>
        </w:rPr>
        <w:t xml:space="preserve"> [2023]</w:t>
      </w:r>
      <w:r w:rsidR="00BA6CF1" w:rsidRPr="004A68E2">
        <w:rPr>
          <w:bCs/>
          <w:sz w:val="24"/>
          <w:szCs w:val="24"/>
          <w:shd w:val="clear" w:color="auto" w:fill="FFFFFF"/>
        </w:rPr>
        <w:t xml:space="preserve">) </w:t>
      </w:r>
      <w:r w:rsidR="002908AA" w:rsidRPr="004A68E2">
        <w:rPr>
          <w:bCs/>
          <w:sz w:val="24"/>
          <w:szCs w:val="24"/>
          <w:shd w:val="clear" w:color="auto" w:fill="FFFFFF"/>
        </w:rPr>
        <w:t>and</w:t>
      </w:r>
      <w:r w:rsidR="002908AA" w:rsidRPr="004A68E2">
        <w:rPr>
          <w:i/>
          <w:iCs/>
          <w:sz w:val="24"/>
          <w:szCs w:val="24"/>
        </w:rPr>
        <w:t xml:space="preserve"> Rossi v Blue Cross &amp; Blue Shield of Greater N.Y.</w:t>
      </w:r>
      <w:r w:rsidR="002908AA" w:rsidRPr="004A68E2">
        <w:rPr>
          <w:sz w:val="24"/>
          <w:szCs w:val="24"/>
        </w:rPr>
        <w:t xml:space="preserve"> </w:t>
      </w:r>
      <w:r w:rsidR="00BA6CF1" w:rsidRPr="004A68E2">
        <w:rPr>
          <w:sz w:val="24"/>
          <w:szCs w:val="24"/>
        </w:rPr>
        <w:t>(</w:t>
      </w:r>
      <w:r w:rsidR="002908AA" w:rsidRPr="004A68E2">
        <w:rPr>
          <w:sz w:val="24"/>
          <w:szCs w:val="24"/>
        </w:rPr>
        <w:t>73 NY2d 588, 592 [1989]).</w:t>
      </w:r>
      <w:r w:rsidR="00883C76">
        <w:rPr>
          <w:sz w:val="24"/>
          <w:szCs w:val="24"/>
        </w:rPr>
        <w:t xml:space="preserve"> </w:t>
      </w:r>
      <w:r w:rsidR="00883C76" w:rsidRPr="006242A7">
        <w:rPr>
          <w:i/>
          <w:iCs/>
          <w:sz w:val="24"/>
          <w:szCs w:val="24"/>
        </w:rPr>
        <w:t>See</w:t>
      </w:r>
      <w:r w:rsidR="006242A7" w:rsidRPr="006242A7">
        <w:rPr>
          <w:i/>
          <w:iCs/>
          <w:sz w:val="24"/>
          <w:szCs w:val="24"/>
        </w:rPr>
        <w:t xml:space="preserve"> generally</w:t>
      </w:r>
      <w:r w:rsidR="00E75267">
        <w:rPr>
          <w:i/>
          <w:iCs/>
          <w:sz w:val="24"/>
          <w:szCs w:val="24"/>
        </w:rPr>
        <w:t xml:space="preserve"> </w:t>
      </w:r>
      <w:r w:rsidR="00E75267" w:rsidRPr="00E75267">
        <w:rPr>
          <w:sz w:val="24"/>
          <w:szCs w:val="24"/>
        </w:rPr>
        <w:t xml:space="preserve">Michael J. </w:t>
      </w:r>
      <w:r w:rsidR="00E75267">
        <w:rPr>
          <w:sz w:val="24"/>
          <w:szCs w:val="24"/>
        </w:rPr>
        <w:t>H</w:t>
      </w:r>
      <w:r w:rsidR="00E75267" w:rsidRPr="00E75267">
        <w:rPr>
          <w:sz w:val="24"/>
          <w:szCs w:val="24"/>
        </w:rPr>
        <w:t>utter,</w:t>
      </w:r>
      <w:r w:rsidR="00883C76">
        <w:rPr>
          <w:sz w:val="24"/>
          <w:szCs w:val="24"/>
        </w:rPr>
        <w:t xml:space="preserve"> </w:t>
      </w:r>
      <w:r w:rsidR="006242A7" w:rsidRPr="00641875">
        <w:rPr>
          <w:i/>
          <w:iCs/>
          <w:sz w:val="24"/>
          <w:szCs w:val="24"/>
        </w:rPr>
        <w:t>‘</w:t>
      </w:r>
      <w:r w:rsidR="00883C76" w:rsidRPr="00641875">
        <w:rPr>
          <w:i/>
          <w:iCs/>
          <w:sz w:val="24"/>
          <w:szCs w:val="24"/>
        </w:rPr>
        <w:t>Appe</w:t>
      </w:r>
      <w:r w:rsidR="006242A7" w:rsidRPr="00641875">
        <w:rPr>
          <w:i/>
          <w:iCs/>
          <w:sz w:val="24"/>
          <w:szCs w:val="24"/>
        </w:rPr>
        <w:t>llate Advocates’:</w:t>
      </w:r>
      <w:r w:rsidR="00641875">
        <w:rPr>
          <w:i/>
          <w:iCs/>
          <w:sz w:val="24"/>
          <w:szCs w:val="24"/>
        </w:rPr>
        <w:t xml:space="preserve"> </w:t>
      </w:r>
      <w:r w:rsidR="006242A7" w:rsidRPr="00641875">
        <w:rPr>
          <w:i/>
          <w:iCs/>
          <w:sz w:val="24"/>
          <w:szCs w:val="24"/>
        </w:rPr>
        <w:t>Application of Attorney-Client Privilege to Government Communications and More</w:t>
      </w:r>
      <w:r w:rsidR="00E75267" w:rsidRPr="00641875">
        <w:rPr>
          <w:i/>
          <w:iCs/>
          <w:sz w:val="24"/>
          <w:szCs w:val="24"/>
        </w:rPr>
        <w:t>,</w:t>
      </w:r>
      <w:r w:rsidR="00E75267">
        <w:rPr>
          <w:sz w:val="24"/>
          <w:szCs w:val="24"/>
        </w:rPr>
        <w:t xml:space="preserve"> NYLJ, February 14, 2024;</w:t>
      </w:r>
      <w:r w:rsidR="00C96D5C" w:rsidRPr="00C96D5C">
        <w:rPr>
          <w:sz w:val="24"/>
          <w:szCs w:val="24"/>
        </w:rPr>
        <w:t xml:space="preserve"> </w:t>
      </w:r>
      <w:r w:rsidR="00C96D5C" w:rsidRPr="00E75267">
        <w:rPr>
          <w:sz w:val="24"/>
          <w:szCs w:val="24"/>
        </w:rPr>
        <w:t xml:space="preserve">Michael J. </w:t>
      </w:r>
      <w:r w:rsidR="00C96D5C">
        <w:rPr>
          <w:sz w:val="24"/>
          <w:szCs w:val="24"/>
        </w:rPr>
        <w:t>H</w:t>
      </w:r>
      <w:r w:rsidR="00C96D5C" w:rsidRPr="00E75267">
        <w:rPr>
          <w:sz w:val="24"/>
          <w:szCs w:val="24"/>
        </w:rPr>
        <w:t>utter,</w:t>
      </w:r>
      <w:r w:rsidR="00C96D5C">
        <w:rPr>
          <w:sz w:val="24"/>
          <w:szCs w:val="24"/>
        </w:rPr>
        <w:t xml:space="preserve"> </w:t>
      </w:r>
      <w:r w:rsidR="00C96D5C" w:rsidRPr="00641875">
        <w:rPr>
          <w:i/>
          <w:iCs/>
          <w:sz w:val="24"/>
          <w:szCs w:val="24"/>
        </w:rPr>
        <w:t>Attorney-Client Privilege and Dual-Purpose Communications</w:t>
      </w:r>
      <w:r w:rsidR="00C96D5C">
        <w:rPr>
          <w:sz w:val="24"/>
          <w:szCs w:val="24"/>
        </w:rPr>
        <w:t>, NYLJ</w:t>
      </w:r>
      <w:r w:rsidR="007973B0">
        <w:rPr>
          <w:sz w:val="24"/>
          <w:szCs w:val="24"/>
        </w:rPr>
        <w:t>, April 3, 2024.</w:t>
      </w:r>
    </w:p>
    <w:p w14:paraId="02FAFA0C" w14:textId="77777777" w:rsidR="00956FC2" w:rsidRPr="00537731" w:rsidRDefault="00956FC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15753EE"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CPLR 4503 (a) (1) codifies the attorney-client privilege as recognized under the common law (</w:t>
      </w:r>
      <w:r w:rsidR="004D1965" w:rsidRPr="00537731">
        <w:rPr>
          <w:i/>
          <w:iCs/>
          <w:sz w:val="24"/>
          <w:szCs w:val="24"/>
        </w:rPr>
        <w:t>see Hurlburt v Hurlburt</w:t>
      </w:r>
      <w:r w:rsidR="004D1965" w:rsidRPr="00537731">
        <w:rPr>
          <w:sz w:val="24"/>
          <w:szCs w:val="24"/>
        </w:rPr>
        <w:t>, 128 NY 420, 424 [1891] [describing the predecessor statute as a “mere re-</w:t>
      </w:r>
      <w:r w:rsidRPr="00537731">
        <w:rPr>
          <w:sz w:val="24"/>
          <w:szCs w:val="24"/>
        </w:rPr>
        <w:t>enactment of the common law”]).</w:t>
      </w:r>
    </w:p>
    <w:p w14:paraId="3E3BCCCC" w14:textId="77777777" w:rsidR="00CB02F2"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72C77EB"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CPLR 4503 (a) (2) abolishes the “fiduciary exception” to the privilege regarding communications between counsel and a personal represe</w:t>
      </w:r>
      <w:r w:rsidRPr="00537731">
        <w:rPr>
          <w:sz w:val="24"/>
          <w:szCs w:val="24"/>
        </w:rPr>
        <w:t>ntative of a decedent’s estate.</w:t>
      </w:r>
    </w:p>
    <w:p w14:paraId="200122A1" w14:textId="77777777" w:rsidR="00CB02F2"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69A2D10"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CPLR 4503 (b) creates a statutory exception to the privilege where the confidential communication between a deceased client and the client’s attorney involves the preparation, execution, or revocation of any will of that client or other relevant instrument.</w:t>
      </w:r>
    </w:p>
    <w:p w14:paraId="43BFAFF4" w14:textId="77777777" w:rsidR="00CB02F2"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2BCE081F" w14:textId="1A4DBAE1" w:rsidR="00C42B66" w:rsidRPr="004A68E2"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shd w:val="clear" w:color="auto" w:fill="FFFFFF"/>
        </w:rPr>
      </w:pPr>
      <w:r w:rsidRPr="00537731">
        <w:rPr>
          <w:sz w:val="24"/>
          <w:szCs w:val="24"/>
        </w:rPr>
        <w:tab/>
      </w:r>
      <w:r w:rsidR="005957B1" w:rsidRPr="004A68E2">
        <w:rPr>
          <w:sz w:val="24"/>
          <w:szCs w:val="24"/>
        </w:rPr>
        <w:t xml:space="preserve">The attorney-client privilege protects from disclosure </w:t>
      </w:r>
      <w:r w:rsidR="00001FEB" w:rsidRPr="004A68E2">
        <w:rPr>
          <w:sz w:val="24"/>
          <w:szCs w:val="24"/>
        </w:rPr>
        <w:t>c</w:t>
      </w:r>
      <w:r w:rsidR="00BD4FFA" w:rsidRPr="004A68E2">
        <w:rPr>
          <w:sz w:val="24"/>
          <w:szCs w:val="24"/>
        </w:rPr>
        <w:t>e</w:t>
      </w:r>
      <w:r w:rsidR="00001FEB" w:rsidRPr="004A68E2">
        <w:rPr>
          <w:sz w:val="24"/>
          <w:szCs w:val="24"/>
        </w:rPr>
        <w:t xml:space="preserve">rtain </w:t>
      </w:r>
      <w:r w:rsidR="005957B1" w:rsidRPr="004A68E2">
        <w:rPr>
          <w:sz w:val="24"/>
          <w:szCs w:val="24"/>
        </w:rPr>
        <w:t xml:space="preserve">confidential communications made between clients and their attorneys. </w:t>
      </w:r>
      <w:r w:rsidR="004D1965" w:rsidRPr="004A68E2">
        <w:rPr>
          <w:sz w:val="24"/>
          <w:szCs w:val="24"/>
        </w:rPr>
        <w:t>The Court of Appeals has long viewed the privilege as premised on the rationale that “one seeking legal advice will be able to confide fully and freely in his [or her] attorney, secure in the knowledge that his [or her] confidences will not later be exposed to public view to his [or her] embarrassment or legal detriment</w:t>
      </w:r>
      <w:r w:rsidR="00D174BC" w:rsidRPr="004A68E2">
        <w:rPr>
          <w:sz w:val="24"/>
          <w:szCs w:val="24"/>
        </w:rPr>
        <w:t>”</w:t>
      </w:r>
      <w:r w:rsidR="004D1965" w:rsidRPr="004A68E2">
        <w:rPr>
          <w:sz w:val="24"/>
          <w:szCs w:val="24"/>
        </w:rPr>
        <w:t xml:space="preserve"> (</w:t>
      </w:r>
      <w:r w:rsidR="004D1965" w:rsidRPr="004A68E2">
        <w:rPr>
          <w:i/>
          <w:iCs/>
          <w:sz w:val="24"/>
          <w:szCs w:val="24"/>
        </w:rPr>
        <w:t>Matter of Priest v Hennessy</w:t>
      </w:r>
      <w:r w:rsidR="004D1965" w:rsidRPr="004A68E2">
        <w:rPr>
          <w:sz w:val="24"/>
          <w:szCs w:val="24"/>
        </w:rPr>
        <w:t>, 51 NY2d 62, 67-68 [1980]). Such disclosure enables the attorney to act more effectively and expeditiously, thereby “ultimately promoting the administration of justice</w:t>
      </w:r>
      <w:r w:rsidR="00D174BC" w:rsidRPr="004A68E2">
        <w:rPr>
          <w:sz w:val="24"/>
          <w:szCs w:val="24"/>
        </w:rPr>
        <w:t>”</w:t>
      </w:r>
      <w:r w:rsidR="004D1965" w:rsidRPr="004A68E2">
        <w:rPr>
          <w:sz w:val="24"/>
          <w:szCs w:val="24"/>
        </w:rPr>
        <w:t xml:space="preserve"> (</w:t>
      </w:r>
      <w:r w:rsidR="004D1965" w:rsidRPr="004A68E2">
        <w:rPr>
          <w:i/>
          <w:iCs/>
          <w:sz w:val="24"/>
          <w:szCs w:val="24"/>
        </w:rPr>
        <w:t>Rossi v Blue Cross &amp; Blue Shield of Greater N.Y.</w:t>
      </w:r>
      <w:r w:rsidR="004D1965" w:rsidRPr="004A68E2">
        <w:rPr>
          <w:sz w:val="24"/>
          <w:szCs w:val="24"/>
        </w:rPr>
        <w:t>, 73 NY2d 588, 592 [1989]).</w:t>
      </w:r>
      <w:r w:rsidR="0087189B" w:rsidRPr="004A68E2">
        <w:rPr>
          <w:sz w:val="24"/>
          <w:szCs w:val="24"/>
        </w:rPr>
        <w:t xml:space="preserve"> </w:t>
      </w:r>
      <w:r w:rsidR="000D1307" w:rsidRPr="004A68E2">
        <w:rPr>
          <w:sz w:val="24"/>
          <w:szCs w:val="24"/>
        </w:rPr>
        <w:t xml:space="preserve">Notwithstanding its desirable purpose, the Court of Appeals has cautioned that as </w:t>
      </w:r>
      <w:r w:rsidR="000D1307" w:rsidRPr="004A68E2">
        <w:rPr>
          <w:sz w:val="24"/>
          <w:szCs w:val="24"/>
          <w:shd w:val="clear" w:color="auto" w:fill="FFFFFF"/>
        </w:rPr>
        <w:t>the attorney-client privilege constitutes an “obstacle” to the truth-finding process, the privilege should be narrowly construed to ensure that its application is consistent with its purpose (</w:t>
      </w:r>
      <w:r w:rsidR="000D1307" w:rsidRPr="004A68E2">
        <w:rPr>
          <w:i/>
          <w:sz w:val="24"/>
          <w:szCs w:val="24"/>
          <w:shd w:val="clear" w:color="auto" w:fill="FFFFFF"/>
        </w:rPr>
        <w:t>Ambac Assur. Corp. v Countrywide Home Loans, Inc</w:t>
      </w:r>
      <w:r w:rsidR="000D1307" w:rsidRPr="004A68E2">
        <w:rPr>
          <w:sz w:val="24"/>
          <w:szCs w:val="24"/>
          <w:shd w:val="clear" w:color="auto" w:fill="FFFFFF"/>
        </w:rPr>
        <w:t xml:space="preserve">., 27 NY3d 616, 624 [2016]; </w:t>
      </w:r>
      <w:r w:rsidR="000D1307" w:rsidRPr="004A68E2">
        <w:rPr>
          <w:i/>
          <w:sz w:val="24"/>
          <w:szCs w:val="24"/>
          <w:shd w:val="clear" w:color="auto" w:fill="FFFFFF"/>
        </w:rPr>
        <w:t>Matter of Jacqueline F</w:t>
      </w:r>
      <w:r w:rsidR="000D1307" w:rsidRPr="004A68E2">
        <w:rPr>
          <w:sz w:val="24"/>
          <w:szCs w:val="24"/>
          <w:shd w:val="clear" w:color="auto" w:fill="FFFFFF"/>
        </w:rPr>
        <w:t>., 47 NY2d 215, 219 [1979]).</w:t>
      </w:r>
    </w:p>
    <w:p w14:paraId="1A1A56FE" w14:textId="77777777" w:rsidR="0068769A" w:rsidRPr="004A68E2" w:rsidRDefault="00C42B66"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4A68E2">
        <w:rPr>
          <w:sz w:val="24"/>
          <w:szCs w:val="24"/>
        </w:rPr>
        <w:t xml:space="preserve"> </w:t>
      </w:r>
    </w:p>
    <w:p w14:paraId="4067AC27" w14:textId="7E07F6FF" w:rsidR="00591D02" w:rsidRPr="004A68E2" w:rsidRDefault="00591D0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4A68E2">
        <w:rPr>
          <w:b/>
          <w:bCs/>
          <w:sz w:val="24"/>
          <w:szCs w:val="24"/>
          <w:shd w:val="clear" w:color="auto" w:fill="FFFFFF"/>
        </w:rPr>
        <w:tab/>
      </w:r>
      <w:r w:rsidRPr="004A68E2">
        <w:rPr>
          <w:sz w:val="24"/>
          <w:szCs w:val="24"/>
          <w:shd w:val="clear" w:color="auto" w:fill="FFFFFF"/>
        </w:rPr>
        <w:t xml:space="preserve">As stated in </w:t>
      </w:r>
      <w:r w:rsidRPr="004A68E2">
        <w:rPr>
          <w:b/>
          <w:bCs/>
          <w:sz w:val="24"/>
          <w:szCs w:val="24"/>
          <w:shd w:val="clear" w:color="auto" w:fill="FFFFFF"/>
        </w:rPr>
        <w:t>subdivision (</w:t>
      </w:r>
      <w:r w:rsidR="002D2CA9" w:rsidRPr="004A68E2">
        <w:rPr>
          <w:b/>
          <w:bCs/>
          <w:sz w:val="24"/>
          <w:szCs w:val="24"/>
          <w:shd w:val="clear" w:color="auto" w:fill="FFFFFF"/>
        </w:rPr>
        <w:t>c</w:t>
      </w:r>
      <w:r w:rsidRPr="004A68E2">
        <w:rPr>
          <w:b/>
          <w:bCs/>
          <w:sz w:val="24"/>
          <w:szCs w:val="24"/>
          <w:shd w:val="clear" w:color="auto" w:fill="FFFFFF"/>
        </w:rPr>
        <w:t>)</w:t>
      </w:r>
      <w:r w:rsidRPr="004A68E2">
        <w:rPr>
          <w:sz w:val="24"/>
          <w:szCs w:val="24"/>
          <w:shd w:val="clear" w:color="auto" w:fill="FFFFFF"/>
        </w:rPr>
        <w:t>, corporations and governmental entities may avail themselves of the attorney-client privilege for confidential communications with their attorneys relating to their legal matters.</w:t>
      </w:r>
    </w:p>
    <w:p w14:paraId="274F6CC5" w14:textId="77777777" w:rsidR="00591D02" w:rsidRPr="00537731" w:rsidRDefault="00591D0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9F7CDDE" w14:textId="62A81269" w:rsidR="00074F9C" w:rsidRPr="00537731" w:rsidRDefault="005F237E"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Cs/>
          <w:sz w:val="24"/>
          <w:szCs w:val="24"/>
          <w:shd w:val="clear" w:color="auto" w:fill="FFFFFF"/>
        </w:rPr>
      </w:pPr>
      <w:r w:rsidRPr="00537731">
        <w:rPr>
          <w:sz w:val="24"/>
          <w:szCs w:val="24"/>
        </w:rPr>
        <w:tab/>
      </w:r>
      <w:r w:rsidR="00962BE9" w:rsidRPr="004A68E2">
        <w:rPr>
          <w:sz w:val="24"/>
          <w:szCs w:val="24"/>
          <w:shd w:val="clear" w:color="auto" w:fill="FFFFFF"/>
        </w:rPr>
        <w:t>With respect to corporations, the</w:t>
      </w:r>
      <w:r w:rsidRPr="004A68E2">
        <w:rPr>
          <w:sz w:val="24"/>
          <w:szCs w:val="24"/>
          <w:shd w:val="clear" w:color="auto" w:fill="FFFFFF"/>
        </w:rPr>
        <w:t xml:space="preserve"> </w:t>
      </w:r>
      <w:r w:rsidRPr="00537731">
        <w:rPr>
          <w:sz w:val="24"/>
          <w:szCs w:val="24"/>
          <w:shd w:val="clear" w:color="auto" w:fill="FFFFFF"/>
        </w:rPr>
        <w:t xml:space="preserve">New York courts have drawn no distinction between </w:t>
      </w:r>
      <w:r w:rsidR="00BD4FFA" w:rsidRPr="00537731">
        <w:rPr>
          <w:sz w:val="24"/>
          <w:szCs w:val="24"/>
          <w:shd w:val="clear" w:color="auto" w:fill="FFFFFF"/>
        </w:rPr>
        <w:t xml:space="preserve">corporate staff </w:t>
      </w:r>
      <w:r w:rsidRPr="00537731">
        <w:rPr>
          <w:sz w:val="24"/>
          <w:szCs w:val="24"/>
          <w:shd w:val="clear" w:color="auto" w:fill="FFFFFF"/>
        </w:rPr>
        <w:t>counsel and outside counsel</w:t>
      </w:r>
      <w:r w:rsidR="00BD4FFA" w:rsidRPr="00537731">
        <w:rPr>
          <w:sz w:val="24"/>
          <w:szCs w:val="24"/>
          <w:shd w:val="clear" w:color="auto" w:fill="FFFFFF"/>
        </w:rPr>
        <w:t xml:space="preserve"> in applying the privilege (</w:t>
      </w:r>
      <w:r w:rsidR="00E473AE" w:rsidRPr="00537731">
        <w:rPr>
          <w:i/>
          <w:iCs/>
          <w:sz w:val="24"/>
          <w:szCs w:val="24"/>
          <w:shd w:val="clear" w:color="auto" w:fill="FFFFFF"/>
        </w:rPr>
        <w:t>s</w:t>
      </w:r>
      <w:r w:rsidR="00BD4FFA" w:rsidRPr="00537731">
        <w:rPr>
          <w:i/>
          <w:iCs/>
          <w:sz w:val="24"/>
          <w:szCs w:val="24"/>
          <w:shd w:val="clear" w:color="auto" w:fill="FFFFFF"/>
        </w:rPr>
        <w:t>ee</w:t>
      </w:r>
      <w:r w:rsidR="00BD4FFA" w:rsidRPr="00537731">
        <w:rPr>
          <w:sz w:val="24"/>
          <w:szCs w:val="24"/>
          <w:shd w:val="clear" w:color="auto" w:fill="FFFFFF"/>
        </w:rPr>
        <w:t xml:space="preserve"> </w:t>
      </w:r>
      <w:r w:rsidR="00BD4FFA" w:rsidRPr="00537731">
        <w:rPr>
          <w:bCs/>
          <w:i/>
          <w:sz w:val="24"/>
          <w:szCs w:val="24"/>
          <w:shd w:val="clear" w:color="auto" w:fill="FFFFFF"/>
        </w:rPr>
        <w:t>Spectrum Sys. Intl. Corp. v Chemical Bank</w:t>
      </w:r>
      <w:r w:rsidR="00BD4FFA" w:rsidRPr="00537731">
        <w:rPr>
          <w:bCs/>
          <w:iCs/>
          <w:sz w:val="24"/>
          <w:szCs w:val="24"/>
          <w:shd w:val="clear" w:color="auto" w:fill="FFFFFF"/>
        </w:rPr>
        <w:t>,</w:t>
      </w:r>
      <w:r w:rsidR="00BD4FFA" w:rsidRPr="00537731">
        <w:rPr>
          <w:bCs/>
          <w:i/>
          <w:sz w:val="24"/>
          <w:szCs w:val="24"/>
          <w:shd w:val="clear" w:color="auto" w:fill="FFFFFF"/>
        </w:rPr>
        <w:t xml:space="preserve"> </w:t>
      </w:r>
      <w:r w:rsidR="00BD4FFA" w:rsidRPr="00537731">
        <w:rPr>
          <w:bCs/>
          <w:sz w:val="24"/>
          <w:szCs w:val="24"/>
          <w:shd w:val="clear" w:color="auto" w:fill="FFFFFF"/>
        </w:rPr>
        <w:t xml:space="preserve">78 NY2d 371, 378 [1991]; </w:t>
      </w:r>
      <w:r w:rsidR="00BD4FFA" w:rsidRPr="00537731">
        <w:rPr>
          <w:bCs/>
          <w:i/>
          <w:sz w:val="24"/>
          <w:szCs w:val="24"/>
          <w:shd w:val="clear" w:color="auto" w:fill="FFFFFF"/>
        </w:rPr>
        <w:t>Rossi</w:t>
      </w:r>
      <w:r w:rsidR="00BD4FFA" w:rsidRPr="00537731">
        <w:rPr>
          <w:bCs/>
          <w:sz w:val="24"/>
          <w:szCs w:val="24"/>
          <w:shd w:val="clear" w:color="auto" w:fill="FFFFFF"/>
        </w:rPr>
        <w:t>, 73 NY2d at 592).</w:t>
      </w:r>
      <w:r w:rsidR="00DC38F4" w:rsidRPr="00537731">
        <w:rPr>
          <w:bCs/>
          <w:sz w:val="24"/>
          <w:szCs w:val="24"/>
          <w:shd w:val="clear" w:color="auto" w:fill="FFFFFF"/>
        </w:rPr>
        <w:t xml:space="preserve"> </w:t>
      </w:r>
      <w:r w:rsidR="006C7CA8" w:rsidRPr="00537731">
        <w:rPr>
          <w:bCs/>
          <w:sz w:val="24"/>
          <w:szCs w:val="24"/>
          <w:shd w:val="clear" w:color="auto" w:fill="FFFFFF"/>
        </w:rPr>
        <w:t>A corporation’s claim to the privilege is on par with the claim of an individual (</w:t>
      </w:r>
      <w:r w:rsidR="00E473AE" w:rsidRPr="00537731">
        <w:rPr>
          <w:bCs/>
          <w:i/>
          <w:iCs/>
          <w:sz w:val="24"/>
          <w:szCs w:val="24"/>
          <w:shd w:val="clear" w:color="auto" w:fill="FFFFFF"/>
        </w:rPr>
        <w:t>i</w:t>
      </w:r>
      <w:r w:rsidR="006C7CA8" w:rsidRPr="00537731">
        <w:rPr>
          <w:bCs/>
          <w:i/>
          <w:sz w:val="24"/>
          <w:szCs w:val="24"/>
          <w:shd w:val="clear" w:color="auto" w:fill="FFFFFF"/>
        </w:rPr>
        <w:t>bid</w:t>
      </w:r>
      <w:r w:rsidR="006C7CA8" w:rsidRPr="00537731">
        <w:rPr>
          <w:bCs/>
          <w:sz w:val="24"/>
          <w:szCs w:val="24"/>
          <w:shd w:val="clear" w:color="auto" w:fill="FFFFFF"/>
        </w:rPr>
        <w:t xml:space="preserve">.). </w:t>
      </w:r>
    </w:p>
    <w:p w14:paraId="21219A2F" w14:textId="77777777" w:rsidR="00C71D9A" w:rsidRPr="00537731" w:rsidRDefault="00C71D9A"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Cs/>
          <w:sz w:val="24"/>
          <w:szCs w:val="24"/>
          <w:shd w:val="clear" w:color="auto" w:fill="FFFFFF"/>
        </w:rPr>
      </w:pPr>
    </w:p>
    <w:p w14:paraId="050F6AD6" w14:textId="0CF0A3EF" w:rsidR="00795B8F" w:rsidRPr="00B90A42" w:rsidRDefault="00C71D9A" w:rsidP="004E67AF">
      <w:pPr>
        <w:pStyle w:val="xmsonormal"/>
        <w:shd w:val="clear" w:color="auto" w:fill="FFFFFF"/>
        <w:spacing w:line="276" w:lineRule="auto"/>
        <w:jc w:val="both"/>
        <w:rPr>
          <w:rFonts w:ascii="Times New Roman" w:hAnsi="Times New Roman" w:cs="Times New Roman"/>
          <w:color w:val="00B050"/>
        </w:rPr>
      </w:pPr>
      <w:r w:rsidRPr="00537731">
        <w:rPr>
          <w:rFonts w:ascii="Times New Roman" w:hAnsi="Times New Roman" w:cs="Times New Roman"/>
          <w:bCs/>
          <w:shd w:val="clear" w:color="auto" w:fill="FFFFFF"/>
        </w:rPr>
        <w:tab/>
      </w:r>
      <w:r w:rsidR="00DC38F4" w:rsidRPr="004A68E2">
        <w:rPr>
          <w:rFonts w:ascii="Times New Roman" w:hAnsi="Times New Roman" w:cs="Times New Roman"/>
          <w:bCs/>
          <w:shd w:val="clear" w:color="auto" w:fill="FFFFFF"/>
        </w:rPr>
        <w:t xml:space="preserve">An </w:t>
      </w:r>
      <w:r w:rsidRPr="004A68E2">
        <w:rPr>
          <w:rFonts w:ascii="Times New Roman" w:hAnsi="Times New Roman" w:cs="Times New Roman"/>
          <w:bCs/>
          <w:shd w:val="clear" w:color="auto" w:fill="FFFFFF"/>
        </w:rPr>
        <w:t>unsettled</w:t>
      </w:r>
      <w:r w:rsidR="00DC38F4" w:rsidRPr="004A68E2">
        <w:rPr>
          <w:rFonts w:ascii="Times New Roman" w:hAnsi="Times New Roman" w:cs="Times New Roman"/>
          <w:bCs/>
          <w:shd w:val="clear" w:color="auto" w:fill="FFFFFF"/>
        </w:rPr>
        <w:t xml:space="preserve"> issue is </w:t>
      </w:r>
      <w:r w:rsidR="006C7CA8" w:rsidRPr="004A68E2">
        <w:rPr>
          <w:rFonts w:ascii="Times New Roman" w:hAnsi="Times New Roman" w:cs="Times New Roman"/>
          <w:bCs/>
          <w:shd w:val="clear" w:color="auto" w:fill="FFFFFF"/>
        </w:rPr>
        <w:t xml:space="preserve">whether </w:t>
      </w:r>
      <w:r w:rsidR="00781875" w:rsidRPr="004A68E2">
        <w:rPr>
          <w:rFonts w:ascii="Times New Roman" w:hAnsi="Times New Roman" w:cs="Times New Roman"/>
          <w:bCs/>
          <w:shd w:val="clear" w:color="auto" w:fill="FFFFFF"/>
        </w:rPr>
        <w:t>confidential communications with the corporate attorney on behalf of the corporation fall within the privilege</w:t>
      </w:r>
      <w:r w:rsidR="006C7CA8" w:rsidRPr="004A68E2">
        <w:rPr>
          <w:rFonts w:ascii="Times New Roman" w:hAnsi="Times New Roman" w:cs="Times New Roman"/>
          <w:bCs/>
          <w:shd w:val="clear" w:color="auto" w:fill="FFFFFF"/>
        </w:rPr>
        <w:t xml:space="preserve"> only when corporate officers or employees in the upper echelon of the corporation</w:t>
      </w:r>
      <w:r w:rsidR="00E2612F" w:rsidRPr="004A68E2">
        <w:rPr>
          <w:rFonts w:ascii="Times New Roman" w:hAnsi="Times New Roman" w:cs="Times New Roman"/>
          <w:bCs/>
          <w:shd w:val="clear" w:color="auto" w:fill="FFFFFF"/>
        </w:rPr>
        <w:t xml:space="preserve"> are involved or </w:t>
      </w:r>
      <w:r w:rsidR="00A904F9" w:rsidRPr="004A68E2">
        <w:rPr>
          <w:rFonts w:ascii="Times New Roman" w:hAnsi="Times New Roman" w:cs="Times New Roman"/>
          <w:bCs/>
          <w:shd w:val="clear" w:color="auto" w:fill="FFFFFF"/>
        </w:rPr>
        <w:t xml:space="preserve">whether the privilege also </w:t>
      </w:r>
      <w:r w:rsidR="00E2612F" w:rsidRPr="004A68E2">
        <w:rPr>
          <w:rFonts w:ascii="Times New Roman" w:hAnsi="Times New Roman" w:cs="Times New Roman"/>
          <w:bCs/>
          <w:shd w:val="clear" w:color="auto" w:fill="FFFFFF"/>
        </w:rPr>
        <w:t xml:space="preserve">extends </w:t>
      </w:r>
      <w:bookmarkStart w:id="0" w:name="_Hlk161233006"/>
      <w:r w:rsidR="00E2612F" w:rsidRPr="004A68E2">
        <w:rPr>
          <w:rFonts w:ascii="Times New Roman" w:hAnsi="Times New Roman" w:cs="Times New Roman"/>
          <w:bCs/>
          <w:shd w:val="clear" w:color="auto" w:fill="FFFFFF"/>
        </w:rPr>
        <w:t xml:space="preserve">to </w:t>
      </w:r>
      <w:r w:rsidR="00781875" w:rsidRPr="004A68E2">
        <w:rPr>
          <w:rFonts w:ascii="Times New Roman" w:hAnsi="Times New Roman" w:cs="Times New Roman"/>
          <w:bCs/>
          <w:shd w:val="clear" w:color="auto" w:fill="FFFFFF"/>
        </w:rPr>
        <w:t>confidential communications of</w:t>
      </w:r>
      <w:r w:rsidR="00B86CA5" w:rsidRPr="004A68E2">
        <w:rPr>
          <w:rFonts w:ascii="Times New Roman" w:hAnsi="Times New Roman" w:cs="Times New Roman"/>
          <w:bCs/>
          <w:shd w:val="clear" w:color="auto" w:fill="FFFFFF"/>
        </w:rPr>
        <w:t xml:space="preserve"> low</w:t>
      </w:r>
      <w:r w:rsidR="00225E28" w:rsidRPr="004A68E2">
        <w:rPr>
          <w:rFonts w:ascii="Times New Roman" w:hAnsi="Times New Roman" w:cs="Times New Roman"/>
          <w:bCs/>
          <w:shd w:val="clear" w:color="auto" w:fill="FFFFFF"/>
        </w:rPr>
        <w:t xml:space="preserve">- </w:t>
      </w:r>
      <w:r w:rsidR="00B86CA5" w:rsidRPr="004A68E2">
        <w:rPr>
          <w:rFonts w:ascii="Times New Roman" w:hAnsi="Times New Roman" w:cs="Times New Roman"/>
          <w:bCs/>
          <w:shd w:val="clear" w:color="auto" w:fill="FFFFFF"/>
        </w:rPr>
        <w:t>and mid-level</w:t>
      </w:r>
      <w:r w:rsidR="00781875" w:rsidRPr="004A68E2">
        <w:rPr>
          <w:rFonts w:ascii="Times New Roman" w:hAnsi="Times New Roman" w:cs="Times New Roman"/>
          <w:bCs/>
          <w:shd w:val="clear" w:color="auto" w:fill="FFFFFF"/>
        </w:rPr>
        <w:t xml:space="preserve"> corporate employees</w:t>
      </w:r>
      <w:bookmarkEnd w:id="0"/>
      <w:r w:rsidR="00B86CA5" w:rsidRPr="004A68E2">
        <w:rPr>
          <w:rFonts w:ascii="Times New Roman" w:hAnsi="Times New Roman" w:cs="Times New Roman"/>
          <w:bCs/>
          <w:shd w:val="clear" w:color="auto" w:fill="FFFFFF"/>
        </w:rPr>
        <w:t xml:space="preserve"> </w:t>
      </w:r>
      <w:r w:rsidR="00800939" w:rsidRPr="004A68E2">
        <w:rPr>
          <w:rFonts w:ascii="Times New Roman" w:hAnsi="Times New Roman" w:cs="Times New Roman"/>
          <w:bCs/>
          <w:shd w:val="clear" w:color="auto" w:fill="FFFFFF"/>
        </w:rPr>
        <w:t>(</w:t>
      </w:r>
      <w:r w:rsidR="00674CF3" w:rsidRPr="004A68E2">
        <w:rPr>
          <w:rFonts w:ascii="Times New Roman" w:hAnsi="Times New Roman" w:cs="Times New Roman"/>
          <w:bCs/>
          <w:i/>
          <w:shd w:val="clear" w:color="auto" w:fill="FFFFFF"/>
        </w:rPr>
        <w:t>s</w:t>
      </w:r>
      <w:r w:rsidR="00800939" w:rsidRPr="004A68E2">
        <w:rPr>
          <w:rFonts w:ascii="Times New Roman" w:hAnsi="Times New Roman" w:cs="Times New Roman"/>
          <w:bCs/>
          <w:i/>
          <w:shd w:val="clear" w:color="auto" w:fill="FFFFFF"/>
        </w:rPr>
        <w:t>ee</w:t>
      </w:r>
      <w:r w:rsidR="00800939" w:rsidRPr="004A68E2">
        <w:rPr>
          <w:rFonts w:ascii="Times New Roman" w:hAnsi="Times New Roman" w:cs="Times New Roman"/>
          <w:bCs/>
          <w:shd w:val="clear" w:color="auto" w:fill="FFFFFF"/>
        </w:rPr>
        <w:t xml:space="preserve"> Barker </w:t>
      </w:r>
      <w:r w:rsidR="00674CF3" w:rsidRPr="004A68E2">
        <w:rPr>
          <w:rFonts w:ascii="Times New Roman" w:hAnsi="Times New Roman" w:cs="Times New Roman"/>
          <w:bCs/>
          <w:shd w:val="clear" w:color="auto" w:fill="FFFFFF"/>
        </w:rPr>
        <w:t xml:space="preserve">&amp; </w:t>
      </w:r>
      <w:r w:rsidR="00800939" w:rsidRPr="004A68E2">
        <w:rPr>
          <w:rFonts w:ascii="Times New Roman" w:hAnsi="Times New Roman" w:cs="Times New Roman"/>
          <w:bCs/>
          <w:shd w:val="clear" w:color="auto" w:fill="FFFFFF"/>
        </w:rPr>
        <w:t xml:space="preserve">Alexander, </w:t>
      </w:r>
      <w:bookmarkStart w:id="1" w:name="_Hlk161234223"/>
      <w:r w:rsidR="00800939" w:rsidRPr="004A68E2">
        <w:rPr>
          <w:rFonts w:ascii="Times New Roman" w:hAnsi="Times New Roman" w:cs="Times New Roman"/>
          <w:bCs/>
          <w:shd w:val="clear" w:color="auto" w:fill="FFFFFF"/>
        </w:rPr>
        <w:t>Evidence in New York State and Federal Courts</w:t>
      </w:r>
      <w:bookmarkEnd w:id="1"/>
      <w:r w:rsidR="00800939" w:rsidRPr="004A68E2">
        <w:rPr>
          <w:rFonts w:ascii="Times New Roman" w:hAnsi="Times New Roman" w:cs="Times New Roman"/>
          <w:bCs/>
          <w:shd w:val="clear" w:color="auto" w:fill="FFFFFF"/>
        </w:rPr>
        <w:t xml:space="preserve"> </w:t>
      </w:r>
      <w:bookmarkStart w:id="2" w:name="_Hlk161234193"/>
      <w:r w:rsidR="006441C2" w:rsidRPr="004A68E2">
        <w:rPr>
          <w:rFonts w:ascii="Times New Roman" w:hAnsi="Times New Roman" w:cs="Times New Roman"/>
        </w:rPr>
        <w:t>§</w:t>
      </w:r>
      <w:r w:rsidR="00674CF3" w:rsidRPr="004A68E2">
        <w:rPr>
          <w:rFonts w:ascii="Times New Roman" w:hAnsi="Times New Roman" w:cs="Times New Roman"/>
        </w:rPr>
        <w:t xml:space="preserve"> </w:t>
      </w:r>
      <w:r w:rsidR="006441C2" w:rsidRPr="004A68E2">
        <w:rPr>
          <w:rFonts w:ascii="Times New Roman" w:hAnsi="Times New Roman" w:cs="Times New Roman"/>
        </w:rPr>
        <w:t>5:8</w:t>
      </w:r>
      <w:r w:rsidR="00674CF3" w:rsidRPr="004A68E2">
        <w:rPr>
          <w:rFonts w:ascii="Times New Roman" w:hAnsi="Times New Roman" w:cs="Times New Roman"/>
        </w:rPr>
        <w:t xml:space="preserve"> </w:t>
      </w:r>
      <w:bookmarkEnd w:id="2"/>
      <w:r w:rsidR="00674CF3" w:rsidRPr="004A68E2">
        <w:rPr>
          <w:rFonts w:ascii="Times New Roman" w:hAnsi="Times New Roman" w:cs="Times New Roman"/>
        </w:rPr>
        <w:t>[2d ed]</w:t>
      </w:r>
      <w:r w:rsidR="006441C2" w:rsidRPr="004A68E2">
        <w:rPr>
          <w:rFonts w:ascii="Times New Roman" w:hAnsi="Times New Roman" w:cs="Times New Roman"/>
        </w:rPr>
        <w:t xml:space="preserve">; Martin </w:t>
      </w:r>
      <w:r w:rsidR="00225E28" w:rsidRPr="004A68E2">
        <w:rPr>
          <w:rFonts w:ascii="Times New Roman" w:hAnsi="Times New Roman" w:cs="Times New Roman"/>
        </w:rPr>
        <w:t xml:space="preserve">&amp; </w:t>
      </w:r>
      <w:r w:rsidR="006441C2" w:rsidRPr="004A68E2">
        <w:rPr>
          <w:rFonts w:ascii="Times New Roman" w:hAnsi="Times New Roman" w:cs="Times New Roman"/>
        </w:rPr>
        <w:t xml:space="preserve">Capra, New York Evidence Handbook </w:t>
      </w:r>
      <w:r w:rsidR="00225E28" w:rsidRPr="004A68E2">
        <w:rPr>
          <w:rFonts w:ascii="Times New Roman" w:hAnsi="Times New Roman" w:cs="Times New Roman"/>
        </w:rPr>
        <w:t xml:space="preserve">§ 5.2.5 </w:t>
      </w:r>
      <w:r w:rsidR="006441C2" w:rsidRPr="004A68E2">
        <w:rPr>
          <w:rFonts w:ascii="Times New Roman" w:hAnsi="Times New Roman" w:cs="Times New Roman"/>
        </w:rPr>
        <w:t xml:space="preserve">[3d ed]). </w:t>
      </w:r>
      <w:r w:rsidR="00B1358E" w:rsidRPr="004A68E2">
        <w:rPr>
          <w:rFonts w:ascii="Times New Roman" w:hAnsi="Times New Roman" w:cs="Times New Roman"/>
        </w:rPr>
        <w:t>Barke</w:t>
      </w:r>
      <w:r w:rsidR="00612C86" w:rsidRPr="004A68E2">
        <w:rPr>
          <w:rFonts w:ascii="Times New Roman" w:hAnsi="Times New Roman" w:cs="Times New Roman"/>
        </w:rPr>
        <w:t>r</w:t>
      </w:r>
      <w:r w:rsidR="00DC78BF" w:rsidRPr="004A68E2">
        <w:rPr>
          <w:rFonts w:ascii="Times New Roman" w:hAnsi="Times New Roman" w:cs="Times New Roman"/>
        </w:rPr>
        <w:t xml:space="preserve"> </w:t>
      </w:r>
      <w:r w:rsidR="007517F1" w:rsidRPr="004A68E2">
        <w:rPr>
          <w:rFonts w:ascii="Times New Roman" w:hAnsi="Times New Roman" w:cs="Times New Roman"/>
        </w:rPr>
        <w:t>and Alexander note</w:t>
      </w:r>
      <w:r w:rsidR="00DC78BF" w:rsidRPr="004A68E2">
        <w:rPr>
          <w:rFonts w:ascii="Times New Roman" w:hAnsi="Times New Roman" w:cs="Times New Roman"/>
        </w:rPr>
        <w:t xml:space="preserve"> that some courts have accepted a “subject</w:t>
      </w:r>
      <w:r w:rsidR="00AC43F3" w:rsidRPr="004A68E2">
        <w:rPr>
          <w:rFonts w:ascii="Times New Roman" w:hAnsi="Times New Roman" w:cs="Times New Roman"/>
        </w:rPr>
        <w:t xml:space="preserve"> matter</w:t>
      </w:r>
      <w:r w:rsidR="00DC78BF" w:rsidRPr="004A68E2">
        <w:rPr>
          <w:rFonts w:ascii="Times New Roman" w:hAnsi="Times New Roman" w:cs="Times New Roman"/>
        </w:rPr>
        <w:t xml:space="preserve"> test”</w:t>
      </w:r>
      <w:r w:rsidR="00795B8F" w:rsidRPr="004A68E2">
        <w:rPr>
          <w:rFonts w:ascii="Times New Roman" w:hAnsi="Times New Roman" w:cs="Times New Roman"/>
        </w:rPr>
        <w:t xml:space="preserve"> </w:t>
      </w:r>
      <w:r w:rsidR="00CB3F70" w:rsidRPr="004A68E2">
        <w:rPr>
          <w:rFonts w:ascii="Times New Roman" w:hAnsi="Times New Roman" w:cs="Times New Roman"/>
        </w:rPr>
        <w:t>which “</w:t>
      </w:r>
      <w:r w:rsidR="00795B8F" w:rsidRPr="004A68E2">
        <w:rPr>
          <w:rFonts w:ascii="Times New Roman" w:hAnsi="Times New Roman" w:cs="Times New Roman"/>
        </w:rPr>
        <w:t>extends the privilege to a confidential communication between the corporation</w:t>
      </w:r>
      <w:r w:rsidR="00EB66C9" w:rsidRPr="004A68E2">
        <w:rPr>
          <w:rFonts w:ascii="Times New Roman" w:hAnsi="Times New Roman" w:cs="Times New Roman"/>
        </w:rPr>
        <w:t>’</w:t>
      </w:r>
      <w:r w:rsidR="00795B8F" w:rsidRPr="004A68E2">
        <w:rPr>
          <w:rFonts w:ascii="Times New Roman" w:hAnsi="Times New Roman" w:cs="Times New Roman"/>
        </w:rPr>
        <w:t xml:space="preserve">s attorney and any employee, provided the </w:t>
      </w:r>
      <w:r w:rsidR="00795B8F" w:rsidRPr="004A68E2">
        <w:rPr>
          <w:rFonts w:ascii="Times New Roman" w:hAnsi="Times New Roman" w:cs="Times New Roman"/>
        </w:rPr>
        <w:lastRenderedPageBreak/>
        <w:t>subject matter of the communication concerns the employee</w:t>
      </w:r>
      <w:r w:rsidR="00EB66C9" w:rsidRPr="004A68E2">
        <w:rPr>
          <w:rFonts w:ascii="Times New Roman" w:hAnsi="Times New Roman" w:cs="Times New Roman"/>
        </w:rPr>
        <w:t>’</w:t>
      </w:r>
      <w:r w:rsidR="00795B8F" w:rsidRPr="004A68E2">
        <w:rPr>
          <w:rFonts w:ascii="Times New Roman" w:hAnsi="Times New Roman" w:cs="Times New Roman"/>
        </w:rPr>
        <w:t xml:space="preserve">s corporate duties and the purpose of the communication involves the providing of legal advice </w:t>
      </w:r>
      <w:r w:rsidR="008C7409" w:rsidRPr="004A68E2">
        <w:rPr>
          <w:rFonts w:ascii="Times New Roman" w:hAnsi="Times New Roman" w:cs="Times New Roman"/>
        </w:rPr>
        <w:t>to</w:t>
      </w:r>
      <w:r w:rsidR="00795B8F" w:rsidRPr="004A68E2">
        <w:rPr>
          <w:rFonts w:ascii="Times New Roman" w:hAnsi="Times New Roman" w:cs="Times New Roman"/>
        </w:rPr>
        <w:t xml:space="preserve"> the corporation</w:t>
      </w:r>
      <w:r w:rsidR="008C7409" w:rsidRPr="004A68E2">
        <w:rPr>
          <w:rFonts w:ascii="Times New Roman" w:hAnsi="Times New Roman" w:cs="Times New Roman"/>
        </w:rPr>
        <w:t>”</w:t>
      </w:r>
      <w:r w:rsidR="00EC2FFD" w:rsidRPr="004A68E2">
        <w:rPr>
          <w:rFonts w:ascii="Times New Roman" w:hAnsi="Times New Roman" w:cs="Times New Roman"/>
        </w:rPr>
        <w:t xml:space="preserve"> (Evidence in New York State and Federal Courts § 5:8).</w:t>
      </w:r>
    </w:p>
    <w:p w14:paraId="23F0C3CC" w14:textId="34E4FD25" w:rsidR="00C42B66" w:rsidRPr="00537731" w:rsidRDefault="00C42B66" w:rsidP="004E67AF">
      <w:pPr>
        <w:pStyle w:val="xmsonormal"/>
        <w:shd w:val="clear" w:color="auto" w:fill="FFFFFF"/>
        <w:spacing w:line="276" w:lineRule="auto"/>
        <w:rPr>
          <w:rFonts w:ascii="Times New Roman" w:hAnsi="Times New Roman" w:cs="Times New Roman"/>
        </w:rPr>
      </w:pPr>
    </w:p>
    <w:p w14:paraId="432B6E31" w14:textId="7A473960" w:rsidR="00CB7C40" w:rsidRPr="004A68E2" w:rsidRDefault="00C42B66"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Pr="004A68E2">
        <w:rPr>
          <w:sz w:val="24"/>
          <w:szCs w:val="24"/>
        </w:rPr>
        <w:t>Governmental entities, like corporations, may also invoke the privilege to protect confidential communications between governmental entities and their attorneys relating to their legal matters</w:t>
      </w:r>
      <w:r w:rsidR="0040453A" w:rsidRPr="004A68E2">
        <w:rPr>
          <w:sz w:val="24"/>
          <w:szCs w:val="24"/>
        </w:rPr>
        <w:t xml:space="preserve"> </w:t>
      </w:r>
      <w:r w:rsidR="00596BC6" w:rsidRPr="004A68E2">
        <w:rPr>
          <w:sz w:val="24"/>
          <w:szCs w:val="24"/>
        </w:rPr>
        <w:t>(</w:t>
      </w:r>
      <w:r w:rsidR="00596BC6" w:rsidRPr="004A68E2">
        <w:rPr>
          <w:bCs/>
          <w:i/>
          <w:sz w:val="24"/>
          <w:szCs w:val="24"/>
          <w:shd w:val="clear" w:color="auto" w:fill="FFFFFF"/>
        </w:rPr>
        <w:t>Matter of Appellate Advocates v New York State Dept. of Corr. &amp; Community Supervision</w:t>
      </w:r>
      <w:bookmarkStart w:id="3" w:name="_Hlk161234522"/>
      <w:r w:rsidR="00596BC6" w:rsidRPr="004A68E2">
        <w:rPr>
          <w:bCs/>
          <w:iCs/>
          <w:sz w:val="24"/>
          <w:szCs w:val="24"/>
          <w:shd w:val="clear" w:color="auto" w:fill="FFFFFF"/>
        </w:rPr>
        <w:t xml:space="preserve">, </w:t>
      </w:r>
      <w:r w:rsidR="006F7B18" w:rsidRPr="004A68E2">
        <w:rPr>
          <w:bCs/>
          <w:iCs/>
          <w:sz w:val="24"/>
          <w:szCs w:val="24"/>
          <w:shd w:val="clear" w:color="auto" w:fill="FFFFFF"/>
        </w:rPr>
        <w:t xml:space="preserve">40 </w:t>
      </w:r>
      <w:r w:rsidR="00596BC6" w:rsidRPr="004A68E2">
        <w:rPr>
          <w:bCs/>
          <w:sz w:val="24"/>
          <w:szCs w:val="24"/>
          <w:shd w:val="clear" w:color="auto" w:fill="FFFFFF"/>
        </w:rPr>
        <w:t xml:space="preserve">NY3d </w:t>
      </w:r>
      <w:r w:rsidR="006F7B18" w:rsidRPr="004A68E2">
        <w:rPr>
          <w:bCs/>
          <w:sz w:val="24"/>
          <w:szCs w:val="24"/>
          <w:shd w:val="clear" w:color="auto" w:fill="FFFFFF"/>
        </w:rPr>
        <w:t>547</w:t>
      </w:r>
      <w:bookmarkEnd w:id="3"/>
      <w:r w:rsidR="006F7B18" w:rsidRPr="004A68E2">
        <w:rPr>
          <w:bCs/>
          <w:sz w:val="24"/>
          <w:szCs w:val="24"/>
          <w:shd w:val="clear" w:color="auto" w:fill="FFFFFF"/>
        </w:rPr>
        <w:t xml:space="preserve"> </w:t>
      </w:r>
      <w:r w:rsidR="00596BC6" w:rsidRPr="004A68E2">
        <w:rPr>
          <w:bCs/>
          <w:sz w:val="24"/>
          <w:szCs w:val="24"/>
          <w:shd w:val="clear" w:color="auto" w:fill="FFFFFF"/>
        </w:rPr>
        <w:t xml:space="preserve">[2023]). </w:t>
      </w:r>
      <w:r w:rsidR="008F4C0C" w:rsidRPr="004A68E2">
        <w:rPr>
          <w:bCs/>
          <w:sz w:val="24"/>
          <w:szCs w:val="24"/>
          <w:shd w:val="clear" w:color="auto" w:fill="FFFFFF"/>
        </w:rPr>
        <w:t xml:space="preserve">In </w:t>
      </w:r>
      <w:r w:rsidR="008F4C0C" w:rsidRPr="004A68E2">
        <w:rPr>
          <w:bCs/>
          <w:i/>
          <w:sz w:val="24"/>
          <w:szCs w:val="24"/>
          <w:shd w:val="clear" w:color="auto" w:fill="FFFFFF"/>
        </w:rPr>
        <w:t>Appellate Advocates</w:t>
      </w:r>
      <w:r w:rsidR="008F4C0C" w:rsidRPr="004A68E2">
        <w:rPr>
          <w:bCs/>
          <w:sz w:val="24"/>
          <w:szCs w:val="24"/>
          <w:shd w:val="clear" w:color="auto" w:fill="FFFFFF"/>
        </w:rPr>
        <w:t>, the Court</w:t>
      </w:r>
      <w:r w:rsidR="008F4C0C" w:rsidRPr="004A68E2">
        <w:rPr>
          <w:sz w:val="24"/>
          <w:szCs w:val="24"/>
        </w:rPr>
        <w:t xml:space="preserve"> recognized the vital role the privilege plays as the public is well served when the attorney </w:t>
      </w:r>
      <w:r w:rsidR="00436FD6" w:rsidRPr="004A68E2">
        <w:rPr>
          <w:sz w:val="24"/>
          <w:szCs w:val="24"/>
        </w:rPr>
        <w:t>“</w:t>
      </w:r>
      <w:r w:rsidR="008F4C0C" w:rsidRPr="004A68E2">
        <w:rPr>
          <w:sz w:val="24"/>
          <w:szCs w:val="24"/>
        </w:rPr>
        <w:t xml:space="preserve">advises government clients </w:t>
      </w:r>
      <w:r w:rsidR="00596BC6" w:rsidRPr="004A68E2">
        <w:rPr>
          <w:sz w:val="24"/>
          <w:szCs w:val="24"/>
        </w:rPr>
        <w:t>on</w:t>
      </w:r>
      <w:r w:rsidR="008F4C0C" w:rsidRPr="004A68E2">
        <w:rPr>
          <w:sz w:val="24"/>
          <w:szCs w:val="24"/>
        </w:rPr>
        <w:t xml:space="preserve"> </w:t>
      </w:r>
      <w:r w:rsidR="00436FD6" w:rsidRPr="004A68E2">
        <w:rPr>
          <w:sz w:val="24"/>
          <w:szCs w:val="24"/>
        </w:rPr>
        <w:t>how</w:t>
      </w:r>
      <w:r w:rsidR="008F4C0C" w:rsidRPr="004A68E2">
        <w:rPr>
          <w:sz w:val="24"/>
          <w:szCs w:val="24"/>
        </w:rPr>
        <w:t xml:space="preserve"> to </w:t>
      </w:r>
      <w:r w:rsidR="00436FD6" w:rsidRPr="004A68E2">
        <w:rPr>
          <w:sz w:val="24"/>
          <w:szCs w:val="24"/>
        </w:rPr>
        <w:t xml:space="preserve">lawfully fulfill their public duties” based upon their </w:t>
      </w:r>
      <w:r w:rsidR="008F4C0C" w:rsidRPr="004A68E2">
        <w:rPr>
          <w:sz w:val="24"/>
          <w:szCs w:val="24"/>
        </w:rPr>
        <w:t>“free and candid communication</w:t>
      </w:r>
      <w:r w:rsidR="00436FD6" w:rsidRPr="004A68E2">
        <w:rPr>
          <w:sz w:val="24"/>
          <w:szCs w:val="24"/>
        </w:rPr>
        <w:t>” protected by the privilege (</w:t>
      </w:r>
      <w:r w:rsidR="006F7B18" w:rsidRPr="004A68E2">
        <w:rPr>
          <w:sz w:val="24"/>
          <w:szCs w:val="24"/>
        </w:rPr>
        <w:t>40</w:t>
      </w:r>
      <w:r w:rsidR="006F7B18" w:rsidRPr="004A68E2">
        <w:rPr>
          <w:bCs/>
          <w:sz w:val="24"/>
          <w:szCs w:val="24"/>
          <w:shd w:val="clear" w:color="auto" w:fill="FFFFFF"/>
        </w:rPr>
        <w:t xml:space="preserve"> NY3d at 555</w:t>
      </w:r>
      <w:r w:rsidR="00436FD6" w:rsidRPr="004A68E2">
        <w:rPr>
          <w:sz w:val="24"/>
          <w:szCs w:val="24"/>
        </w:rPr>
        <w:t xml:space="preserve">). Notably, the Court in </w:t>
      </w:r>
      <w:r w:rsidR="00436FD6" w:rsidRPr="004A68E2">
        <w:rPr>
          <w:i/>
          <w:sz w:val="24"/>
          <w:szCs w:val="24"/>
        </w:rPr>
        <w:t xml:space="preserve">Appellate Advocates </w:t>
      </w:r>
      <w:r w:rsidR="00436FD6" w:rsidRPr="004A68E2">
        <w:rPr>
          <w:sz w:val="24"/>
          <w:szCs w:val="24"/>
        </w:rPr>
        <w:t xml:space="preserve">rejected </w:t>
      </w:r>
      <w:r w:rsidR="00623118" w:rsidRPr="004A68E2">
        <w:rPr>
          <w:sz w:val="24"/>
          <w:szCs w:val="24"/>
        </w:rPr>
        <w:t>petitioner’s argument that the “public policy in favor of transparency in [governmental] determinations trumps attorney-client privileg</w:t>
      </w:r>
      <w:r w:rsidR="00CB7C40" w:rsidRPr="004A68E2">
        <w:rPr>
          <w:sz w:val="24"/>
          <w:szCs w:val="24"/>
        </w:rPr>
        <w:t>e</w:t>
      </w:r>
      <w:r w:rsidR="00623118" w:rsidRPr="004A68E2">
        <w:rPr>
          <w:sz w:val="24"/>
          <w:szCs w:val="24"/>
        </w:rPr>
        <w:t>” (</w:t>
      </w:r>
      <w:r w:rsidR="006F7B18" w:rsidRPr="004A68E2">
        <w:rPr>
          <w:i/>
          <w:sz w:val="24"/>
          <w:szCs w:val="24"/>
        </w:rPr>
        <w:t>i</w:t>
      </w:r>
      <w:r w:rsidR="00EF5DCC" w:rsidRPr="004A68E2">
        <w:rPr>
          <w:i/>
          <w:sz w:val="24"/>
          <w:szCs w:val="24"/>
        </w:rPr>
        <w:t>bid.</w:t>
      </w:r>
      <w:r w:rsidR="006F7B18" w:rsidRPr="004A68E2">
        <w:rPr>
          <w:i/>
          <w:sz w:val="24"/>
          <w:szCs w:val="24"/>
        </w:rPr>
        <w:t xml:space="preserve"> </w:t>
      </w:r>
      <w:r w:rsidR="006F7B18" w:rsidRPr="004A68E2">
        <w:rPr>
          <w:iCs/>
          <w:sz w:val="24"/>
          <w:szCs w:val="24"/>
        </w:rPr>
        <w:t>at 554-555</w:t>
      </w:r>
      <w:r w:rsidR="00623118" w:rsidRPr="004A68E2">
        <w:rPr>
          <w:sz w:val="24"/>
          <w:szCs w:val="24"/>
        </w:rPr>
        <w:t>).</w:t>
      </w:r>
    </w:p>
    <w:p w14:paraId="4ECBBEDD" w14:textId="77777777" w:rsidR="00CB7C40" w:rsidRPr="00537731" w:rsidRDefault="00CB7C40"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27DB22F9" w14:textId="7530DEF2"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For the privilege to apply, an attorney-client relationship must exist, and such relationship “arises only when one contacts an attorney in his capacity as such for the purpose of obtaining legal advice or services</w:t>
      </w:r>
      <w:r w:rsidR="00D174BC" w:rsidRPr="00537731">
        <w:rPr>
          <w:sz w:val="24"/>
          <w:szCs w:val="24"/>
        </w:rPr>
        <w:t>”</w:t>
      </w:r>
      <w:r w:rsidR="004D1965" w:rsidRPr="00537731">
        <w:rPr>
          <w:sz w:val="24"/>
          <w:szCs w:val="24"/>
        </w:rPr>
        <w:t xml:space="preserve"> (</w:t>
      </w:r>
      <w:r w:rsidR="004D1965" w:rsidRPr="00537731">
        <w:rPr>
          <w:i/>
          <w:iCs/>
          <w:sz w:val="24"/>
          <w:szCs w:val="24"/>
        </w:rPr>
        <w:t>Priest</w:t>
      </w:r>
      <w:r w:rsidR="004D1965" w:rsidRPr="00537731">
        <w:rPr>
          <w:sz w:val="24"/>
          <w:szCs w:val="24"/>
        </w:rPr>
        <w:t>, 51 NY2d at 68-69). Once such relationship is established, the privilege will encompass a confidential communication made between the client and attorney, which was made for the purpose of obtaining or providing legal assistance to the client (</w:t>
      </w:r>
      <w:r w:rsidR="004D1965" w:rsidRPr="00537731">
        <w:rPr>
          <w:i/>
          <w:iCs/>
          <w:sz w:val="24"/>
          <w:szCs w:val="24"/>
        </w:rPr>
        <w:t>see Amba</w:t>
      </w:r>
      <w:r w:rsidR="000D1307" w:rsidRPr="00537731">
        <w:rPr>
          <w:i/>
          <w:iCs/>
          <w:sz w:val="24"/>
          <w:szCs w:val="24"/>
        </w:rPr>
        <w:t>c</w:t>
      </w:r>
      <w:r w:rsidR="004D1965" w:rsidRPr="00537731">
        <w:rPr>
          <w:sz w:val="24"/>
          <w:szCs w:val="24"/>
        </w:rPr>
        <w:t xml:space="preserve">, 27 NY3d </w:t>
      </w:r>
      <w:r w:rsidR="000D1307" w:rsidRPr="00537731">
        <w:rPr>
          <w:sz w:val="24"/>
          <w:szCs w:val="24"/>
        </w:rPr>
        <w:t xml:space="preserve">at </w:t>
      </w:r>
      <w:r w:rsidR="004D1965" w:rsidRPr="00537731">
        <w:rPr>
          <w:sz w:val="24"/>
          <w:szCs w:val="24"/>
        </w:rPr>
        <w:t xml:space="preserve">624 [2016]; </w:t>
      </w:r>
      <w:r w:rsidR="004D1965" w:rsidRPr="00537731">
        <w:rPr>
          <w:i/>
          <w:iCs/>
          <w:sz w:val="24"/>
          <w:szCs w:val="24"/>
        </w:rPr>
        <w:t>Spectrum Sys</w:t>
      </w:r>
      <w:r w:rsidR="00900C0B" w:rsidRPr="00537731">
        <w:rPr>
          <w:i/>
          <w:iCs/>
          <w:sz w:val="24"/>
          <w:szCs w:val="24"/>
        </w:rPr>
        <w:t>.</w:t>
      </w:r>
      <w:r w:rsidR="004D1965" w:rsidRPr="00537731">
        <w:rPr>
          <w:sz w:val="24"/>
          <w:szCs w:val="24"/>
        </w:rPr>
        <w:t xml:space="preserve">, 78 NY2d </w:t>
      </w:r>
      <w:r w:rsidR="000D1307" w:rsidRPr="00537731">
        <w:rPr>
          <w:sz w:val="24"/>
          <w:szCs w:val="24"/>
        </w:rPr>
        <w:t xml:space="preserve">at </w:t>
      </w:r>
      <w:r w:rsidR="004D1965" w:rsidRPr="00537731">
        <w:rPr>
          <w:sz w:val="24"/>
          <w:szCs w:val="24"/>
        </w:rPr>
        <w:t>377-378). Communications that relate solely to nonlegal personal or business matters fall outside the privilege (</w:t>
      </w:r>
      <w:r w:rsidR="004D1965" w:rsidRPr="00537731">
        <w:rPr>
          <w:i/>
          <w:iCs/>
          <w:sz w:val="24"/>
          <w:szCs w:val="24"/>
        </w:rPr>
        <w:t>Spectrum</w:t>
      </w:r>
      <w:r w:rsidR="00900C0B" w:rsidRPr="00537731">
        <w:rPr>
          <w:i/>
          <w:iCs/>
          <w:sz w:val="24"/>
          <w:szCs w:val="24"/>
        </w:rPr>
        <w:t xml:space="preserve"> Sys. </w:t>
      </w:r>
      <w:r w:rsidR="00900C0B" w:rsidRPr="00537731">
        <w:rPr>
          <w:sz w:val="24"/>
          <w:szCs w:val="24"/>
        </w:rPr>
        <w:t>a</w:t>
      </w:r>
      <w:r w:rsidR="004D1965" w:rsidRPr="00537731">
        <w:rPr>
          <w:sz w:val="24"/>
          <w:szCs w:val="24"/>
        </w:rPr>
        <w:t>t</w:t>
      </w:r>
      <w:r w:rsidR="00900C0B" w:rsidRPr="00537731">
        <w:rPr>
          <w:sz w:val="24"/>
          <w:szCs w:val="24"/>
        </w:rPr>
        <w:t xml:space="preserve"> </w:t>
      </w:r>
      <w:r w:rsidR="004D1965" w:rsidRPr="00537731">
        <w:rPr>
          <w:sz w:val="24"/>
          <w:szCs w:val="24"/>
        </w:rPr>
        <w:t>378</w:t>
      </w:r>
      <w:r w:rsidR="004D1965" w:rsidRPr="00537731">
        <w:rPr>
          <w:i/>
          <w:iCs/>
          <w:sz w:val="24"/>
          <w:szCs w:val="24"/>
        </w:rPr>
        <w:t xml:space="preserve"> </w:t>
      </w:r>
      <w:r w:rsidR="004D1965" w:rsidRPr="00537731">
        <w:rPr>
          <w:sz w:val="24"/>
          <w:szCs w:val="24"/>
        </w:rPr>
        <w:t>[“The communication itself must be primarily or predominantly of a legal character”]).</w:t>
      </w:r>
      <w:r w:rsidR="00E2612F" w:rsidRPr="00537731">
        <w:rPr>
          <w:sz w:val="24"/>
          <w:szCs w:val="24"/>
        </w:rPr>
        <w:t xml:space="preserve"> Thus,</w:t>
      </w:r>
      <w:r w:rsidR="00EE6775" w:rsidRPr="00537731">
        <w:rPr>
          <w:sz w:val="24"/>
          <w:szCs w:val="24"/>
        </w:rPr>
        <w:t xml:space="preserve"> the applicability of the privilege to a corporate attorney’s confidential communications will turn upon whether the attorney is acting as a legal advisor or business advisor (</w:t>
      </w:r>
      <w:r w:rsidR="00900C0B" w:rsidRPr="00537731">
        <w:rPr>
          <w:i/>
          <w:iCs/>
          <w:sz w:val="24"/>
          <w:szCs w:val="24"/>
        </w:rPr>
        <w:t>c</w:t>
      </w:r>
      <w:r w:rsidR="00EE6775" w:rsidRPr="00537731">
        <w:rPr>
          <w:i/>
          <w:iCs/>
          <w:sz w:val="24"/>
          <w:szCs w:val="24"/>
        </w:rPr>
        <w:t>ompare</w:t>
      </w:r>
      <w:r w:rsidR="00EE6775" w:rsidRPr="00537731">
        <w:rPr>
          <w:sz w:val="24"/>
          <w:szCs w:val="24"/>
        </w:rPr>
        <w:t xml:space="preserve"> </w:t>
      </w:r>
      <w:r w:rsidR="00EE6775" w:rsidRPr="00537731">
        <w:rPr>
          <w:bCs/>
          <w:i/>
          <w:sz w:val="24"/>
          <w:szCs w:val="24"/>
          <w:shd w:val="clear" w:color="auto" w:fill="FFFFFF"/>
        </w:rPr>
        <w:t>Cooper-Rutter Assoc. v Anchor Natl. Life Ins. Co.</w:t>
      </w:r>
      <w:r w:rsidR="00900C0B" w:rsidRPr="00537731">
        <w:rPr>
          <w:bCs/>
          <w:iCs/>
          <w:sz w:val="24"/>
          <w:szCs w:val="24"/>
          <w:shd w:val="clear" w:color="auto" w:fill="FFFFFF"/>
        </w:rPr>
        <w:t xml:space="preserve">, </w:t>
      </w:r>
      <w:r w:rsidR="00EE6775" w:rsidRPr="00537731">
        <w:rPr>
          <w:sz w:val="24"/>
          <w:szCs w:val="24"/>
        </w:rPr>
        <w:t>168 AD</w:t>
      </w:r>
      <w:r w:rsidR="00900C0B" w:rsidRPr="00537731">
        <w:rPr>
          <w:sz w:val="24"/>
          <w:szCs w:val="24"/>
        </w:rPr>
        <w:t>2</w:t>
      </w:r>
      <w:r w:rsidR="00EE6775" w:rsidRPr="00537731">
        <w:rPr>
          <w:sz w:val="24"/>
          <w:szCs w:val="24"/>
        </w:rPr>
        <w:t>d 663</w:t>
      </w:r>
      <w:r w:rsidR="00900C0B" w:rsidRPr="00537731">
        <w:rPr>
          <w:sz w:val="24"/>
          <w:szCs w:val="24"/>
        </w:rPr>
        <w:t>, 663</w:t>
      </w:r>
      <w:r w:rsidR="00EE6775" w:rsidRPr="00537731">
        <w:rPr>
          <w:sz w:val="24"/>
          <w:szCs w:val="24"/>
        </w:rPr>
        <w:t xml:space="preserve"> [2</w:t>
      </w:r>
      <w:r w:rsidR="00900C0B" w:rsidRPr="00537731">
        <w:rPr>
          <w:sz w:val="24"/>
          <w:szCs w:val="24"/>
        </w:rPr>
        <w:t>d</w:t>
      </w:r>
      <w:r w:rsidR="00EE6775" w:rsidRPr="00537731">
        <w:rPr>
          <w:sz w:val="24"/>
          <w:szCs w:val="24"/>
        </w:rPr>
        <w:t xml:space="preserve"> Dept 1990] [privilege did not apply as the communications expressed “substantial nonlegal concerns” of business transaction]</w:t>
      </w:r>
      <w:r w:rsidR="00900C0B" w:rsidRPr="00537731">
        <w:rPr>
          <w:sz w:val="24"/>
          <w:szCs w:val="24"/>
        </w:rPr>
        <w:t xml:space="preserve">, </w:t>
      </w:r>
      <w:r w:rsidR="00EE6775" w:rsidRPr="00537731">
        <w:rPr>
          <w:i/>
          <w:iCs/>
          <w:sz w:val="24"/>
          <w:szCs w:val="24"/>
        </w:rPr>
        <w:t>with</w:t>
      </w:r>
      <w:r w:rsidR="00EE6775" w:rsidRPr="00537731">
        <w:rPr>
          <w:sz w:val="24"/>
          <w:szCs w:val="24"/>
        </w:rPr>
        <w:t xml:space="preserve"> </w:t>
      </w:r>
      <w:r w:rsidR="00DF1440" w:rsidRPr="00537731">
        <w:rPr>
          <w:bCs/>
          <w:i/>
          <w:sz w:val="24"/>
          <w:szCs w:val="24"/>
          <w:shd w:val="clear" w:color="auto" w:fill="FFFFFF"/>
        </w:rPr>
        <w:t>Quail Ridge Assoc. v Chemical Bank</w:t>
      </w:r>
      <w:r w:rsidR="00DF1440" w:rsidRPr="00537731">
        <w:rPr>
          <w:bCs/>
          <w:sz w:val="24"/>
          <w:szCs w:val="24"/>
          <w:shd w:val="clear" w:color="auto" w:fill="FFFFFF"/>
        </w:rPr>
        <w:t>, 174 AD</w:t>
      </w:r>
      <w:r w:rsidR="00900C0B" w:rsidRPr="00537731">
        <w:rPr>
          <w:bCs/>
          <w:sz w:val="24"/>
          <w:szCs w:val="24"/>
          <w:shd w:val="clear" w:color="auto" w:fill="FFFFFF"/>
        </w:rPr>
        <w:t>2</w:t>
      </w:r>
      <w:r w:rsidR="00DF1440" w:rsidRPr="00537731">
        <w:rPr>
          <w:bCs/>
          <w:sz w:val="24"/>
          <w:szCs w:val="24"/>
          <w:shd w:val="clear" w:color="auto" w:fill="FFFFFF"/>
        </w:rPr>
        <w:t>d 959, 962 [3d Dept 1991] [privilege applied as communications related to legal advice concerning a business transaction]).</w:t>
      </w:r>
      <w:r w:rsidR="00900C0B" w:rsidRPr="00537731">
        <w:rPr>
          <w:bCs/>
          <w:sz w:val="24"/>
          <w:szCs w:val="24"/>
          <w:shd w:val="clear" w:color="auto" w:fill="FFFFFF"/>
        </w:rPr>
        <w:t xml:space="preserve"> </w:t>
      </w:r>
      <w:r w:rsidR="00DF1440" w:rsidRPr="00537731">
        <w:rPr>
          <w:bCs/>
          <w:sz w:val="24"/>
          <w:szCs w:val="24"/>
          <w:shd w:val="clear" w:color="auto" w:fill="FFFFFF"/>
        </w:rPr>
        <w:t xml:space="preserve">As to a government attorney’s confidential communications, the privilege will apply so long as the </w:t>
      </w:r>
      <w:r w:rsidR="00A16ACB" w:rsidRPr="00537731">
        <w:rPr>
          <w:bCs/>
          <w:sz w:val="24"/>
          <w:szCs w:val="24"/>
          <w:shd w:val="clear" w:color="auto" w:fill="FFFFFF"/>
        </w:rPr>
        <w:t xml:space="preserve">communications </w:t>
      </w:r>
      <w:r w:rsidR="00DF1440" w:rsidRPr="00537731">
        <w:rPr>
          <w:bCs/>
          <w:sz w:val="24"/>
          <w:szCs w:val="24"/>
          <w:shd w:val="clear" w:color="auto" w:fill="FFFFFF"/>
        </w:rPr>
        <w:t>involve</w:t>
      </w:r>
      <w:r w:rsidR="00A16ACB" w:rsidRPr="00537731">
        <w:rPr>
          <w:bCs/>
          <w:sz w:val="24"/>
          <w:szCs w:val="24"/>
          <w:shd w:val="clear" w:color="auto" w:fill="FFFFFF"/>
        </w:rPr>
        <w:t xml:space="preserve"> the legal rights and obligations of the governmental entity or official and not policy advice</w:t>
      </w:r>
      <w:r w:rsidR="00900C0B" w:rsidRPr="00537731">
        <w:rPr>
          <w:bCs/>
          <w:sz w:val="24"/>
          <w:szCs w:val="24"/>
          <w:shd w:val="clear" w:color="auto" w:fill="FFFFFF"/>
        </w:rPr>
        <w:t xml:space="preserve"> </w:t>
      </w:r>
      <w:r w:rsidR="00A16ACB" w:rsidRPr="00537731">
        <w:rPr>
          <w:bCs/>
          <w:sz w:val="24"/>
          <w:szCs w:val="24"/>
          <w:shd w:val="clear" w:color="auto" w:fill="FFFFFF"/>
        </w:rPr>
        <w:t>(</w:t>
      </w:r>
      <w:r w:rsidR="00900C0B" w:rsidRPr="00537731">
        <w:rPr>
          <w:bCs/>
          <w:i/>
          <w:iCs/>
          <w:sz w:val="24"/>
          <w:szCs w:val="24"/>
          <w:shd w:val="clear" w:color="auto" w:fill="FFFFFF"/>
        </w:rPr>
        <w:t>c</w:t>
      </w:r>
      <w:r w:rsidR="00A16ACB" w:rsidRPr="00537731">
        <w:rPr>
          <w:bCs/>
          <w:i/>
          <w:iCs/>
          <w:sz w:val="24"/>
          <w:szCs w:val="24"/>
          <w:shd w:val="clear" w:color="auto" w:fill="FFFFFF"/>
        </w:rPr>
        <w:t>ompare</w:t>
      </w:r>
      <w:r w:rsidR="00900C0B" w:rsidRPr="00537731">
        <w:rPr>
          <w:bCs/>
          <w:sz w:val="24"/>
          <w:szCs w:val="24"/>
          <w:shd w:val="clear" w:color="auto" w:fill="FFFFFF"/>
        </w:rPr>
        <w:t xml:space="preserve"> </w:t>
      </w:r>
      <w:r w:rsidR="00A16ACB" w:rsidRPr="00537731">
        <w:rPr>
          <w:bCs/>
          <w:i/>
          <w:sz w:val="24"/>
          <w:szCs w:val="24"/>
          <w:shd w:val="clear" w:color="auto" w:fill="FFFFFF"/>
        </w:rPr>
        <w:t>Appellate Advocates</w:t>
      </w:r>
      <w:r w:rsidR="00A16ACB" w:rsidRPr="00537731">
        <w:rPr>
          <w:bCs/>
          <w:iCs/>
          <w:sz w:val="24"/>
          <w:szCs w:val="24"/>
          <w:shd w:val="clear" w:color="auto" w:fill="FFFFFF"/>
        </w:rPr>
        <w:t>,</w:t>
      </w:r>
      <w:r w:rsidR="00900C0B" w:rsidRPr="00537731">
        <w:rPr>
          <w:bCs/>
          <w:iCs/>
          <w:sz w:val="24"/>
          <w:szCs w:val="24"/>
          <w:shd w:val="clear" w:color="auto" w:fill="FFFFFF"/>
        </w:rPr>
        <w:t xml:space="preserve"> </w:t>
      </w:r>
      <w:r w:rsidR="00A16ACB" w:rsidRPr="00537731">
        <w:rPr>
          <w:bCs/>
          <w:i/>
          <w:sz w:val="24"/>
          <w:szCs w:val="24"/>
          <w:shd w:val="clear" w:color="auto" w:fill="FFFFFF"/>
        </w:rPr>
        <w:t>supra</w:t>
      </w:r>
      <w:r w:rsidR="00900C0B" w:rsidRPr="00537731">
        <w:rPr>
          <w:bCs/>
          <w:i/>
          <w:sz w:val="24"/>
          <w:szCs w:val="24"/>
          <w:shd w:val="clear" w:color="auto" w:fill="FFFFFF"/>
        </w:rPr>
        <w:t xml:space="preserve"> </w:t>
      </w:r>
      <w:r w:rsidR="00A16ACB" w:rsidRPr="00537731">
        <w:rPr>
          <w:bCs/>
          <w:sz w:val="24"/>
          <w:szCs w:val="24"/>
          <w:shd w:val="clear" w:color="auto" w:fill="FFFFFF"/>
        </w:rPr>
        <w:t>[privilege applicable as communications reflected attorney’s legal analysis of statutory, regulatory and decisional law and provide guidance for the officials to exercise their discretionary authority</w:t>
      </w:r>
      <w:r w:rsidR="00225322" w:rsidRPr="00537731">
        <w:rPr>
          <w:bCs/>
          <w:sz w:val="24"/>
          <w:szCs w:val="24"/>
          <w:shd w:val="clear" w:color="auto" w:fill="FFFFFF"/>
        </w:rPr>
        <w:t xml:space="preserve"> regarding parole decisions]</w:t>
      </w:r>
      <w:r w:rsidR="00FE20AA" w:rsidRPr="00537731">
        <w:rPr>
          <w:bCs/>
          <w:sz w:val="24"/>
          <w:szCs w:val="24"/>
          <w:shd w:val="clear" w:color="auto" w:fill="FFFFFF"/>
        </w:rPr>
        <w:t xml:space="preserve">, </w:t>
      </w:r>
      <w:r w:rsidR="00225322" w:rsidRPr="00537731">
        <w:rPr>
          <w:bCs/>
          <w:i/>
          <w:iCs/>
          <w:sz w:val="24"/>
          <w:szCs w:val="24"/>
          <w:shd w:val="clear" w:color="auto" w:fill="FFFFFF"/>
        </w:rPr>
        <w:t>with</w:t>
      </w:r>
      <w:r w:rsidR="00225322" w:rsidRPr="00537731">
        <w:rPr>
          <w:bCs/>
          <w:sz w:val="24"/>
          <w:szCs w:val="24"/>
          <w:shd w:val="clear" w:color="auto" w:fill="FFFFFF"/>
        </w:rPr>
        <w:t xml:space="preserve"> </w:t>
      </w:r>
      <w:r w:rsidR="00FE20AA" w:rsidRPr="00537731">
        <w:rPr>
          <w:bCs/>
          <w:i/>
          <w:iCs/>
          <w:sz w:val="24"/>
          <w:szCs w:val="24"/>
          <w:shd w:val="clear" w:color="auto" w:fill="FFFFFF"/>
        </w:rPr>
        <w:t xml:space="preserve">Matter of </w:t>
      </w:r>
      <w:r w:rsidR="00225322" w:rsidRPr="00537731">
        <w:rPr>
          <w:bCs/>
          <w:i/>
          <w:sz w:val="24"/>
          <w:szCs w:val="24"/>
          <w:shd w:val="clear" w:color="auto" w:fill="FFFFFF"/>
        </w:rPr>
        <w:t>Empire Ch</w:t>
      </w:r>
      <w:r w:rsidR="00FE20AA" w:rsidRPr="00537731">
        <w:rPr>
          <w:bCs/>
          <w:i/>
          <w:sz w:val="24"/>
          <w:szCs w:val="24"/>
          <w:shd w:val="clear" w:color="auto" w:fill="FFFFFF"/>
        </w:rPr>
        <w:t xml:space="preserve">. </w:t>
      </w:r>
      <w:r w:rsidR="00225322" w:rsidRPr="00537731">
        <w:rPr>
          <w:bCs/>
          <w:i/>
          <w:sz w:val="24"/>
          <w:szCs w:val="24"/>
          <w:shd w:val="clear" w:color="auto" w:fill="FFFFFF"/>
        </w:rPr>
        <w:t>of the Assoc</w:t>
      </w:r>
      <w:r w:rsidR="00FE20AA" w:rsidRPr="00537731">
        <w:rPr>
          <w:bCs/>
          <w:i/>
          <w:sz w:val="24"/>
          <w:szCs w:val="24"/>
          <w:shd w:val="clear" w:color="auto" w:fill="FFFFFF"/>
        </w:rPr>
        <w:t>iated</w:t>
      </w:r>
      <w:r w:rsidR="00225322" w:rsidRPr="00537731">
        <w:rPr>
          <w:bCs/>
          <w:i/>
          <w:sz w:val="24"/>
          <w:szCs w:val="24"/>
          <w:shd w:val="clear" w:color="auto" w:fill="FFFFFF"/>
        </w:rPr>
        <w:t xml:space="preserve"> Bldrs.</w:t>
      </w:r>
      <w:r w:rsidR="00FE20AA" w:rsidRPr="00537731">
        <w:rPr>
          <w:bCs/>
          <w:i/>
          <w:sz w:val="24"/>
          <w:szCs w:val="24"/>
          <w:shd w:val="clear" w:color="auto" w:fill="FFFFFF"/>
        </w:rPr>
        <w:t xml:space="preserve"> &amp; Contrs., Inc.</w:t>
      </w:r>
      <w:r w:rsidR="00225322" w:rsidRPr="00537731">
        <w:rPr>
          <w:bCs/>
          <w:i/>
          <w:sz w:val="24"/>
          <w:szCs w:val="24"/>
          <w:shd w:val="clear" w:color="auto" w:fill="FFFFFF"/>
        </w:rPr>
        <w:t xml:space="preserve"> v </w:t>
      </w:r>
      <w:r w:rsidR="00FE20AA" w:rsidRPr="00537731">
        <w:rPr>
          <w:bCs/>
          <w:i/>
          <w:sz w:val="24"/>
          <w:szCs w:val="24"/>
          <w:shd w:val="clear" w:color="auto" w:fill="FFFFFF"/>
        </w:rPr>
        <w:t xml:space="preserve">New York State </w:t>
      </w:r>
      <w:r w:rsidR="00225322" w:rsidRPr="00537731">
        <w:rPr>
          <w:bCs/>
          <w:i/>
          <w:sz w:val="24"/>
          <w:szCs w:val="24"/>
          <w:shd w:val="clear" w:color="auto" w:fill="FFFFFF"/>
        </w:rPr>
        <w:t>Dept</w:t>
      </w:r>
      <w:r w:rsidR="00FE20AA" w:rsidRPr="00537731">
        <w:rPr>
          <w:bCs/>
          <w:i/>
          <w:sz w:val="24"/>
          <w:szCs w:val="24"/>
          <w:shd w:val="clear" w:color="auto" w:fill="FFFFFF"/>
        </w:rPr>
        <w:t>.</w:t>
      </w:r>
      <w:r w:rsidR="00225322" w:rsidRPr="00537731">
        <w:rPr>
          <w:bCs/>
          <w:i/>
          <w:sz w:val="24"/>
          <w:szCs w:val="24"/>
          <w:shd w:val="clear" w:color="auto" w:fill="FFFFFF"/>
        </w:rPr>
        <w:t xml:space="preserve"> of Transp</w:t>
      </w:r>
      <w:r w:rsidR="00FE20AA" w:rsidRPr="00537731">
        <w:rPr>
          <w:bCs/>
          <w:i/>
          <w:sz w:val="24"/>
          <w:szCs w:val="24"/>
          <w:shd w:val="clear" w:color="auto" w:fill="FFFFFF"/>
        </w:rPr>
        <w:t>.</w:t>
      </w:r>
      <w:r w:rsidR="00225322" w:rsidRPr="00537731">
        <w:rPr>
          <w:bCs/>
          <w:sz w:val="24"/>
          <w:szCs w:val="24"/>
          <w:shd w:val="clear" w:color="auto" w:fill="FFFFFF"/>
        </w:rPr>
        <w:t xml:space="preserve">, 211 AD3d 1155 [3d Dept </w:t>
      </w:r>
      <w:r w:rsidR="00225322" w:rsidRPr="00537731">
        <w:rPr>
          <w:bCs/>
          <w:sz w:val="24"/>
          <w:szCs w:val="24"/>
          <w:shd w:val="clear" w:color="auto" w:fill="FFFFFF"/>
        </w:rPr>
        <w:lastRenderedPageBreak/>
        <w:t>2022] [privilege not applicable as communications involved the feasibility of using a project labor agreement for a bridge project]).</w:t>
      </w:r>
    </w:p>
    <w:p w14:paraId="1CD978FC"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E031CCF" w14:textId="042DFAD4"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Confidentiality of the communication is the pillar of the attorney-client privilege (</w:t>
      </w:r>
      <w:r w:rsidR="004D1965" w:rsidRPr="00537731">
        <w:rPr>
          <w:i/>
          <w:iCs/>
          <w:sz w:val="24"/>
          <w:szCs w:val="24"/>
        </w:rPr>
        <w:t>see United States v Tellier</w:t>
      </w:r>
      <w:r w:rsidR="004D1965" w:rsidRPr="00537731">
        <w:rPr>
          <w:sz w:val="24"/>
          <w:szCs w:val="24"/>
        </w:rPr>
        <w:t>, 255 F2d 441, 447 [2d Cir 1958] [“It is of the essence of the attorney-client privilege that it is limited to those communications which are intended to be confidential”]). This key element of the privilege requires that, at the time of the communication between the client and the attorney, it was made in confidence and with the intent and reasonable expectation that the communication would not be disclosed to persons outside the attorney-client relationship (</w:t>
      </w:r>
      <w:r w:rsidR="004D1965" w:rsidRPr="00537731">
        <w:rPr>
          <w:i/>
          <w:iCs/>
          <w:sz w:val="24"/>
          <w:szCs w:val="24"/>
        </w:rPr>
        <w:t>see People v Osorio</w:t>
      </w:r>
      <w:r w:rsidR="004D1965" w:rsidRPr="00537731">
        <w:rPr>
          <w:sz w:val="24"/>
          <w:szCs w:val="24"/>
        </w:rPr>
        <w:t xml:space="preserve">, 75 NY2d 80, 84 [1989]; </w:t>
      </w:r>
      <w:r w:rsidR="004D1965" w:rsidRPr="00537731">
        <w:rPr>
          <w:i/>
          <w:iCs/>
          <w:sz w:val="24"/>
          <w:szCs w:val="24"/>
        </w:rPr>
        <w:t>People v Harris</w:t>
      </w:r>
      <w:r w:rsidR="004D1965" w:rsidRPr="00537731">
        <w:rPr>
          <w:sz w:val="24"/>
          <w:szCs w:val="24"/>
        </w:rPr>
        <w:t xml:space="preserve">, 57 NY2d 335, 343 [1982] [“Generally, communications made in the presence of third parties, whose presence is known to the (client), are not privileged”]; </w:t>
      </w:r>
      <w:r w:rsidR="004D1965" w:rsidRPr="00537731">
        <w:rPr>
          <w:i/>
          <w:iCs/>
          <w:sz w:val="24"/>
          <w:szCs w:val="24"/>
        </w:rPr>
        <w:t>Baumann v Steingester</w:t>
      </w:r>
      <w:r w:rsidR="004D1965" w:rsidRPr="00537731">
        <w:rPr>
          <w:sz w:val="24"/>
          <w:szCs w:val="24"/>
        </w:rPr>
        <w:t>, 213 NY 328, 331-333 [1915]). The element of confidentiality also requires that confidentiality be maintained (</w:t>
      </w:r>
      <w:r w:rsidR="004D1965" w:rsidRPr="00537731">
        <w:rPr>
          <w:i/>
          <w:iCs/>
          <w:sz w:val="24"/>
          <w:szCs w:val="24"/>
        </w:rPr>
        <w:t>see Osorio</w:t>
      </w:r>
      <w:r w:rsidR="004D1965" w:rsidRPr="00537731">
        <w:rPr>
          <w:sz w:val="24"/>
          <w:szCs w:val="24"/>
        </w:rPr>
        <w:t>, 75 NY2d at 84).</w:t>
      </w:r>
    </w:p>
    <w:p w14:paraId="3875130E"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E68E277"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An exception to the general rule that the presence of a third party precludes a finding of confidentiality is the judicially recognized “common inter</w:t>
      </w:r>
      <w:r w:rsidR="00D174BC" w:rsidRPr="00537731">
        <w:rPr>
          <w:sz w:val="24"/>
          <w:szCs w:val="24"/>
        </w:rPr>
        <w:t>est exception”</w:t>
      </w:r>
      <w:r w:rsidR="004D1965" w:rsidRPr="00537731">
        <w:rPr>
          <w:sz w:val="24"/>
          <w:szCs w:val="24"/>
        </w:rPr>
        <w:t xml:space="preserve"> (</w:t>
      </w:r>
      <w:r w:rsidR="004D1965" w:rsidRPr="00537731">
        <w:rPr>
          <w:i/>
          <w:iCs/>
          <w:sz w:val="24"/>
          <w:szCs w:val="24"/>
        </w:rPr>
        <w:t>see generally Ambac</w:t>
      </w:r>
      <w:r w:rsidR="004D1965" w:rsidRPr="00537731">
        <w:rPr>
          <w:sz w:val="24"/>
          <w:szCs w:val="24"/>
        </w:rPr>
        <w:t>, 27 NY3d at 625-630). Under this exception, where two or more clients separately retain counsel to advise them on matters of common legal interest, confidential communications that are revealed to one another for the purpose of furthering a common legal interest retain their confidential status (</w:t>
      </w:r>
      <w:r w:rsidR="004D1965" w:rsidRPr="00537731">
        <w:rPr>
          <w:i/>
          <w:iCs/>
          <w:sz w:val="24"/>
          <w:szCs w:val="24"/>
        </w:rPr>
        <w:t>id</w:t>
      </w:r>
      <w:r w:rsidR="004D1965" w:rsidRPr="00537731">
        <w:rPr>
          <w:sz w:val="24"/>
          <w:szCs w:val="24"/>
        </w:rPr>
        <w:t>. at 625).</w:t>
      </w:r>
    </w:p>
    <w:p w14:paraId="18C4DC07"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339C87E"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The privilege may extend to confidential communications between the agents of the client and agents of the attorney, provided they are assisting in the legal representation involved (</w:t>
      </w:r>
      <w:r w:rsidR="004D1965" w:rsidRPr="00537731">
        <w:rPr>
          <w:i/>
          <w:iCs/>
          <w:sz w:val="24"/>
          <w:szCs w:val="24"/>
        </w:rPr>
        <w:t>Rossi</w:t>
      </w:r>
      <w:r w:rsidR="004D1965" w:rsidRPr="00537731">
        <w:rPr>
          <w:sz w:val="24"/>
          <w:szCs w:val="24"/>
        </w:rPr>
        <w:t xml:space="preserve">, 73 NY2d at 592-593 [corporate staff attorney]; </w:t>
      </w:r>
      <w:r w:rsidR="004D1965" w:rsidRPr="00537731">
        <w:rPr>
          <w:i/>
          <w:iCs/>
          <w:sz w:val="24"/>
          <w:szCs w:val="24"/>
        </w:rPr>
        <w:t>Osorio</w:t>
      </w:r>
      <w:r w:rsidR="004D1965" w:rsidRPr="00537731">
        <w:rPr>
          <w:sz w:val="24"/>
          <w:szCs w:val="24"/>
        </w:rPr>
        <w:t xml:space="preserve">, 75 NY2d at 84 [an interpreter acting as “agent of either attorney or client to facilitate communication”]; </w:t>
      </w:r>
      <w:r w:rsidR="004D1965" w:rsidRPr="00537731">
        <w:rPr>
          <w:i/>
          <w:iCs/>
          <w:sz w:val="24"/>
          <w:szCs w:val="24"/>
        </w:rPr>
        <w:t>Matter of Putnam</w:t>
      </w:r>
      <w:r w:rsidR="004D1965" w:rsidRPr="00537731">
        <w:rPr>
          <w:sz w:val="24"/>
          <w:szCs w:val="24"/>
        </w:rPr>
        <w:t>, 257 NY 140, 143-144 [1931] [clerical staff]). Communications between the attorney and a consultant retained by the attorney to assist the attorney in providing legal services to the clients and not for testifying, e.g., an accountant, economist, or investment banker, may also be protected by the privilege (</w:t>
      </w:r>
      <w:r w:rsidR="004D1965" w:rsidRPr="00537731">
        <w:rPr>
          <w:i/>
          <w:iCs/>
          <w:sz w:val="24"/>
          <w:szCs w:val="24"/>
        </w:rPr>
        <w:t>see United States v Kovel</w:t>
      </w:r>
      <w:r w:rsidR="004D1965" w:rsidRPr="00537731">
        <w:rPr>
          <w:sz w:val="24"/>
          <w:szCs w:val="24"/>
        </w:rPr>
        <w:t xml:space="preserve">, 296 F2d 918, 921-922 [2d Cir 1961]; </w:t>
      </w:r>
      <w:r w:rsidR="004D1965" w:rsidRPr="00537731">
        <w:rPr>
          <w:i/>
          <w:iCs/>
          <w:sz w:val="24"/>
          <w:szCs w:val="24"/>
        </w:rPr>
        <w:t>compare Gottwald v Sebert</w:t>
      </w:r>
      <w:r w:rsidR="004D1965" w:rsidRPr="00537731">
        <w:rPr>
          <w:sz w:val="24"/>
          <w:szCs w:val="24"/>
        </w:rPr>
        <w:t>, 161 AD3d 679, 680 [1st Dept 2018] [“The communications between her counsel and press agents do not reflect a discussion of legal strategy relevant to the pending litigation but, rather, a discussion of a public relations strategy, and are not protected under the attorney-client privilege”]).</w:t>
      </w:r>
    </w:p>
    <w:p w14:paraId="6ACD5C58"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35C7C40" w14:textId="525FDA2D"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lastRenderedPageBreak/>
        <w:tab/>
      </w:r>
      <w:r w:rsidR="004D1965" w:rsidRPr="00537731">
        <w:rPr>
          <w:sz w:val="24"/>
          <w:szCs w:val="24"/>
        </w:rPr>
        <w:t xml:space="preserve">Certain details about the attorney-client relationship are not protected by the privilege. In </w:t>
      </w:r>
      <w:r w:rsidR="004D1965" w:rsidRPr="00537731">
        <w:rPr>
          <w:i/>
          <w:iCs/>
          <w:sz w:val="24"/>
          <w:szCs w:val="24"/>
        </w:rPr>
        <w:t>Matter of Priest</w:t>
      </w:r>
      <w:r w:rsidR="004D1965" w:rsidRPr="00537731">
        <w:rPr>
          <w:sz w:val="24"/>
          <w:szCs w:val="24"/>
        </w:rPr>
        <w:t xml:space="preserve"> </w:t>
      </w:r>
      <w:r w:rsidR="004D1965" w:rsidRPr="00537731">
        <w:rPr>
          <w:i/>
          <w:iCs/>
          <w:sz w:val="24"/>
          <w:szCs w:val="24"/>
        </w:rPr>
        <w:t>v Hennessy</w:t>
      </w:r>
      <w:r w:rsidR="004D1965" w:rsidRPr="00537731">
        <w:rPr>
          <w:sz w:val="24"/>
          <w:szCs w:val="24"/>
        </w:rPr>
        <w:t xml:space="preserve">, the Court held that fee arrangements between attorney and client, including the amount of the retainer and the identity of a person paying the fee, do not ordinarily constitute a confidential communication and thus are not privileged in the usual case (51 NY2d at 69; </w:t>
      </w:r>
      <w:r w:rsidR="004D1965" w:rsidRPr="00537731">
        <w:rPr>
          <w:i/>
          <w:iCs/>
          <w:sz w:val="24"/>
          <w:szCs w:val="24"/>
        </w:rPr>
        <w:t>see also</w:t>
      </w:r>
      <w:r w:rsidR="004D1965" w:rsidRPr="00537731">
        <w:rPr>
          <w:sz w:val="24"/>
          <w:szCs w:val="24"/>
        </w:rPr>
        <w:t xml:space="preserve"> </w:t>
      </w:r>
      <w:r w:rsidR="004D1965" w:rsidRPr="00537731">
        <w:rPr>
          <w:i/>
          <w:iCs/>
          <w:sz w:val="24"/>
          <w:szCs w:val="24"/>
        </w:rPr>
        <w:t>Eisic Trading Corp. v Somerset Mar.</w:t>
      </w:r>
      <w:r w:rsidR="004D1965" w:rsidRPr="00537731">
        <w:rPr>
          <w:sz w:val="24"/>
          <w:szCs w:val="24"/>
        </w:rPr>
        <w:t xml:space="preserve">, 212 AD2d 451 [1st Dept 1995] [time records and billing statements are not within attorney-client privilege if devoid of detailed information regarding the nature of services]). In </w:t>
      </w:r>
      <w:r w:rsidR="004D1965" w:rsidRPr="00537731">
        <w:rPr>
          <w:i/>
          <w:iCs/>
          <w:sz w:val="24"/>
          <w:szCs w:val="24"/>
        </w:rPr>
        <w:t>Matter of Jacqueline F</w:t>
      </w:r>
      <w:r w:rsidR="004D1965" w:rsidRPr="00537731">
        <w:rPr>
          <w:sz w:val="24"/>
          <w:szCs w:val="24"/>
        </w:rPr>
        <w:t xml:space="preserve">. (47 NY2d </w:t>
      </w:r>
      <w:r w:rsidR="00C5556A" w:rsidRPr="00537731">
        <w:rPr>
          <w:sz w:val="24"/>
          <w:szCs w:val="24"/>
        </w:rPr>
        <w:t xml:space="preserve">at </w:t>
      </w:r>
      <w:r w:rsidR="004D1965" w:rsidRPr="00537731">
        <w:rPr>
          <w:sz w:val="24"/>
          <w:szCs w:val="24"/>
        </w:rPr>
        <w:t>2</w:t>
      </w:r>
      <w:r w:rsidR="0053618E" w:rsidRPr="00537731">
        <w:rPr>
          <w:sz w:val="24"/>
          <w:szCs w:val="24"/>
        </w:rPr>
        <w:t>19</w:t>
      </w:r>
      <w:r w:rsidR="004D1965" w:rsidRPr="00537731">
        <w:rPr>
          <w:sz w:val="24"/>
          <w:szCs w:val="24"/>
        </w:rPr>
        <w:t>-22</w:t>
      </w:r>
      <w:r w:rsidR="0053618E" w:rsidRPr="00537731">
        <w:rPr>
          <w:sz w:val="24"/>
          <w:szCs w:val="24"/>
        </w:rPr>
        <w:t>0</w:t>
      </w:r>
      <w:r w:rsidR="004D1965" w:rsidRPr="00537731">
        <w:rPr>
          <w:sz w:val="24"/>
          <w:szCs w:val="24"/>
        </w:rPr>
        <w:t>), the</w:t>
      </w:r>
      <w:r w:rsidR="004D1965" w:rsidRPr="00537731">
        <w:rPr>
          <w:i/>
          <w:iCs/>
          <w:sz w:val="24"/>
          <w:szCs w:val="24"/>
        </w:rPr>
        <w:t xml:space="preserve"> </w:t>
      </w:r>
      <w:r w:rsidR="004D1965" w:rsidRPr="00537731">
        <w:rPr>
          <w:sz w:val="24"/>
          <w:szCs w:val="24"/>
        </w:rPr>
        <w:t xml:space="preserve">Court explained that while it is “generally stated” that a client’s identity (including the client’s whereabouts) is not privileged, “the rule in New York is not so broad as to state categorically that the privilege never attaches to a client’s identity.” </w:t>
      </w:r>
      <w:r w:rsidR="004D1965" w:rsidRPr="00537731">
        <w:rPr>
          <w:i/>
          <w:iCs/>
          <w:sz w:val="24"/>
          <w:szCs w:val="24"/>
        </w:rPr>
        <w:t>Jacqueline F.</w:t>
      </w:r>
      <w:r w:rsidR="004D1965" w:rsidRPr="00537731">
        <w:rPr>
          <w:sz w:val="24"/>
          <w:szCs w:val="24"/>
        </w:rPr>
        <w:t xml:space="preserve"> noted, for example, that a client’s identity “must be disclosed where the question of identity arises during the course of litigation</w:t>
      </w:r>
      <w:r w:rsidR="00D174BC" w:rsidRPr="00537731">
        <w:rPr>
          <w:sz w:val="24"/>
          <w:szCs w:val="24"/>
        </w:rPr>
        <w:t>”</w:t>
      </w:r>
      <w:r w:rsidR="004D1965" w:rsidRPr="00537731">
        <w:rPr>
          <w:sz w:val="24"/>
          <w:szCs w:val="24"/>
        </w:rPr>
        <w:t xml:space="preserve"> and “absent other circumstances, an attorney cannot be compelled to reveal a client’s identity where the latter is not a party to a pending litigation” (</w:t>
      </w:r>
      <w:r w:rsidR="0053618E" w:rsidRPr="00537731">
        <w:rPr>
          <w:i/>
          <w:iCs/>
          <w:sz w:val="24"/>
          <w:szCs w:val="24"/>
        </w:rPr>
        <w:t>i</w:t>
      </w:r>
      <w:r w:rsidR="004D1965" w:rsidRPr="00537731">
        <w:rPr>
          <w:i/>
          <w:iCs/>
          <w:sz w:val="24"/>
          <w:szCs w:val="24"/>
        </w:rPr>
        <w:t>d.</w:t>
      </w:r>
      <w:r w:rsidR="004D1965" w:rsidRPr="00537731">
        <w:rPr>
          <w:sz w:val="24"/>
          <w:szCs w:val="24"/>
        </w:rPr>
        <w:t xml:space="preserve"> at 220; CPLR 3118). Other circumstances in which disclosure of the client’s identity may be compelled include: “where an ‘attorney</w:t>
      </w:r>
      <w:r w:rsidR="00D174BC" w:rsidRPr="00537731">
        <w:rPr>
          <w:sz w:val="24"/>
          <w:szCs w:val="24"/>
        </w:rPr>
        <w:t>’</w:t>
      </w:r>
      <w:r w:rsidR="004D1965" w:rsidRPr="00537731">
        <w:rPr>
          <w:sz w:val="24"/>
          <w:szCs w:val="24"/>
        </w:rPr>
        <w:t>s assertion of the privilege is a cover for co-operation in wrongdoing’ ”</w:t>
      </w:r>
      <w:r w:rsidR="00D25B1F" w:rsidRPr="00537731">
        <w:rPr>
          <w:sz w:val="24"/>
          <w:szCs w:val="24"/>
        </w:rPr>
        <w:t xml:space="preserve"> </w:t>
      </w:r>
      <w:r w:rsidR="004D1965" w:rsidRPr="00537731">
        <w:rPr>
          <w:sz w:val="24"/>
          <w:szCs w:val="24"/>
        </w:rPr>
        <w:t>(</w:t>
      </w:r>
      <w:r w:rsidR="0053618E" w:rsidRPr="00537731">
        <w:rPr>
          <w:sz w:val="24"/>
          <w:szCs w:val="24"/>
        </w:rPr>
        <w:t>47 NY2d at 220</w:t>
      </w:r>
      <w:r w:rsidR="004D1965" w:rsidRPr="00537731">
        <w:rPr>
          <w:sz w:val="24"/>
          <w:szCs w:val="24"/>
        </w:rPr>
        <w:t>); where there exists a legitimate “fear of reprisal” should the whereabouts of the client be disclosed</w:t>
      </w:r>
      <w:r w:rsidR="0017658C" w:rsidRPr="00537731">
        <w:rPr>
          <w:sz w:val="24"/>
          <w:szCs w:val="24"/>
        </w:rPr>
        <w:t xml:space="preserve"> </w:t>
      </w:r>
      <w:r w:rsidR="004D1965" w:rsidRPr="00537731">
        <w:rPr>
          <w:sz w:val="24"/>
          <w:szCs w:val="24"/>
        </w:rPr>
        <w:t>(</w:t>
      </w:r>
      <w:r w:rsidR="004D1965" w:rsidRPr="00537731">
        <w:rPr>
          <w:i/>
          <w:iCs/>
          <w:sz w:val="24"/>
          <w:szCs w:val="24"/>
        </w:rPr>
        <w:t>id.</w:t>
      </w:r>
      <w:r w:rsidR="004D1965" w:rsidRPr="00537731">
        <w:rPr>
          <w:sz w:val="24"/>
          <w:szCs w:val="24"/>
        </w:rPr>
        <w:t xml:space="preserve"> at 222); and where the client, as in </w:t>
      </w:r>
      <w:r w:rsidR="004D1965" w:rsidRPr="00537731">
        <w:rPr>
          <w:i/>
          <w:iCs/>
          <w:sz w:val="24"/>
          <w:szCs w:val="24"/>
        </w:rPr>
        <w:t>Jacqueline</w:t>
      </w:r>
      <w:r w:rsidR="004D1965" w:rsidRPr="00537731">
        <w:rPr>
          <w:sz w:val="24"/>
          <w:szCs w:val="24"/>
        </w:rPr>
        <w:t xml:space="preserve"> </w:t>
      </w:r>
      <w:r w:rsidR="004D1965" w:rsidRPr="00537731">
        <w:rPr>
          <w:i/>
          <w:iCs/>
          <w:sz w:val="24"/>
          <w:szCs w:val="24"/>
        </w:rPr>
        <w:t>F.</w:t>
      </w:r>
      <w:r w:rsidR="004D1965" w:rsidRPr="00537731">
        <w:rPr>
          <w:sz w:val="24"/>
          <w:szCs w:val="24"/>
        </w:rPr>
        <w:t>, leaves the jurisdiction in an attempt to thwart the mandate of a court ordering the client to return custody of a child to her parents.</w:t>
      </w:r>
    </w:p>
    <w:p w14:paraId="6E178CD2"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88251DF"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 xml:space="preserve">CPLR 4503 (a) permits the privilege to be invoked in any judicial, administrative, or legislative proceeding. Unless the client has waived the privilege, the attorney, the attorney’s employees, the client, the client’s agents, and an eavesdropper cannot be compelled in any such proceeding to disclose a privileged communication. </w:t>
      </w:r>
    </w:p>
    <w:p w14:paraId="5A8B9BF8" w14:textId="77777777" w:rsidR="004D1965" w:rsidRPr="00537731" w:rsidRDefault="004D1965"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8EB6FA2" w14:textId="77777777" w:rsidR="004D1965"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r>
      <w:r w:rsidR="004D1965" w:rsidRPr="00537731">
        <w:rPr>
          <w:sz w:val="24"/>
          <w:szCs w:val="24"/>
        </w:rPr>
        <w:t>In addition to the exception to the privilege set forth in CPLR 4503 (b), New York courts have cr</w:t>
      </w:r>
      <w:r w:rsidRPr="00537731">
        <w:rPr>
          <w:sz w:val="24"/>
          <w:szCs w:val="24"/>
        </w:rPr>
        <w:t>eated exceptions. They include:</w:t>
      </w:r>
    </w:p>
    <w:p w14:paraId="3B265AF7" w14:textId="77777777" w:rsidR="00CB02F2" w:rsidRPr="00537731" w:rsidRDefault="00CB02F2" w:rsidP="004E67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97C89A6" w14:textId="77777777" w:rsidR="004D1965" w:rsidRPr="00537731" w:rsidRDefault="004D1965" w:rsidP="004E67AF">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ind w:left="1080" w:hanging="360"/>
        <w:rPr>
          <w:rFonts w:ascii="Times New Roman" w:hAnsi="Times New Roman" w:cs="Times New Roman"/>
        </w:rPr>
      </w:pPr>
      <w:r w:rsidRPr="00537731">
        <w:rPr>
          <w:rFonts w:ascii="Times New Roman" w:hAnsi="Times New Roman" w:cs="Times New Roman"/>
        </w:rPr>
        <w:t>crime-fraud exception (</w:t>
      </w:r>
      <w:r w:rsidRPr="00537731">
        <w:rPr>
          <w:rFonts w:ascii="Times New Roman" w:hAnsi="Times New Roman" w:cs="Times New Roman"/>
          <w:i/>
          <w:iCs/>
        </w:rPr>
        <w:t>Ulico Cas. Co. v Wilson, Elser, Moskowitz, Edelman &amp; Dicker</w:t>
      </w:r>
      <w:r w:rsidRPr="00537731">
        <w:rPr>
          <w:rFonts w:ascii="Times New Roman" w:hAnsi="Times New Roman" w:cs="Times New Roman"/>
        </w:rPr>
        <w:t xml:space="preserve">, 1 AD3d 223, 224 [1st Dept 2003] [privilege “may not be invoked where it involves client communications that may have been in furtherance of a fraudulent scheme, an alleged breach of fiduciary duty or an accusation of </w:t>
      </w:r>
      <w:r w:rsidR="00CB02F2" w:rsidRPr="00537731">
        <w:rPr>
          <w:rFonts w:ascii="Times New Roman" w:hAnsi="Times New Roman" w:cs="Times New Roman"/>
        </w:rPr>
        <w:t>some other wrongful conduct”]);</w:t>
      </w:r>
    </w:p>
    <w:p w14:paraId="49B98FED" w14:textId="77777777" w:rsidR="004D1965" w:rsidRPr="00537731" w:rsidRDefault="004D1965" w:rsidP="004E67AF">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line="276" w:lineRule="auto"/>
        <w:ind w:left="720"/>
        <w:jc w:val="both"/>
        <w:rPr>
          <w:iCs/>
          <w:sz w:val="24"/>
          <w:szCs w:val="24"/>
        </w:rPr>
      </w:pPr>
    </w:p>
    <w:p w14:paraId="6ED36324" w14:textId="77777777" w:rsidR="004D1965" w:rsidRPr="00537731" w:rsidRDefault="004D1965" w:rsidP="004E67AF">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spacing w:line="276" w:lineRule="auto"/>
        <w:ind w:left="1080" w:hanging="360"/>
        <w:rPr>
          <w:rFonts w:ascii="Times New Roman" w:hAnsi="Times New Roman" w:cs="Times New Roman"/>
        </w:rPr>
      </w:pPr>
      <w:r w:rsidRPr="00537731">
        <w:rPr>
          <w:rFonts w:ascii="Times New Roman" w:hAnsi="Times New Roman" w:cs="Times New Roman"/>
        </w:rPr>
        <w:t>fiduciary</w:t>
      </w:r>
      <w:r w:rsidRPr="00537731">
        <w:rPr>
          <w:rFonts w:ascii="Times New Roman" w:hAnsi="Times New Roman" w:cs="Times New Roman"/>
          <w:i/>
          <w:iCs/>
        </w:rPr>
        <w:t xml:space="preserve"> </w:t>
      </w:r>
      <w:r w:rsidRPr="00537731">
        <w:rPr>
          <w:rFonts w:ascii="Times New Roman" w:hAnsi="Times New Roman" w:cs="Times New Roman"/>
        </w:rPr>
        <w:t>exception (</w:t>
      </w:r>
      <w:r w:rsidRPr="00537731">
        <w:rPr>
          <w:rFonts w:ascii="Times New Roman" w:hAnsi="Times New Roman" w:cs="Times New Roman"/>
          <w:i/>
          <w:iCs/>
        </w:rPr>
        <w:t>NAMA Holdings, LLC v Greenberg Traurig LLP</w:t>
      </w:r>
      <w:r w:rsidRPr="00537731">
        <w:rPr>
          <w:rFonts w:ascii="Times New Roman" w:hAnsi="Times New Roman" w:cs="Times New Roman"/>
        </w:rPr>
        <w:t xml:space="preserve">, 133 AD3d 46, 52 [1st Dept 2015] [“In the corporate context, where a </w:t>
      </w:r>
      <w:r w:rsidRPr="00537731">
        <w:rPr>
          <w:rFonts w:ascii="Times New Roman" w:hAnsi="Times New Roman" w:cs="Times New Roman"/>
        </w:rPr>
        <w:lastRenderedPageBreak/>
        <w:t>shareholder (or, as here, an investor in a company) brings suit against corporate management for breach of fiduciary duty or similar wrongdoing, courts have carved out a ‘fiduciary exception’ to the privilege that otherwise attaches to communications between manag</w:t>
      </w:r>
      <w:r w:rsidR="00CB02F2" w:rsidRPr="00537731">
        <w:rPr>
          <w:rFonts w:ascii="Times New Roman" w:hAnsi="Times New Roman" w:cs="Times New Roman"/>
        </w:rPr>
        <w:t>ement and corporate counsel”]);</w:t>
      </w:r>
    </w:p>
    <w:p w14:paraId="3E8F596F" w14:textId="77777777" w:rsidR="004D1965" w:rsidRPr="00537731" w:rsidRDefault="004D1965" w:rsidP="004E67AF">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line="276" w:lineRule="auto"/>
        <w:ind w:left="720"/>
        <w:jc w:val="both"/>
        <w:rPr>
          <w:iCs/>
          <w:sz w:val="24"/>
          <w:szCs w:val="24"/>
        </w:rPr>
      </w:pPr>
    </w:p>
    <w:p w14:paraId="1C66CCD2" w14:textId="77777777" w:rsidR="004D1965" w:rsidRPr="00537731" w:rsidRDefault="004D1965" w:rsidP="004E67AF">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spacing w:line="276" w:lineRule="auto"/>
        <w:ind w:left="1080" w:hanging="360"/>
        <w:rPr>
          <w:rFonts w:ascii="Times New Roman" w:hAnsi="Times New Roman" w:cs="Times New Roman"/>
        </w:rPr>
      </w:pPr>
      <w:r w:rsidRPr="00537731">
        <w:rPr>
          <w:rFonts w:ascii="Times New Roman" w:hAnsi="Times New Roman" w:cs="Times New Roman"/>
        </w:rPr>
        <w:t>attorney-client dispute exception (</w:t>
      </w:r>
      <w:r w:rsidRPr="00537731">
        <w:rPr>
          <w:rFonts w:ascii="Times New Roman" w:hAnsi="Times New Roman" w:cs="Times New Roman"/>
          <w:i/>
          <w:iCs/>
        </w:rPr>
        <w:t>see Matter of Glines v Estate of Baird</w:t>
      </w:r>
      <w:r w:rsidRPr="00537731">
        <w:rPr>
          <w:rFonts w:ascii="Times New Roman" w:hAnsi="Times New Roman" w:cs="Times New Roman"/>
        </w:rPr>
        <w:t xml:space="preserve">, 16 AD2d </w:t>
      </w:r>
      <w:r w:rsidR="0008672C" w:rsidRPr="00537731">
        <w:rPr>
          <w:rFonts w:ascii="Times New Roman" w:hAnsi="Times New Roman" w:cs="Times New Roman"/>
        </w:rPr>
        <w:t>743, 743-744 [4th Dept 1962] [“(</w:t>
      </w:r>
      <w:r w:rsidRPr="00537731">
        <w:rPr>
          <w:rFonts w:ascii="Times New Roman" w:hAnsi="Times New Roman" w:cs="Times New Roman"/>
        </w:rPr>
        <w:t>T</w:t>
      </w:r>
      <w:r w:rsidR="0008672C" w:rsidRPr="00537731">
        <w:rPr>
          <w:rFonts w:ascii="Times New Roman" w:hAnsi="Times New Roman" w:cs="Times New Roman"/>
        </w:rPr>
        <w:t>)</w:t>
      </w:r>
      <w:r w:rsidRPr="00537731">
        <w:rPr>
          <w:rFonts w:ascii="Times New Roman" w:hAnsi="Times New Roman" w:cs="Times New Roman"/>
        </w:rPr>
        <w:t xml:space="preserve">he rule as to privileged communications does not apply when litigation arises between an attorney and client to the extent that their communications are relevant to the issue”]; </w:t>
      </w:r>
      <w:r w:rsidRPr="00537731">
        <w:rPr>
          <w:rFonts w:ascii="Times New Roman" w:hAnsi="Times New Roman" w:cs="Times New Roman"/>
          <w:i/>
          <w:iCs/>
        </w:rPr>
        <w:t>People v Mendoza</w:t>
      </w:r>
      <w:r w:rsidRPr="00537731">
        <w:rPr>
          <w:rFonts w:ascii="Times New Roman" w:hAnsi="Times New Roman" w:cs="Times New Roman"/>
        </w:rPr>
        <w:t>, 240 AD2d 316, 316 [1st Dept 1997] [defendant waived the attorney-privilege “by volunteering his claim that counsel, among other things, had coerced him to testify falsely at the suppression hearing”]); and</w:t>
      </w:r>
    </w:p>
    <w:p w14:paraId="2ECC516F" w14:textId="77777777" w:rsidR="004D1965" w:rsidRPr="00537731" w:rsidRDefault="004D1965" w:rsidP="004E67AF">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spacing w:line="276" w:lineRule="auto"/>
        <w:ind w:left="720"/>
        <w:jc w:val="both"/>
        <w:rPr>
          <w:sz w:val="24"/>
          <w:szCs w:val="24"/>
        </w:rPr>
      </w:pPr>
    </w:p>
    <w:p w14:paraId="6F5CCB30" w14:textId="77777777" w:rsidR="004D1965" w:rsidRPr="00537731" w:rsidRDefault="004D1965" w:rsidP="004E67AF">
      <w:pPr>
        <w:pStyle w:val="L2-1"/>
        <w:widowControl/>
        <w:numPr>
          <w:ilvl w:val="0"/>
          <w:numId w:val="1"/>
        </w:numPr>
        <w:tabs>
          <w:tab w:val="left" w:pos="2160"/>
          <w:tab w:val="left" w:pos="2880"/>
          <w:tab w:val="left" w:pos="3600"/>
          <w:tab w:val="left" w:pos="4320"/>
          <w:tab w:val="left" w:pos="5040"/>
          <w:tab w:val="left" w:pos="5760"/>
          <w:tab w:val="left" w:pos="6480"/>
          <w:tab w:val="left" w:pos="7200"/>
          <w:tab w:val="left" w:pos="7918"/>
        </w:tabs>
        <w:spacing w:line="276" w:lineRule="auto"/>
        <w:ind w:left="1080" w:hanging="360"/>
        <w:rPr>
          <w:rFonts w:ascii="Times New Roman" w:hAnsi="Times New Roman" w:cs="Times New Roman"/>
        </w:rPr>
      </w:pPr>
      <w:r w:rsidRPr="00537731">
        <w:rPr>
          <w:rFonts w:ascii="Times New Roman" w:hAnsi="Times New Roman" w:cs="Times New Roman"/>
        </w:rPr>
        <w:t>public policy exception (</w:t>
      </w:r>
      <w:r w:rsidRPr="00537731">
        <w:rPr>
          <w:rFonts w:ascii="Times New Roman" w:hAnsi="Times New Roman" w:cs="Times New Roman"/>
          <w:i/>
          <w:iCs/>
        </w:rPr>
        <w:t>Priest</w:t>
      </w:r>
      <w:r w:rsidR="00C51A17" w:rsidRPr="00537731">
        <w:rPr>
          <w:rFonts w:ascii="Times New Roman" w:hAnsi="Times New Roman" w:cs="Times New Roman"/>
        </w:rPr>
        <w:t>, 51 NY2d at 69 [“</w:t>
      </w:r>
      <w:r w:rsidR="003C019D" w:rsidRPr="00537731">
        <w:rPr>
          <w:rFonts w:ascii="Times New Roman" w:hAnsi="Times New Roman" w:cs="Times New Roman"/>
        </w:rPr>
        <w:t>(E)</w:t>
      </w:r>
      <w:r w:rsidRPr="00537731">
        <w:rPr>
          <w:rFonts w:ascii="Times New Roman" w:hAnsi="Times New Roman" w:cs="Times New Roman"/>
        </w:rPr>
        <w:t>ven where the technical requirements of the privilege are satisfied, it may, nonetheless, yield in a proper case, where strong public policy requires disclosure”]).</w:t>
      </w:r>
    </w:p>
    <w:p w14:paraId="55EBF5A9" w14:textId="77777777" w:rsidR="004D1965"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iCs/>
          <w:sz w:val="24"/>
          <w:szCs w:val="24"/>
        </w:rPr>
      </w:pPr>
    </w:p>
    <w:p w14:paraId="583C2CBC" w14:textId="77777777" w:rsidR="004D1965"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t>As CPLR 4503 (a) recognizes, the client may waive the privilege (</w:t>
      </w:r>
      <w:r w:rsidRPr="00537731">
        <w:rPr>
          <w:i/>
          <w:iCs/>
          <w:sz w:val="24"/>
          <w:szCs w:val="24"/>
        </w:rPr>
        <w:t>see generally</w:t>
      </w:r>
      <w:r w:rsidRPr="00537731">
        <w:rPr>
          <w:sz w:val="24"/>
          <w:szCs w:val="24"/>
        </w:rPr>
        <w:t xml:space="preserve"> Barker &amp; Alexander, Evidence in New York State and Federal Courts § 5:10 [2d ed]). Waiver involves a loss of the privilege which occurs subsequent to the privilege having attached to the communication involved (</w:t>
      </w:r>
      <w:r w:rsidRPr="00537731">
        <w:rPr>
          <w:i/>
          <w:iCs/>
          <w:sz w:val="24"/>
          <w:szCs w:val="24"/>
        </w:rPr>
        <w:t>Harris</w:t>
      </w:r>
      <w:r w:rsidRPr="00537731">
        <w:rPr>
          <w:sz w:val="24"/>
          <w:szCs w:val="24"/>
        </w:rPr>
        <w:t>, 57 NY2d at 343 n</w:t>
      </w:r>
      <w:r w:rsidR="00A5561B" w:rsidRPr="00537731">
        <w:rPr>
          <w:sz w:val="24"/>
          <w:szCs w:val="24"/>
        </w:rPr>
        <w:t xml:space="preserve"> </w:t>
      </w:r>
      <w:r w:rsidRPr="00537731">
        <w:rPr>
          <w:sz w:val="24"/>
          <w:szCs w:val="24"/>
        </w:rPr>
        <w:t>1). A waiver may occur in a myriad of situations. Waiver will be present, for example:</w:t>
      </w:r>
    </w:p>
    <w:p w14:paraId="178D080F" w14:textId="77777777" w:rsidR="004D1965" w:rsidRPr="00537731" w:rsidRDefault="004D1965" w:rsidP="004E67AF">
      <w:pPr>
        <w:widowControl/>
        <w:spacing w:line="276" w:lineRule="auto"/>
        <w:rPr>
          <w:sz w:val="24"/>
          <w:szCs w:val="24"/>
        </w:rPr>
      </w:pPr>
    </w:p>
    <w:p w14:paraId="187AE02C" w14:textId="77777777" w:rsidR="004D1965" w:rsidRPr="00537731" w:rsidRDefault="004D1965" w:rsidP="004E67AF">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1080" w:hanging="360"/>
        <w:rPr>
          <w:rFonts w:ascii="Times New Roman" w:hAnsi="Times New Roman" w:cs="Times New Roman"/>
        </w:rPr>
      </w:pPr>
      <w:r w:rsidRPr="00537731">
        <w:rPr>
          <w:rFonts w:ascii="Times New Roman" w:hAnsi="Times New Roman" w:cs="Times New Roman"/>
        </w:rPr>
        <w:t>when the client gives authority to an agent to waive the privilege (</w:t>
      </w:r>
      <w:r w:rsidRPr="00537731">
        <w:rPr>
          <w:rFonts w:ascii="Times New Roman" w:hAnsi="Times New Roman" w:cs="Times New Roman"/>
          <w:i/>
          <w:iCs/>
        </w:rPr>
        <w:t>People v Cassas</w:t>
      </w:r>
      <w:r w:rsidR="009C4F7C" w:rsidRPr="00537731">
        <w:rPr>
          <w:rFonts w:ascii="Times New Roman" w:hAnsi="Times New Roman" w:cs="Times New Roman"/>
        </w:rPr>
        <w:t>, 84 NY2d 718, 722 [1995]);</w:t>
      </w:r>
    </w:p>
    <w:p w14:paraId="3CF6BEB8" w14:textId="77777777" w:rsidR="009C4F7C" w:rsidRPr="00537731" w:rsidRDefault="009C4F7C" w:rsidP="004E67AF">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720" w:firstLine="0"/>
        <w:rPr>
          <w:rFonts w:ascii="Times New Roman" w:hAnsi="Times New Roman" w:cs="Times New Roman"/>
        </w:rPr>
      </w:pPr>
    </w:p>
    <w:p w14:paraId="60FF5E4D" w14:textId="77777777" w:rsidR="004D1965" w:rsidRPr="00537731" w:rsidRDefault="004D1965" w:rsidP="004E67AF">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1080" w:hanging="360"/>
        <w:rPr>
          <w:rFonts w:ascii="Times New Roman" w:hAnsi="Times New Roman" w:cs="Times New Roman"/>
        </w:rPr>
      </w:pPr>
      <w:r w:rsidRPr="00537731">
        <w:rPr>
          <w:rFonts w:ascii="Times New Roman" w:hAnsi="Times New Roman" w:cs="Times New Roman"/>
        </w:rPr>
        <w:t>when the client discloses the communication to another person (</w:t>
      </w:r>
      <w:r w:rsidRPr="00537731">
        <w:rPr>
          <w:rFonts w:ascii="Times New Roman" w:hAnsi="Times New Roman" w:cs="Times New Roman"/>
          <w:i/>
          <w:iCs/>
        </w:rPr>
        <w:t>People v Patrick</w:t>
      </w:r>
      <w:r w:rsidR="009C4F7C" w:rsidRPr="00537731">
        <w:rPr>
          <w:rFonts w:ascii="Times New Roman" w:hAnsi="Times New Roman" w:cs="Times New Roman"/>
        </w:rPr>
        <w:t>, 182 NY 131, 175 [1905]);</w:t>
      </w:r>
    </w:p>
    <w:p w14:paraId="3FD1986C" w14:textId="77777777" w:rsidR="009C4F7C" w:rsidRPr="00537731" w:rsidRDefault="009C4F7C" w:rsidP="004E67AF">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720" w:firstLine="0"/>
        <w:rPr>
          <w:rFonts w:ascii="Times New Roman" w:hAnsi="Times New Roman" w:cs="Times New Roman"/>
        </w:rPr>
      </w:pPr>
    </w:p>
    <w:p w14:paraId="66D14904" w14:textId="77777777" w:rsidR="004D1965" w:rsidRPr="00537731" w:rsidRDefault="004D1965" w:rsidP="004E67AF">
      <w:pPr>
        <w:pStyle w:val="L1-1"/>
        <w:widowControl/>
        <w:numPr>
          <w:ilvl w:val="0"/>
          <w:numId w:val="1"/>
        </w:numPr>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1080" w:hanging="360"/>
        <w:rPr>
          <w:rFonts w:ascii="Times New Roman" w:hAnsi="Times New Roman" w:cs="Times New Roman"/>
        </w:rPr>
      </w:pPr>
      <w:r w:rsidRPr="00537731">
        <w:rPr>
          <w:rFonts w:ascii="Times New Roman" w:hAnsi="Times New Roman" w:cs="Times New Roman"/>
        </w:rPr>
        <w:t>when the client is a defendant in a criminal case and places his sanity in issue, the privilege is waived as to communications between the defendant and a psychiatrist retained by the attorney, and the psychiatrist may accordingly testify for the prosecution that he determined that the defendant was sane (</w:t>
      </w:r>
      <w:r w:rsidRPr="00537731">
        <w:rPr>
          <w:rFonts w:ascii="Times New Roman" w:hAnsi="Times New Roman" w:cs="Times New Roman"/>
          <w:i/>
          <w:iCs/>
        </w:rPr>
        <w:t>People v Edney</w:t>
      </w:r>
      <w:r w:rsidRPr="00537731">
        <w:rPr>
          <w:rFonts w:ascii="Times New Roman" w:hAnsi="Times New Roman" w:cs="Times New Roman"/>
        </w:rPr>
        <w:t>, 39 NY2d 620, 625 [1976]).</w:t>
      </w:r>
    </w:p>
    <w:p w14:paraId="05EAF9DF" w14:textId="77777777" w:rsidR="009C4F7C" w:rsidRPr="00537731" w:rsidRDefault="009C4F7C" w:rsidP="004E67AF">
      <w:pPr>
        <w:pStyle w:val="L1-1"/>
        <w:widowControl/>
        <w:tabs>
          <w:tab w:val="left" w:pos="1520"/>
          <w:tab w:val="left" w:pos="2240"/>
          <w:tab w:val="left" w:pos="2960"/>
          <w:tab w:val="left" w:pos="3680"/>
          <w:tab w:val="left" w:pos="4400"/>
          <w:tab w:val="left" w:pos="5120"/>
          <w:tab w:val="left" w:pos="5840"/>
          <w:tab w:val="left" w:pos="6560"/>
          <w:tab w:val="left" w:pos="7280"/>
          <w:tab w:val="left" w:pos="8000"/>
          <w:tab w:val="left" w:pos="8718"/>
        </w:tabs>
        <w:spacing w:line="276" w:lineRule="auto"/>
        <w:ind w:left="0" w:firstLine="0"/>
        <w:rPr>
          <w:rFonts w:ascii="Times New Roman" w:hAnsi="Times New Roman" w:cs="Times New Roman"/>
        </w:rPr>
      </w:pPr>
    </w:p>
    <w:p w14:paraId="22808434" w14:textId="3D2528D9" w:rsidR="004D1965" w:rsidRPr="00537731" w:rsidRDefault="004D1965" w:rsidP="004E67AF">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r w:rsidRPr="00537731">
        <w:rPr>
          <w:rFonts w:ascii="Times New Roman" w:hAnsi="Times New Roman" w:cs="Times New Roman"/>
          <w:sz w:val="24"/>
          <w:szCs w:val="24"/>
        </w:rPr>
        <w:lastRenderedPageBreak/>
        <w:tab/>
        <w:t xml:space="preserve">The Appellate Division </w:t>
      </w:r>
      <w:r w:rsidR="00795B4B" w:rsidRPr="00537731">
        <w:rPr>
          <w:rFonts w:ascii="Times New Roman" w:hAnsi="Times New Roman" w:cs="Times New Roman"/>
          <w:sz w:val="24"/>
          <w:szCs w:val="24"/>
        </w:rPr>
        <w:t>D</w:t>
      </w:r>
      <w:r w:rsidRPr="00537731">
        <w:rPr>
          <w:rFonts w:ascii="Times New Roman" w:hAnsi="Times New Roman" w:cs="Times New Roman"/>
          <w:sz w:val="24"/>
          <w:szCs w:val="24"/>
        </w:rPr>
        <w:t>epartments have uniformly held that an inadvertent disclosure does not automatically result in a waiver of the privilege. Rather, the party making the disclosure may avoid a finding of waiver by showing:</w:t>
      </w:r>
    </w:p>
    <w:p w14:paraId="375C8E77" w14:textId="77777777" w:rsidR="004D1965" w:rsidRPr="00537731" w:rsidRDefault="004D1965" w:rsidP="004E67AF">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rFonts w:ascii="Times New Roman" w:hAnsi="Times New Roman" w:cs="Times New Roman"/>
          <w:sz w:val="24"/>
          <w:szCs w:val="24"/>
        </w:rPr>
      </w:pPr>
    </w:p>
    <w:p w14:paraId="74D24152" w14:textId="77777777" w:rsidR="004D1965"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t>(1) the party had no intention to disclose the matter and took reasonable steps to prevent any disclosure;</w:t>
      </w:r>
    </w:p>
    <w:p w14:paraId="4120DBAD" w14:textId="77777777" w:rsidR="00C86095" w:rsidRPr="00537731" w:rsidRDefault="00C8609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2498637A" w14:textId="77777777" w:rsidR="004D1965"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t>(2) the party promptly took reasonable steps to rectify its mistake upon discovery of the disclosure; and</w:t>
      </w:r>
    </w:p>
    <w:p w14:paraId="052CFAD1" w14:textId="77777777" w:rsidR="00C86095" w:rsidRPr="00537731" w:rsidRDefault="00C8609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299EDFF2" w14:textId="77777777" w:rsidR="004D1965"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t>(3) the party in possession of the matter will not be prejudiced if it cannot use the matter (</w:t>
      </w:r>
      <w:r w:rsidRPr="00537731">
        <w:rPr>
          <w:i/>
          <w:iCs/>
          <w:sz w:val="24"/>
          <w:szCs w:val="24"/>
        </w:rPr>
        <w:t>see e.g. New York Times Newspaper Div. of N.Y. Times Co. v Lehrer McGovern Bovis</w:t>
      </w:r>
      <w:r w:rsidRPr="00537731">
        <w:rPr>
          <w:sz w:val="24"/>
          <w:szCs w:val="24"/>
        </w:rPr>
        <w:t xml:space="preserve">, 300 AD2d 169, 172 [1st Dept 2002]; </w:t>
      </w:r>
      <w:r w:rsidRPr="00537731">
        <w:rPr>
          <w:i/>
          <w:iCs/>
          <w:sz w:val="24"/>
          <w:szCs w:val="24"/>
        </w:rPr>
        <w:t>AFA Protective Sys., Inc. v City of New York</w:t>
      </w:r>
      <w:r w:rsidRPr="00537731">
        <w:rPr>
          <w:sz w:val="24"/>
          <w:szCs w:val="24"/>
        </w:rPr>
        <w:t xml:space="preserve">, 13 AD3d 564, 565 [2d Dept 2004]; </w:t>
      </w:r>
      <w:r w:rsidRPr="00537731">
        <w:rPr>
          <w:i/>
          <w:iCs/>
          <w:sz w:val="24"/>
          <w:szCs w:val="24"/>
        </w:rPr>
        <w:t>McGlynn v Grinberg</w:t>
      </w:r>
      <w:r w:rsidRPr="00537731">
        <w:rPr>
          <w:sz w:val="24"/>
          <w:szCs w:val="24"/>
        </w:rPr>
        <w:t xml:space="preserve">, 172 AD2d 960, 961 [3d Dept 1991]; </w:t>
      </w:r>
      <w:r w:rsidRPr="00537731">
        <w:rPr>
          <w:i/>
          <w:iCs/>
          <w:sz w:val="24"/>
          <w:szCs w:val="24"/>
        </w:rPr>
        <w:t>Manufacturers &amp; Traders Trust Co. v Servotronics, Inc.</w:t>
      </w:r>
      <w:r w:rsidRPr="00537731">
        <w:rPr>
          <w:sz w:val="24"/>
          <w:szCs w:val="24"/>
        </w:rPr>
        <w:t>, 132 AD2d 392, 399-400 [4th Dept 1987]).</w:t>
      </w:r>
    </w:p>
    <w:p w14:paraId="4F020D59" w14:textId="77777777" w:rsidR="00C86095" w:rsidRPr="00537731" w:rsidRDefault="00C8609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0F9F1ED" w14:textId="0DC448B4" w:rsidR="00674CF3" w:rsidRPr="00537731" w:rsidRDefault="004D1965"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537731">
        <w:rPr>
          <w:sz w:val="24"/>
          <w:szCs w:val="24"/>
        </w:rPr>
        <w:tab/>
        <w:t>A corollary to the attorney-client privilege is an attorney’s ethical obligation, in the absence of a client’s consent or waiver or certain exceptions, to “not knowingly reveal confidential information” or “use such information to the disadvantage of a client or for the advantage of the lawyer or a third person</w:t>
      </w:r>
      <w:r w:rsidR="00D174BC" w:rsidRPr="00537731">
        <w:rPr>
          <w:sz w:val="24"/>
          <w:szCs w:val="24"/>
        </w:rPr>
        <w:t>”</w:t>
      </w:r>
      <w:r w:rsidRPr="00537731">
        <w:rPr>
          <w:sz w:val="24"/>
          <w:szCs w:val="24"/>
        </w:rPr>
        <w:t xml:space="preserve"> (Rules of Prof</w:t>
      </w:r>
      <w:r w:rsidR="00795B4B" w:rsidRPr="00537731">
        <w:rPr>
          <w:sz w:val="24"/>
          <w:szCs w:val="24"/>
        </w:rPr>
        <w:t xml:space="preserve"> </w:t>
      </w:r>
      <w:r w:rsidRPr="00537731">
        <w:rPr>
          <w:sz w:val="24"/>
          <w:szCs w:val="24"/>
        </w:rPr>
        <w:t>Conduct [</w:t>
      </w:r>
      <w:r w:rsidR="00C86095" w:rsidRPr="00537731">
        <w:rPr>
          <w:sz w:val="24"/>
          <w:szCs w:val="24"/>
        </w:rPr>
        <w:t>22 NYCRR 1200.0] rule 1.6 [a]).</w:t>
      </w:r>
    </w:p>
    <w:p w14:paraId="23D88991" w14:textId="77777777" w:rsidR="00674CF3" w:rsidRPr="00537731" w:rsidRDefault="00674CF3" w:rsidP="004E67A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sectPr w:rsidR="00674CF3" w:rsidRPr="00537731" w:rsidSect="00CA714D">
      <w:footerReference w:type="default" r:id="rId8"/>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FB37F" w14:textId="77777777" w:rsidR="00CA714D" w:rsidRDefault="00CA714D">
      <w:r>
        <w:separator/>
      </w:r>
    </w:p>
  </w:endnote>
  <w:endnote w:type="continuationSeparator" w:id="0">
    <w:p w14:paraId="7CC76F75" w14:textId="77777777" w:rsidR="00CA714D" w:rsidRDefault="00CA714D">
      <w:r>
        <w:continuationSeparator/>
      </w:r>
    </w:p>
  </w:endnote>
  <w:endnote w:id="1">
    <w:p w14:paraId="4D831896" w14:textId="701B4D80" w:rsidR="00015FC9" w:rsidRDefault="00015FC9">
      <w:pPr>
        <w:pStyle w:val="EndnoteText"/>
      </w:pPr>
      <w:r w:rsidRPr="00537731">
        <w:rPr>
          <w:rStyle w:val="EndnoteReference"/>
        </w:rPr>
        <w:endnoteRef/>
      </w:r>
      <w:r w:rsidRPr="00537731">
        <w:t xml:space="preserve"> </w:t>
      </w:r>
      <w:r w:rsidRPr="004A68E2">
        <w:t xml:space="preserve">In </w:t>
      </w:r>
      <w:r w:rsidR="0079322E" w:rsidRPr="004A68E2">
        <w:t>May</w:t>
      </w:r>
      <w:r w:rsidRPr="004A68E2">
        <w:t xml:space="preserve"> 2024, subdivision (c) was added </w:t>
      </w:r>
      <w:r w:rsidR="00DA7115" w:rsidRPr="004A68E2">
        <w:t>and the Note updated accordingly.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3CD13" w14:textId="77777777" w:rsidR="004D1965" w:rsidRDefault="004D1965">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6327A" w14:textId="77777777" w:rsidR="00CA714D" w:rsidRDefault="00CA714D">
      <w:r>
        <w:separator/>
      </w:r>
    </w:p>
  </w:footnote>
  <w:footnote w:type="continuationSeparator" w:id="0">
    <w:p w14:paraId="0EC9F1FB" w14:textId="77777777" w:rsidR="00CA714D" w:rsidRDefault="00CA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6E67DC4"/>
    <w:lvl w:ilvl="0">
      <w:numFmt w:val="bullet"/>
      <w:lvlText w:val="*"/>
      <w:lvlJc w:val="left"/>
    </w:lvl>
  </w:abstractNum>
  <w:num w:numId="1" w16cid:durableId="1199123730">
    <w:abstractNumId w:val="0"/>
    <w:lvlOverride w:ilvl="0">
      <w:lvl w:ilvl="0">
        <w:start w:val="1"/>
        <w:numFmt w:val="bullet"/>
        <w:lvlText w:val=""/>
        <w:legacy w:legacy="1" w:legacySpace="0" w:legacyIndent="1"/>
        <w:lvlJc w:val="left"/>
        <w:pPr>
          <w:ind w:left="108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2"/>
    <w:rsid w:val="00001FEB"/>
    <w:rsid w:val="0001165B"/>
    <w:rsid w:val="0001190C"/>
    <w:rsid w:val="00015FC9"/>
    <w:rsid w:val="00024926"/>
    <w:rsid w:val="000374A3"/>
    <w:rsid w:val="00053685"/>
    <w:rsid w:val="00074F9C"/>
    <w:rsid w:val="0008672C"/>
    <w:rsid w:val="000970AE"/>
    <w:rsid w:val="000D03B4"/>
    <w:rsid w:val="000D0AB5"/>
    <w:rsid w:val="000D1307"/>
    <w:rsid w:val="001255FB"/>
    <w:rsid w:val="0017658C"/>
    <w:rsid w:val="00187644"/>
    <w:rsid w:val="001A242E"/>
    <w:rsid w:val="001F188C"/>
    <w:rsid w:val="001F3CBD"/>
    <w:rsid w:val="00210A55"/>
    <w:rsid w:val="00225322"/>
    <w:rsid w:val="00225E28"/>
    <w:rsid w:val="00272F59"/>
    <w:rsid w:val="002908AA"/>
    <w:rsid w:val="002929CF"/>
    <w:rsid w:val="002A220F"/>
    <w:rsid w:val="002D2CA9"/>
    <w:rsid w:val="003812DF"/>
    <w:rsid w:val="0039164B"/>
    <w:rsid w:val="003B74D9"/>
    <w:rsid w:val="003C019D"/>
    <w:rsid w:val="003D712A"/>
    <w:rsid w:val="003F0644"/>
    <w:rsid w:val="003F4FC8"/>
    <w:rsid w:val="0040453A"/>
    <w:rsid w:val="0041483C"/>
    <w:rsid w:val="004320A7"/>
    <w:rsid w:val="00434B90"/>
    <w:rsid w:val="00436FD6"/>
    <w:rsid w:val="004609F3"/>
    <w:rsid w:val="00482283"/>
    <w:rsid w:val="004A44CB"/>
    <w:rsid w:val="004A68E2"/>
    <w:rsid w:val="004C5E37"/>
    <w:rsid w:val="004D1965"/>
    <w:rsid w:val="004D7C35"/>
    <w:rsid w:val="004E1B7B"/>
    <w:rsid w:val="004E2F48"/>
    <w:rsid w:val="004E67AF"/>
    <w:rsid w:val="004F0F21"/>
    <w:rsid w:val="00510B84"/>
    <w:rsid w:val="00512085"/>
    <w:rsid w:val="0053618E"/>
    <w:rsid w:val="00537731"/>
    <w:rsid w:val="00550E68"/>
    <w:rsid w:val="00591D02"/>
    <w:rsid w:val="005947D7"/>
    <w:rsid w:val="005957B1"/>
    <w:rsid w:val="00596BC6"/>
    <w:rsid w:val="005C2F66"/>
    <w:rsid w:val="005C5D44"/>
    <w:rsid w:val="005D1328"/>
    <w:rsid w:val="005D76A4"/>
    <w:rsid w:val="005F237E"/>
    <w:rsid w:val="00612C86"/>
    <w:rsid w:val="0062023A"/>
    <w:rsid w:val="00623118"/>
    <w:rsid w:val="006242A7"/>
    <w:rsid w:val="00627B7C"/>
    <w:rsid w:val="00641875"/>
    <w:rsid w:val="006441C2"/>
    <w:rsid w:val="00654370"/>
    <w:rsid w:val="006638B2"/>
    <w:rsid w:val="00674CF3"/>
    <w:rsid w:val="0068769A"/>
    <w:rsid w:val="006C26ED"/>
    <w:rsid w:val="006C5654"/>
    <w:rsid w:val="006C7CA8"/>
    <w:rsid w:val="006F7B18"/>
    <w:rsid w:val="00713D23"/>
    <w:rsid w:val="007517F1"/>
    <w:rsid w:val="00781875"/>
    <w:rsid w:val="0079322E"/>
    <w:rsid w:val="00795B4B"/>
    <w:rsid w:val="00795B8F"/>
    <w:rsid w:val="007973B0"/>
    <w:rsid w:val="007D118F"/>
    <w:rsid w:val="007D6658"/>
    <w:rsid w:val="007F2726"/>
    <w:rsid w:val="00800939"/>
    <w:rsid w:val="00814AB4"/>
    <w:rsid w:val="00830AB8"/>
    <w:rsid w:val="008466E2"/>
    <w:rsid w:val="0087189B"/>
    <w:rsid w:val="00883C76"/>
    <w:rsid w:val="008C47A1"/>
    <w:rsid w:val="008C7409"/>
    <w:rsid w:val="008E7D51"/>
    <w:rsid w:val="008F2AE7"/>
    <w:rsid w:val="008F4C0C"/>
    <w:rsid w:val="00900C0B"/>
    <w:rsid w:val="00914D3C"/>
    <w:rsid w:val="00954269"/>
    <w:rsid w:val="00956FC2"/>
    <w:rsid w:val="00962BE9"/>
    <w:rsid w:val="009803F3"/>
    <w:rsid w:val="009A2BB9"/>
    <w:rsid w:val="009C4F7C"/>
    <w:rsid w:val="009C5829"/>
    <w:rsid w:val="00A16ACB"/>
    <w:rsid w:val="00A3348A"/>
    <w:rsid w:val="00A35204"/>
    <w:rsid w:val="00A5561B"/>
    <w:rsid w:val="00A7134C"/>
    <w:rsid w:val="00A72623"/>
    <w:rsid w:val="00A904F9"/>
    <w:rsid w:val="00A930DE"/>
    <w:rsid w:val="00AC1D63"/>
    <w:rsid w:val="00AC43F3"/>
    <w:rsid w:val="00AD3E92"/>
    <w:rsid w:val="00B1358E"/>
    <w:rsid w:val="00B84C07"/>
    <w:rsid w:val="00B86CA5"/>
    <w:rsid w:val="00B90A42"/>
    <w:rsid w:val="00BA3206"/>
    <w:rsid w:val="00BA6CF1"/>
    <w:rsid w:val="00BD4FFA"/>
    <w:rsid w:val="00C00CC6"/>
    <w:rsid w:val="00C12D09"/>
    <w:rsid w:val="00C412E2"/>
    <w:rsid w:val="00C42B66"/>
    <w:rsid w:val="00C51A17"/>
    <w:rsid w:val="00C5556A"/>
    <w:rsid w:val="00C71D9A"/>
    <w:rsid w:val="00C86095"/>
    <w:rsid w:val="00C96D5C"/>
    <w:rsid w:val="00CA714D"/>
    <w:rsid w:val="00CB02F2"/>
    <w:rsid w:val="00CB3F70"/>
    <w:rsid w:val="00CB4778"/>
    <w:rsid w:val="00CB7C40"/>
    <w:rsid w:val="00CD321F"/>
    <w:rsid w:val="00CD649F"/>
    <w:rsid w:val="00CE0177"/>
    <w:rsid w:val="00D174BC"/>
    <w:rsid w:val="00D25B1F"/>
    <w:rsid w:val="00D53A3F"/>
    <w:rsid w:val="00D5405E"/>
    <w:rsid w:val="00D57658"/>
    <w:rsid w:val="00D609DC"/>
    <w:rsid w:val="00D9528F"/>
    <w:rsid w:val="00DA6079"/>
    <w:rsid w:val="00DA7115"/>
    <w:rsid w:val="00DC38F4"/>
    <w:rsid w:val="00DC78BF"/>
    <w:rsid w:val="00DE055E"/>
    <w:rsid w:val="00DF1440"/>
    <w:rsid w:val="00E2612F"/>
    <w:rsid w:val="00E33D89"/>
    <w:rsid w:val="00E43BB3"/>
    <w:rsid w:val="00E473AE"/>
    <w:rsid w:val="00E50BC4"/>
    <w:rsid w:val="00E75267"/>
    <w:rsid w:val="00EA70F8"/>
    <w:rsid w:val="00EB66C9"/>
    <w:rsid w:val="00EB7BC1"/>
    <w:rsid w:val="00EC2FFD"/>
    <w:rsid w:val="00EE1002"/>
    <w:rsid w:val="00EE6775"/>
    <w:rsid w:val="00EF5DCC"/>
    <w:rsid w:val="00F71729"/>
    <w:rsid w:val="00F953E8"/>
    <w:rsid w:val="00FA5EBD"/>
    <w:rsid w:val="00FB7CA9"/>
    <w:rsid w:val="00FD4379"/>
    <w:rsid w:val="00FE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D2DF5"/>
  <w14:defaultImageDpi w14:val="0"/>
  <w15:docId w15:val="{91817579-EBFB-4B37-A1C7-EBB0B7D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1440" w:hanging="360"/>
      <w:jc w:val="both"/>
    </w:pPr>
    <w:rPr>
      <w:rFonts w:ascii="Calibri" w:hAnsi="Calibri" w:cs="Calibri"/>
      <w:sz w:val="24"/>
      <w:szCs w:val="24"/>
    </w:rPr>
  </w:style>
  <w:style w:type="paragraph" w:customStyle="1" w:styleId="L2-2">
    <w:name w:val="L2-2"/>
    <w:uiPriority w:val="99"/>
    <w:pPr>
      <w:widowControl w:val="0"/>
      <w:autoSpaceDE w:val="0"/>
      <w:autoSpaceDN w:val="0"/>
      <w:adjustRightInd w:val="0"/>
      <w:spacing w:after="0" w:line="240" w:lineRule="auto"/>
      <w:ind w:left="2160" w:hanging="360"/>
      <w:jc w:val="both"/>
    </w:pPr>
    <w:rPr>
      <w:rFonts w:ascii="Calibri" w:hAnsi="Calibri" w:cs="Calibri"/>
      <w:sz w:val="24"/>
      <w:szCs w:val="24"/>
    </w:rPr>
  </w:style>
  <w:style w:type="paragraph" w:customStyle="1" w:styleId="L2-3">
    <w:name w:val="L2-3"/>
    <w:uiPriority w:val="99"/>
    <w:pPr>
      <w:widowControl w:val="0"/>
      <w:autoSpaceDE w:val="0"/>
      <w:autoSpaceDN w:val="0"/>
      <w:adjustRightInd w:val="0"/>
      <w:spacing w:after="0" w:line="240" w:lineRule="auto"/>
      <w:ind w:left="2880" w:hanging="360"/>
      <w:jc w:val="both"/>
    </w:pPr>
    <w:rPr>
      <w:rFonts w:ascii="Calibri" w:hAnsi="Calibri" w:cs="Calibri"/>
      <w:sz w:val="24"/>
      <w:szCs w:val="24"/>
    </w:rPr>
  </w:style>
  <w:style w:type="paragraph" w:customStyle="1" w:styleId="L2-4">
    <w:name w:val="L2-4"/>
    <w:uiPriority w:val="99"/>
    <w:pPr>
      <w:widowControl w:val="0"/>
      <w:autoSpaceDE w:val="0"/>
      <w:autoSpaceDN w:val="0"/>
      <w:adjustRightInd w:val="0"/>
      <w:spacing w:after="0" w:line="240" w:lineRule="auto"/>
      <w:ind w:left="3600" w:hanging="360"/>
      <w:jc w:val="both"/>
    </w:pPr>
    <w:rPr>
      <w:rFonts w:ascii="Calibri" w:hAnsi="Calibri" w:cs="Calibri"/>
      <w:sz w:val="24"/>
      <w:szCs w:val="24"/>
    </w:rPr>
  </w:style>
  <w:style w:type="paragraph" w:customStyle="1" w:styleId="L2-5">
    <w:name w:val="L2-5"/>
    <w:uiPriority w:val="99"/>
    <w:pPr>
      <w:widowControl w:val="0"/>
      <w:autoSpaceDE w:val="0"/>
      <w:autoSpaceDN w:val="0"/>
      <w:adjustRightInd w:val="0"/>
      <w:spacing w:after="0" w:line="240" w:lineRule="auto"/>
      <w:ind w:left="4320" w:hanging="360"/>
      <w:jc w:val="both"/>
    </w:pPr>
    <w:rPr>
      <w:rFonts w:ascii="Calibri" w:hAnsi="Calibri" w:cs="Calibri"/>
      <w:sz w:val="24"/>
      <w:szCs w:val="24"/>
    </w:rPr>
  </w:style>
  <w:style w:type="paragraph" w:customStyle="1" w:styleId="L2-6">
    <w:name w:val="L2-6"/>
    <w:uiPriority w:val="99"/>
    <w:pPr>
      <w:widowControl w:val="0"/>
      <w:autoSpaceDE w:val="0"/>
      <w:autoSpaceDN w:val="0"/>
      <w:adjustRightInd w:val="0"/>
      <w:spacing w:after="0" w:line="240" w:lineRule="auto"/>
      <w:ind w:left="5040" w:hanging="360"/>
      <w:jc w:val="both"/>
    </w:pPr>
    <w:rPr>
      <w:rFonts w:ascii="Calibri" w:hAnsi="Calibri" w:cs="Calibri"/>
      <w:sz w:val="24"/>
      <w:szCs w:val="24"/>
    </w:rPr>
  </w:style>
  <w:style w:type="paragraph" w:customStyle="1" w:styleId="L2-7">
    <w:name w:val="L2-7"/>
    <w:uiPriority w:val="99"/>
    <w:pPr>
      <w:widowControl w:val="0"/>
      <w:autoSpaceDE w:val="0"/>
      <w:autoSpaceDN w:val="0"/>
      <w:adjustRightInd w:val="0"/>
      <w:spacing w:after="0" w:line="240" w:lineRule="auto"/>
      <w:ind w:left="5760" w:hanging="360"/>
      <w:jc w:val="both"/>
    </w:pPr>
    <w:rPr>
      <w:rFonts w:ascii="Calibri" w:hAnsi="Calibri" w:cs="Calibri"/>
      <w:sz w:val="24"/>
      <w:szCs w:val="24"/>
    </w:rPr>
  </w:style>
  <w:style w:type="paragraph" w:customStyle="1" w:styleId="L2-8">
    <w:name w:val="L2-8"/>
    <w:uiPriority w:val="99"/>
    <w:pPr>
      <w:widowControl w:val="0"/>
      <w:autoSpaceDE w:val="0"/>
      <w:autoSpaceDN w:val="0"/>
      <w:adjustRightInd w:val="0"/>
      <w:spacing w:after="0" w:line="240" w:lineRule="auto"/>
      <w:ind w:left="6480"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1-1">
    <w:name w:val="L1-1"/>
    <w:uiPriority w:val="99"/>
    <w:pPr>
      <w:widowControl w:val="0"/>
      <w:autoSpaceDE w:val="0"/>
      <w:autoSpaceDN w:val="0"/>
      <w:adjustRightInd w:val="0"/>
      <w:spacing w:after="0" w:line="240" w:lineRule="auto"/>
      <w:ind w:left="800"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1520"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240"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2960"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3680"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4400"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120"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5840" w:hanging="360"/>
      <w:jc w:val="both"/>
    </w:pPr>
    <w:rPr>
      <w:rFonts w:ascii="Calibri" w:hAnsi="Calibri" w:cs="Calibri"/>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680"/>
        <w:tab w:val="right" w:pos="7920"/>
      </w:tabs>
      <w:jc w:val="both"/>
    </w:pPr>
    <w:rPr>
      <w:rFonts w:ascii="Calibri" w:hAnsi="Calibri" w:cs="Calibri"/>
      <w:sz w:val="22"/>
      <w:szCs w:val="22"/>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2-9">
    <w:name w:val="L2-9"/>
    <w:uiPriority w:val="99"/>
    <w:pPr>
      <w:widowControl w:val="0"/>
      <w:autoSpaceDE w:val="0"/>
      <w:autoSpaceDN w:val="0"/>
      <w:adjustRightInd w:val="0"/>
      <w:spacing w:after="0" w:line="240" w:lineRule="auto"/>
      <w:ind w:left="7200" w:hanging="360"/>
      <w:jc w:val="both"/>
    </w:pPr>
    <w:rPr>
      <w:rFonts w:ascii="Calibri" w:hAnsi="Calibri" w:cs="Calibri"/>
      <w:sz w:val="24"/>
      <w:szCs w:val="24"/>
    </w:rPr>
  </w:style>
  <w:style w:type="paragraph" w:customStyle="1" w:styleId="L1-9">
    <w:name w:val="L1-9"/>
    <w:uiPriority w:val="99"/>
    <w:pPr>
      <w:widowControl w:val="0"/>
      <w:autoSpaceDE w:val="0"/>
      <w:autoSpaceDN w:val="0"/>
      <w:adjustRightInd w:val="0"/>
      <w:spacing w:after="0" w:line="240" w:lineRule="auto"/>
      <w:ind w:left="6560" w:hanging="360"/>
      <w:jc w:val="both"/>
    </w:pPr>
    <w:rPr>
      <w:rFonts w:ascii="Calibri" w:hAnsi="Calibri" w:cs="Calibri"/>
      <w:sz w:val="24"/>
      <w:szCs w:val="24"/>
    </w:rPr>
  </w:style>
  <w:style w:type="paragraph" w:styleId="ListParagraph">
    <w:name w:val="List Paragraph"/>
    <w:basedOn w:val="Normal"/>
    <w:uiPriority w:val="34"/>
    <w:qFormat/>
    <w:rsid w:val="009C4F7C"/>
    <w:pPr>
      <w:ind w:left="720"/>
    </w:pPr>
  </w:style>
  <w:style w:type="character" w:customStyle="1" w:styleId="costarpage">
    <w:name w:val="co_starpage"/>
    <w:basedOn w:val="DefaultParagraphFont"/>
    <w:rsid w:val="000D1307"/>
  </w:style>
  <w:style w:type="paragraph" w:customStyle="1" w:styleId="xmsonormal">
    <w:name w:val="x_msonormal"/>
    <w:basedOn w:val="Normal"/>
    <w:rsid w:val="00795B8F"/>
    <w:pPr>
      <w:widowControl/>
      <w:autoSpaceDE/>
      <w:autoSpaceDN/>
      <w:adjustRightInd/>
    </w:pPr>
    <w:rPr>
      <w:rFonts w:ascii="Aptos" w:eastAsiaTheme="minorHAnsi" w:hAnsi="Aptos" w:cs="Aptos"/>
      <w:sz w:val="24"/>
      <w:szCs w:val="24"/>
    </w:rPr>
  </w:style>
  <w:style w:type="paragraph" w:styleId="EndnoteText">
    <w:name w:val="endnote text"/>
    <w:basedOn w:val="Normal"/>
    <w:link w:val="EndnoteTextChar"/>
    <w:uiPriority w:val="99"/>
    <w:semiHidden/>
    <w:unhideWhenUsed/>
    <w:rsid w:val="00015FC9"/>
  </w:style>
  <w:style w:type="character" w:customStyle="1" w:styleId="EndnoteTextChar">
    <w:name w:val="Endnote Text Char"/>
    <w:basedOn w:val="DefaultParagraphFont"/>
    <w:link w:val="EndnoteText"/>
    <w:uiPriority w:val="99"/>
    <w:semiHidden/>
    <w:rsid w:val="00015FC9"/>
    <w:rPr>
      <w:rFonts w:ascii="Times New Roman" w:hAnsi="Times New Roman"/>
      <w:sz w:val="20"/>
      <w:szCs w:val="20"/>
    </w:rPr>
  </w:style>
  <w:style w:type="character" w:styleId="EndnoteReference">
    <w:name w:val="endnote reference"/>
    <w:basedOn w:val="DefaultParagraphFont"/>
    <w:uiPriority w:val="99"/>
    <w:semiHidden/>
    <w:unhideWhenUsed/>
    <w:rsid w:val="00015FC9"/>
    <w:rPr>
      <w:vertAlign w:val="superscript"/>
    </w:rPr>
  </w:style>
  <w:style w:type="character" w:styleId="CommentReference">
    <w:name w:val="annotation reference"/>
    <w:basedOn w:val="DefaultParagraphFont"/>
    <w:uiPriority w:val="99"/>
    <w:semiHidden/>
    <w:unhideWhenUsed/>
    <w:rsid w:val="00674CF3"/>
    <w:rPr>
      <w:sz w:val="16"/>
      <w:szCs w:val="16"/>
    </w:rPr>
  </w:style>
  <w:style w:type="paragraph" w:styleId="CommentText">
    <w:name w:val="annotation text"/>
    <w:basedOn w:val="Normal"/>
    <w:link w:val="CommentTextChar"/>
    <w:uiPriority w:val="99"/>
    <w:unhideWhenUsed/>
    <w:rsid w:val="00674CF3"/>
  </w:style>
  <w:style w:type="character" w:customStyle="1" w:styleId="CommentTextChar">
    <w:name w:val="Comment Text Char"/>
    <w:basedOn w:val="DefaultParagraphFont"/>
    <w:link w:val="CommentText"/>
    <w:uiPriority w:val="99"/>
    <w:rsid w:val="00674CF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CF3"/>
    <w:rPr>
      <w:b/>
      <w:bCs/>
    </w:rPr>
  </w:style>
  <w:style w:type="character" w:customStyle="1" w:styleId="CommentSubjectChar">
    <w:name w:val="Comment Subject Char"/>
    <w:basedOn w:val="CommentTextChar"/>
    <w:link w:val="CommentSubject"/>
    <w:uiPriority w:val="99"/>
    <w:semiHidden/>
    <w:rsid w:val="00674CF3"/>
    <w:rPr>
      <w:rFonts w:ascii="Times New Roman" w:hAnsi="Times New Roman"/>
      <w:b/>
      <w:bCs/>
      <w:sz w:val="20"/>
      <w:szCs w:val="20"/>
    </w:rPr>
  </w:style>
  <w:style w:type="character" w:styleId="Hyperlink">
    <w:name w:val="Hyperlink"/>
    <w:basedOn w:val="DefaultParagraphFont"/>
    <w:uiPriority w:val="99"/>
    <w:unhideWhenUsed/>
    <w:rsid w:val="001F188C"/>
    <w:rPr>
      <w:color w:val="0563C1" w:themeColor="hyperlink"/>
      <w:u w:val="single"/>
    </w:rPr>
  </w:style>
  <w:style w:type="character" w:styleId="UnresolvedMention">
    <w:name w:val="Unresolved Mention"/>
    <w:basedOn w:val="DefaultParagraphFont"/>
    <w:uiPriority w:val="99"/>
    <w:semiHidden/>
    <w:unhideWhenUsed/>
    <w:rsid w:val="001F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14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C4EF-3A5A-4311-8B62-2248768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9</Pages>
  <Words>2969</Words>
  <Characters>16155</Characters>
  <Application>Microsoft Office Word</Application>
  <DocSecurity>0</DocSecurity>
  <Lines>343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112</cp:revision>
  <cp:lastPrinted>2024-04-17T21:02:00Z</cp:lastPrinted>
  <dcterms:created xsi:type="dcterms:W3CDTF">2024-02-09T20:00:00Z</dcterms:created>
  <dcterms:modified xsi:type="dcterms:W3CDTF">2024-04-17T21:03:00Z</dcterms:modified>
</cp:coreProperties>
</file>