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76964" w14:textId="5B6A54F9" w:rsidR="00A620C7" w:rsidRPr="00A13470" w:rsidRDefault="00A620C7" w:rsidP="0021511A">
      <w:pPr>
        <w:spacing w:after="0" w:line="240" w:lineRule="auto"/>
        <w:jc w:val="both"/>
        <w:rPr>
          <w:rFonts w:ascii="Times New Roman" w:hAnsi="Times New Roman" w:cs="Times New Roman"/>
          <w:b/>
          <w:bCs/>
          <w:sz w:val="28"/>
          <w:szCs w:val="28"/>
        </w:rPr>
      </w:pPr>
      <w:r w:rsidRPr="00A13470">
        <w:rPr>
          <w:rFonts w:ascii="Times New Roman" w:hAnsi="Times New Roman" w:cs="Times New Roman"/>
          <w:b/>
          <w:bCs/>
          <w:sz w:val="28"/>
          <w:szCs w:val="28"/>
        </w:rPr>
        <w:t>6.02.3</w:t>
      </w:r>
      <w:r w:rsidR="00D63436">
        <w:rPr>
          <w:rFonts w:ascii="Times New Roman" w:hAnsi="Times New Roman" w:cs="Times New Roman"/>
          <w:b/>
          <w:bCs/>
          <w:sz w:val="28"/>
          <w:szCs w:val="28"/>
        </w:rPr>
        <w:t>. C</w:t>
      </w:r>
      <w:r w:rsidRPr="00A13470">
        <w:rPr>
          <w:rFonts w:ascii="Times New Roman" w:hAnsi="Times New Roman" w:cs="Times New Roman"/>
          <w:b/>
          <w:bCs/>
          <w:sz w:val="28"/>
          <w:szCs w:val="28"/>
        </w:rPr>
        <w:t xml:space="preserve">ompetency of </w:t>
      </w:r>
      <w:r w:rsidR="003E2309" w:rsidRPr="00A13470">
        <w:rPr>
          <w:rFonts w:ascii="Times New Roman" w:hAnsi="Times New Roman" w:cs="Times New Roman"/>
          <w:b/>
          <w:bCs/>
          <w:sz w:val="28"/>
          <w:szCs w:val="28"/>
        </w:rPr>
        <w:t>J</w:t>
      </w:r>
      <w:r w:rsidRPr="00A13470">
        <w:rPr>
          <w:rFonts w:ascii="Times New Roman" w:hAnsi="Times New Roman" w:cs="Times New Roman"/>
          <w:b/>
          <w:bCs/>
          <w:sz w:val="28"/>
          <w:szCs w:val="28"/>
        </w:rPr>
        <w:t xml:space="preserve">udge as </w:t>
      </w:r>
      <w:r w:rsidR="003E2309" w:rsidRPr="00A13470">
        <w:rPr>
          <w:rFonts w:ascii="Times New Roman" w:hAnsi="Times New Roman" w:cs="Times New Roman"/>
          <w:b/>
          <w:bCs/>
          <w:sz w:val="28"/>
          <w:szCs w:val="28"/>
        </w:rPr>
        <w:t>W</w:t>
      </w:r>
      <w:r w:rsidRPr="00A13470">
        <w:rPr>
          <w:rFonts w:ascii="Times New Roman" w:hAnsi="Times New Roman" w:cs="Times New Roman"/>
          <w:b/>
          <w:bCs/>
          <w:sz w:val="28"/>
          <w:szCs w:val="28"/>
        </w:rPr>
        <w:t>itness</w:t>
      </w:r>
    </w:p>
    <w:p w14:paraId="78B9BA06" w14:textId="77777777" w:rsidR="00B2129E" w:rsidRPr="00A13470" w:rsidRDefault="00B2129E" w:rsidP="0021511A">
      <w:pPr>
        <w:spacing w:after="0" w:line="240" w:lineRule="auto"/>
        <w:jc w:val="both"/>
        <w:rPr>
          <w:rFonts w:ascii="Times New Roman" w:hAnsi="Times New Roman" w:cs="Times New Roman"/>
          <w:b/>
          <w:bCs/>
          <w:sz w:val="28"/>
          <w:szCs w:val="28"/>
        </w:rPr>
      </w:pPr>
    </w:p>
    <w:p w14:paraId="0C13B810" w14:textId="3297FEA7" w:rsidR="006660F1" w:rsidRPr="00A13470" w:rsidRDefault="00A620C7" w:rsidP="0021511A">
      <w:pPr>
        <w:widowControl w:val="0"/>
        <w:spacing w:after="0" w:line="240" w:lineRule="auto"/>
        <w:ind w:left="720" w:right="720"/>
        <w:jc w:val="both"/>
        <w:rPr>
          <w:rFonts w:ascii="Times New Roman" w:hAnsi="Times New Roman" w:cs="Times New Roman"/>
          <w:b/>
          <w:bCs/>
          <w:sz w:val="28"/>
          <w:szCs w:val="28"/>
        </w:rPr>
      </w:pPr>
      <w:r w:rsidRPr="00A13470">
        <w:rPr>
          <w:rFonts w:ascii="Times New Roman" w:hAnsi="Times New Roman" w:cs="Times New Roman"/>
          <w:b/>
          <w:bCs/>
          <w:sz w:val="28"/>
          <w:szCs w:val="28"/>
        </w:rPr>
        <w:t>The testimony of a judge shall not be admissible at a trial, proceeding, or hearing at which the judge is presiding.</w:t>
      </w:r>
    </w:p>
    <w:p w14:paraId="0C11156D" w14:textId="77777777" w:rsidR="0021511A" w:rsidRPr="00A13470" w:rsidRDefault="0021511A" w:rsidP="0021511A">
      <w:pPr>
        <w:widowControl w:val="0"/>
        <w:spacing w:after="0" w:line="240" w:lineRule="auto"/>
        <w:ind w:right="720"/>
        <w:jc w:val="both"/>
        <w:rPr>
          <w:rFonts w:ascii="Times New Roman" w:hAnsi="Times New Roman" w:cs="Times New Roman"/>
          <w:b/>
          <w:bCs/>
          <w:sz w:val="28"/>
          <w:szCs w:val="28"/>
        </w:rPr>
      </w:pPr>
    </w:p>
    <w:p w14:paraId="4012B4B5" w14:textId="066FB863" w:rsidR="00163CA4" w:rsidRPr="00A13470" w:rsidRDefault="00EC6DD9" w:rsidP="0021511A">
      <w:pPr>
        <w:widowControl w:val="0"/>
        <w:spacing w:after="0" w:line="240" w:lineRule="auto"/>
        <w:jc w:val="center"/>
        <w:rPr>
          <w:rFonts w:ascii="Times New Roman" w:hAnsi="Times New Roman" w:cs="Times New Roman"/>
          <w:b/>
          <w:bCs/>
          <w:sz w:val="24"/>
          <w:szCs w:val="24"/>
        </w:rPr>
      </w:pPr>
      <w:r w:rsidRPr="00A13470">
        <w:rPr>
          <w:rFonts w:ascii="Times New Roman" w:hAnsi="Times New Roman" w:cs="Times New Roman"/>
          <w:b/>
          <w:bCs/>
          <w:sz w:val="24"/>
          <w:szCs w:val="24"/>
        </w:rPr>
        <w:t>Note</w:t>
      </w:r>
    </w:p>
    <w:p w14:paraId="070173E0" w14:textId="77777777" w:rsidR="0021511A" w:rsidRPr="00A13470" w:rsidRDefault="0021511A" w:rsidP="0021511A">
      <w:pPr>
        <w:widowControl w:val="0"/>
        <w:spacing w:after="0" w:line="240" w:lineRule="auto"/>
        <w:rPr>
          <w:rFonts w:ascii="Times New Roman" w:hAnsi="Times New Roman" w:cs="Times New Roman"/>
          <w:b/>
          <w:bCs/>
          <w:sz w:val="24"/>
          <w:szCs w:val="24"/>
        </w:rPr>
      </w:pPr>
    </w:p>
    <w:p w14:paraId="4B2CE47F" w14:textId="2DDA319C" w:rsidR="007503AF" w:rsidRPr="00A13470" w:rsidRDefault="0021511A" w:rsidP="0021511A">
      <w:pPr>
        <w:widowControl w:val="0"/>
        <w:tabs>
          <w:tab w:val="left" w:pos="720"/>
        </w:tabs>
        <w:spacing w:after="0" w:line="240" w:lineRule="auto"/>
        <w:jc w:val="both"/>
        <w:rPr>
          <w:rFonts w:ascii="Times New Roman" w:eastAsia="Times New Roman" w:hAnsi="Times New Roman" w:cs="Times New Roman"/>
          <w:sz w:val="24"/>
          <w:szCs w:val="24"/>
        </w:rPr>
      </w:pPr>
      <w:r w:rsidRPr="00A13470">
        <w:rPr>
          <w:rFonts w:ascii="Times New Roman" w:hAnsi="Times New Roman" w:cs="Times New Roman"/>
          <w:sz w:val="24"/>
          <w:szCs w:val="24"/>
        </w:rPr>
        <w:tab/>
      </w:r>
      <w:r w:rsidR="006660F1" w:rsidRPr="00A13470">
        <w:rPr>
          <w:rFonts w:ascii="Times New Roman" w:hAnsi="Times New Roman" w:cs="Times New Roman"/>
          <w:sz w:val="24"/>
          <w:szCs w:val="24"/>
        </w:rPr>
        <w:t>This rule</w:t>
      </w:r>
      <w:r w:rsidR="00B25DF5" w:rsidRPr="00A13470">
        <w:rPr>
          <w:rFonts w:ascii="Times New Roman" w:hAnsi="Times New Roman" w:cs="Times New Roman"/>
          <w:sz w:val="24"/>
          <w:szCs w:val="24"/>
        </w:rPr>
        <w:t xml:space="preserve"> should be self-eviden</w:t>
      </w:r>
      <w:r w:rsidR="00A401A3" w:rsidRPr="00A13470">
        <w:rPr>
          <w:rFonts w:ascii="Times New Roman" w:hAnsi="Times New Roman" w:cs="Times New Roman"/>
          <w:sz w:val="24"/>
          <w:szCs w:val="24"/>
        </w:rPr>
        <w:t xml:space="preserve">t </w:t>
      </w:r>
      <w:r w:rsidR="00B25DF5" w:rsidRPr="00A13470">
        <w:rPr>
          <w:rFonts w:ascii="Times New Roman" w:hAnsi="Times New Roman" w:cs="Times New Roman"/>
          <w:sz w:val="24"/>
          <w:szCs w:val="24"/>
        </w:rPr>
        <w:t>and</w:t>
      </w:r>
      <w:r w:rsidR="000A3CB6" w:rsidRPr="00A13470">
        <w:rPr>
          <w:rFonts w:ascii="Times New Roman" w:hAnsi="Times New Roman" w:cs="Times New Roman"/>
          <w:sz w:val="24"/>
          <w:szCs w:val="24"/>
        </w:rPr>
        <w:t xml:space="preserve"> </w:t>
      </w:r>
      <w:r w:rsidR="000A39AF" w:rsidRPr="00A13470">
        <w:rPr>
          <w:rFonts w:ascii="Times New Roman" w:hAnsi="Times New Roman" w:cs="Times New Roman"/>
          <w:sz w:val="24"/>
          <w:szCs w:val="24"/>
        </w:rPr>
        <w:t xml:space="preserve">embodies the holding of </w:t>
      </w:r>
      <w:r w:rsidR="00EC6DD9" w:rsidRPr="00A13470">
        <w:rPr>
          <w:rFonts w:ascii="Times New Roman" w:eastAsia="Times New Roman" w:hAnsi="Times New Roman" w:cs="Times New Roman"/>
          <w:i/>
          <w:iCs/>
          <w:sz w:val="24"/>
          <w:szCs w:val="24"/>
        </w:rPr>
        <w:t>People v Dohring</w:t>
      </w:r>
      <w:r w:rsidR="00EC6DD9" w:rsidRPr="00A13470">
        <w:rPr>
          <w:rFonts w:ascii="Times New Roman" w:eastAsia="Times New Roman" w:hAnsi="Times New Roman" w:cs="Times New Roman"/>
          <w:sz w:val="24"/>
          <w:szCs w:val="24"/>
        </w:rPr>
        <w:t xml:space="preserve"> </w:t>
      </w:r>
      <w:r w:rsidR="00D3401F" w:rsidRPr="00A13470">
        <w:rPr>
          <w:rFonts w:ascii="Times New Roman" w:eastAsia="Times New Roman" w:hAnsi="Times New Roman" w:cs="Times New Roman"/>
          <w:sz w:val="24"/>
          <w:szCs w:val="24"/>
        </w:rPr>
        <w:t>(</w:t>
      </w:r>
      <w:r w:rsidR="00EC6DD9" w:rsidRPr="00A13470">
        <w:rPr>
          <w:rFonts w:ascii="Times New Roman" w:eastAsia="Times New Roman" w:hAnsi="Times New Roman" w:cs="Times New Roman"/>
          <w:sz w:val="24"/>
          <w:szCs w:val="24"/>
        </w:rPr>
        <w:t>59 NY 374, 378 [1874]</w:t>
      </w:r>
      <w:r w:rsidR="00D3401F" w:rsidRPr="00A13470">
        <w:rPr>
          <w:rFonts w:ascii="Times New Roman" w:eastAsia="Times New Roman" w:hAnsi="Times New Roman" w:cs="Times New Roman"/>
          <w:sz w:val="24"/>
          <w:szCs w:val="24"/>
        </w:rPr>
        <w:t>)</w:t>
      </w:r>
      <w:r w:rsidR="000A39AF" w:rsidRPr="00A13470">
        <w:rPr>
          <w:rFonts w:ascii="Times New Roman" w:eastAsia="Times New Roman" w:hAnsi="Times New Roman" w:cs="Times New Roman"/>
          <w:sz w:val="24"/>
          <w:szCs w:val="24"/>
        </w:rPr>
        <w:t xml:space="preserve"> </w:t>
      </w:r>
      <w:r w:rsidR="00ED291C" w:rsidRPr="00A13470">
        <w:rPr>
          <w:rFonts w:ascii="Times New Roman" w:eastAsia="Times New Roman" w:hAnsi="Times New Roman" w:cs="Times New Roman"/>
          <w:sz w:val="24"/>
          <w:szCs w:val="24"/>
        </w:rPr>
        <w:t>that “</w:t>
      </w:r>
      <w:r w:rsidR="00EC6DD9" w:rsidRPr="00A13470">
        <w:rPr>
          <w:rFonts w:ascii="Times New Roman" w:eastAsia="Times New Roman" w:hAnsi="Times New Roman" w:cs="Times New Roman"/>
          <w:sz w:val="24"/>
          <w:szCs w:val="24"/>
          <w:shd w:val="clear" w:color="auto" w:fill="FFFFFF"/>
        </w:rPr>
        <w:t>where the judge, who is called to the witness box, is actually trying the cause, and his continuance in action as judge is necessary to the seemly and proper trial of the cause, then he may not become a witness</w:t>
      </w:r>
      <w:r w:rsidR="000025ED" w:rsidRPr="00A13470">
        <w:rPr>
          <w:rFonts w:ascii="Times New Roman" w:eastAsia="Times New Roman" w:hAnsi="Times New Roman" w:cs="Times New Roman"/>
          <w:sz w:val="24"/>
          <w:szCs w:val="24"/>
          <w:shd w:val="clear" w:color="auto" w:fill="FFFFFF"/>
        </w:rPr>
        <w:t xml:space="preserve">.” </w:t>
      </w:r>
      <w:r w:rsidR="000025ED" w:rsidRPr="00A13470">
        <w:rPr>
          <w:rFonts w:ascii="Times New Roman" w:eastAsia="Times New Roman" w:hAnsi="Times New Roman" w:cs="Times New Roman"/>
          <w:i/>
          <w:iCs/>
          <w:sz w:val="24"/>
          <w:szCs w:val="24"/>
          <w:shd w:val="clear" w:color="auto" w:fill="FFFFFF"/>
        </w:rPr>
        <w:t>Dohring</w:t>
      </w:r>
      <w:r w:rsidR="00E81F8D" w:rsidRPr="00A13470">
        <w:rPr>
          <w:rFonts w:ascii="Times New Roman" w:eastAsia="Times New Roman" w:hAnsi="Times New Roman" w:cs="Times New Roman"/>
          <w:i/>
          <w:iCs/>
          <w:sz w:val="24"/>
          <w:szCs w:val="24"/>
          <w:shd w:val="clear" w:color="auto" w:fill="FFFFFF"/>
        </w:rPr>
        <w:t xml:space="preserve"> </w:t>
      </w:r>
      <w:r w:rsidR="00C470C4" w:rsidRPr="00A13470">
        <w:rPr>
          <w:rFonts w:ascii="Times New Roman" w:eastAsia="Times New Roman" w:hAnsi="Times New Roman" w:cs="Times New Roman"/>
          <w:sz w:val="24"/>
          <w:szCs w:val="24"/>
          <w:shd w:val="clear" w:color="auto" w:fill="FFFFFF"/>
        </w:rPr>
        <w:t>required an objection to preserve the error</w:t>
      </w:r>
      <w:r w:rsidR="00D3401F" w:rsidRPr="00A13470">
        <w:rPr>
          <w:rFonts w:ascii="Times New Roman" w:eastAsia="Times New Roman" w:hAnsi="Times New Roman" w:cs="Times New Roman"/>
          <w:sz w:val="24"/>
          <w:szCs w:val="24"/>
          <w:shd w:val="clear" w:color="auto" w:fill="FFFFFF"/>
        </w:rPr>
        <w:t xml:space="preserve"> (</w:t>
      </w:r>
      <w:r w:rsidR="00D3401F" w:rsidRPr="00A13470">
        <w:rPr>
          <w:rFonts w:ascii="Times New Roman" w:eastAsia="Times New Roman" w:hAnsi="Times New Roman" w:cs="Times New Roman"/>
          <w:i/>
          <w:iCs/>
          <w:sz w:val="24"/>
          <w:szCs w:val="24"/>
          <w:shd w:val="clear" w:color="auto" w:fill="FFFFFF"/>
        </w:rPr>
        <w:t>i</w:t>
      </w:r>
      <w:r w:rsidR="00C470C4" w:rsidRPr="00A13470">
        <w:rPr>
          <w:rFonts w:ascii="Times New Roman" w:eastAsia="Times New Roman" w:hAnsi="Times New Roman" w:cs="Times New Roman"/>
          <w:i/>
          <w:iCs/>
          <w:sz w:val="24"/>
          <w:szCs w:val="24"/>
          <w:shd w:val="clear" w:color="auto" w:fill="FFFFFF"/>
        </w:rPr>
        <w:t>d.</w:t>
      </w:r>
      <w:r w:rsidR="00A136F4" w:rsidRPr="00A13470">
        <w:rPr>
          <w:rFonts w:ascii="Times New Roman" w:eastAsia="Times New Roman" w:hAnsi="Times New Roman" w:cs="Times New Roman"/>
          <w:sz w:val="24"/>
          <w:szCs w:val="24"/>
          <w:shd w:val="clear" w:color="auto" w:fill="FFFFFF"/>
        </w:rPr>
        <w:t xml:space="preserve"> at 378-</w:t>
      </w:r>
      <w:r w:rsidR="00D3401F" w:rsidRPr="00A13470">
        <w:rPr>
          <w:rFonts w:ascii="Times New Roman" w:eastAsia="Times New Roman" w:hAnsi="Times New Roman" w:cs="Times New Roman"/>
          <w:sz w:val="24"/>
          <w:szCs w:val="24"/>
          <w:shd w:val="clear" w:color="auto" w:fill="FFFFFF"/>
        </w:rPr>
        <w:t>3</w:t>
      </w:r>
      <w:r w:rsidR="00A136F4" w:rsidRPr="00A13470">
        <w:rPr>
          <w:rFonts w:ascii="Times New Roman" w:eastAsia="Times New Roman" w:hAnsi="Times New Roman" w:cs="Times New Roman"/>
          <w:sz w:val="24"/>
          <w:szCs w:val="24"/>
          <w:shd w:val="clear" w:color="auto" w:fill="FFFFFF"/>
        </w:rPr>
        <w:t>79</w:t>
      </w:r>
      <w:r w:rsidR="00D3401F" w:rsidRPr="00A13470">
        <w:rPr>
          <w:rFonts w:ascii="Times New Roman" w:eastAsia="Times New Roman" w:hAnsi="Times New Roman" w:cs="Times New Roman"/>
          <w:sz w:val="24"/>
          <w:szCs w:val="24"/>
          <w:shd w:val="clear" w:color="auto" w:fill="FFFFFF"/>
        </w:rPr>
        <w:t>)</w:t>
      </w:r>
      <w:r w:rsidR="00A136F4" w:rsidRPr="00A13470">
        <w:rPr>
          <w:rFonts w:ascii="Times New Roman" w:eastAsia="Times New Roman" w:hAnsi="Times New Roman" w:cs="Times New Roman"/>
          <w:sz w:val="24"/>
          <w:szCs w:val="24"/>
          <w:shd w:val="clear" w:color="auto" w:fill="FFFFFF"/>
        </w:rPr>
        <w:t>.</w:t>
      </w:r>
      <w:r w:rsidR="00163CA4" w:rsidRPr="00A13470">
        <w:rPr>
          <w:rFonts w:ascii="Times New Roman" w:eastAsia="Times New Roman" w:hAnsi="Times New Roman" w:cs="Times New Roman"/>
          <w:sz w:val="24"/>
          <w:szCs w:val="24"/>
        </w:rPr>
        <w:t xml:space="preserve">  Under </w:t>
      </w:r>
      <w:r w:rsidR="00233A61" w:rsidRPr="00A13470">
        <w:rPr>
          <w:rFonts w:ascii="Times New Roman" w:eastAsia="Times New Roman" w:hAnsi="Times New Roman" w:cs="Times New Roman"/>
          <w:sz w:val="24"/>
          <w:szCs w:val="24"/>
        </w:rPr>
        <w:t xml:space="preserve">the present-day “mode of proceedings” </w:t>
      </w:r>
      <w:r w:rsidR="00170863" w:rsidRPr="00A13470">
        <w:rPr>
          <w:rFonts w:ascii="Times New Roman" w:eastAsia="Times New Roman" w:hAnsi="Times New Roman" w:cs="Times New Roman"/>
          <w:sz w:val="24"/>
          <w:szCs w:val="24"/>
        </w:rPr>
        <w:t>doctrine</w:t>
      </w:r>
      <w:r w:rsidR="00E81F8D" w:rsidRPr="00A13470">
        <w:rPr>
          <w:rFonts w:ascii="Times New Roman" w:eastAsia="Times New Roman" w:hAnsi="Times New Roman" w:cs="Times New Roman"/>
          <w:sz w:val="24"/>
          <w:szCs w:val="24"/>
        </w:rPr>
        <w:t xml:space="preserve"> </w:t>
      </w:r>
      <w:r w:rsidR="00170863" w:rsidRPr="00A13470">
        <w:rPr>
          <w:rFonts w:ascii="Times New Roman" w:eastAsia="Times New Roman" w:hAnsi="Times New Roman" w:cs="Times New Roman"/>
          <w:sz w:val="24"/>
          <w:szCs w:val="24"/>
        </w:rPr>
        <w:t>of preservation</w:t>
      </w:r>
      <w:r w:rsidR="00A675BB" w:rsidRPr="00A13470">
        <w:rPr>
          <w:rFonts w:ascii="Times New Roman" w:eastAsia="Times New Roman" w:hAnsi="Times New Roman" w:cs="Times New Roman"/>
          <w:sz w:val="24"/>
          <w:szCs w:val="24"/>
        </w:rPr>
        <w:t xml:space="preserve"> </w:t>
      </w:r>
      <w:r w:rsidR="00D3401F" w:rsidRPr="00A13470">
        <w:rPr>
          <w:rFonts w:ascii="Times New Roman" w:eastAsia="Times New Roman" w:hAnsi="Times New Roman" w:cs="Times New Roman"/>
          <w:sz w:val="24"/>
          <w:szCs w:val="24"/>
        </w:rPr>
        <w:t>(</w:t>
      </w:r>
      <w:r w:rsidR="00A675BB" w:rsidRPr="00A13470">
        <w:rPr>
          <w:rFonts w:ascii="Times New Roman" w:eastAsia="Times New Roman" w:hAnsi="Times New Roman" w:cs="Times New Roman"/>
          <w:sz w:val="24"/>
          <w:szCs w:val="24"/>
        </w:rPr>
        <w:t>Guide to NY Evid</w:t>
      </w:r>
      <w:r w:rsidR="00D3401F" w:rsidRPr="00A13470">
        <w:rPr>
          <w:rFonts w:ascii="Times New Roman" w:eastAsia="Times New Roman" w:hAnsi="Times New Roman" w:cs="Times New Roman"/>
          <w:sz w:val="24"/>
          <w:szCs w:val="24"/>
        </w:rPr>
        <w:t xml:space="preserve"> </w:t>
      </w:r>
      <w:r w:rsidR="00A675BB" w:rsidRPr="00A13470">
        <w:rPr>
          <w:rFonts w:ascii="Times New Roman" w:eastAsia="Times New Roman" w:hAnsi="Times New Roman" w:cs="Times New Roman"/>
          <w:sz w:val="24"/>
          <w:szCs w:val="24"/>
        </w:rPr>
        <w:t>rule 12.01</w:t>
      </w:r>
      <w:r w:rsidR="00D3401F" w:rsidRPr="00A13470">
        <w:rPr>
          <w:rFonts w:ascii="Times New Roman" w:eastAsia="Times New Roman" w:hAnsi="Times New Roman" w:cs="Times New Roman"/>
          <w:sz w:val="24"/>
          <w:szCs w:val="24"/>
        </w:rPr>
        <w:t xml:space="preserve"> [</w:t>
      </w:r>
      <w:r w:rsidR="00A675BB" w:rsidRPr="00A13470">
        <w:rPr>
          <w:rFonts w:ascii="Times New Roman" w:eastAsia="Times New Roman" w:hAnsi="Times New Roman" w:cs="Times New Roman"/>
          <w:sz w:val="24"/>
          <w:szCs w:val="24"/>
        </w:rPr>
        <w:t>6]</w:t>
      </w:r>
      <w:r w:rsidR="00D3401F" w:rsidRPr="00A13470">
        <w:rPr>
          <w:rFonts w:ascii="Times New Roman" w:eastAsia="Times New Roman" w:hAnsi="Times New Roman" w:cs="Times New Roman"/>
          <w:sz w:val="24"/>
          <w:szCs w:val="24"/>
        </w:rPr>
        <w:t>)</w:t>
      </w:r>
      <w:r w:rsidR="00170863" w:rsidRPr="00A13470">
        <w:rPr>
          <w:rFonts w:ascii="Times New Roman" w:eastAsia="Times New Roman" w:hAnsi="Times New Roman" w:cs="Times New Roman"/>
          <w:sz w:val="24"/>
          <w:szCs w:val="24"/>
        </w:rPr>
        <w:t xml:space="preserve">, </w:t>
      </w:r>
      <w:r w:rsidR="00E81F8D" w:rsidRPr="00A13470">
        <w:rPr>
          <w:rFonts w:ascii="Times New Roman" w:eastAsia="Times New Roman" w:hAnsi="Times New Roman" w:cs="Times New Roman"/>
          <w:sz w:val="24"/>
          <w:szCs w:val="24"/>
        </w:rPr>
        <w:t xml:space="preserve">however, </w:t>
      </w:r>
      <w:r w:rsidR="00170863" w:rsidRPr="00A13470">
        <w:rPr>
          <w:rFonts w:ascii="Times New Roman" w:eastAsia="Times New Roman" w:hAnsi="Times New Roman" w:cs="Times New Roman"/>
          <w:sz w:val="24"/>
          <w:szCs w:val="24"/>
        </w:rPr>
        <w:t>an objection may no longer be necessary</w:t>
      </w:r>
      <w:r w:rsidR="00607646" w:rsidRPr="00A13470">
        <w:rPr>
          <w:rFonts w:ascii="Times New Roman" w:eastAsia="Times New Roman" w:hAnsi="Times New Roman" w:cs="Times New Roman"/>
          <w:sz w:val="24"/>
          <w:szCs w:val="24"/>
        </w:rPr>
        <w:t>.</w:t>
      </w:r>
      <w:r w:rsidR="007503AF" w:rsidRPr="00A13470">
        <w:rPr>
          <w:rFonts w:ascii="Times New Roman" w:eastAsia="Times New Roman" w:hAnsi="Times New Roman" w:cs="Times New Roman"/>
          <w:sz w:val="24"/>
          <w:szCs w:val="24"/>
        </w:rPr>
        <w:t xml:space="preserve"> </w:t>
      </w:r>
      <w:r w:rsidR="007503AF" w:rsidRPr="00DF2669">
        <w:rPr>
          <w:rFonts w:ascii="Times New Roman" w:eastAsia="Times New Roman" w:hAnsi="Times New Roman" w:cs="Times New Roman"/>
          <w:i/>
          <w:iCs/>
          <w:sz w:val="24"/>
          <w:szCs w:val="24"/>
        </w:rPr>
        <w:t>See</w:t>
      </w:r>
      <w:r w:rsidR="007503AF" w:rsidRPr="00A13470">
        <w:rPr>
          <w:rFonts w:ascii="Times New Roman" w:eastAsia="Times New Roman" w:hAnsi="Times New Roman" w:cs="Times New Roman"/>
          <w:i/>
          <w:iCs/>
          <w:sz w:val="24"/>
          <w:szCs w:val="24"/>
        </w:rPr>
        <w:t xml:space="preserve"> </w:t>
      </w:r>
      <w:r w:rsidR="007503AF" w:rsidRPr="00A13470">
        <w:rPr>
          <w:rFonts w:ascii="Times New Roman" w:eastAsia="Times New Roman" w:hAnsi="Times New Roman" w:cs="Times New Roman"/>
          <w:sz w:val="24"/>
          <w:szCs w:val="24"/>
        </w:rPr>
        <w:t>F</w:t>
      </w:r>
      <w:r w:rsidR="00D3401F" w:rsidRPr="00A13470">
        <w:rPr>
          <w:rFonts w:ascii="Times New Roman" w:eastAsia="Times New Roman" w:hAnsi="Times New Roman" w:cs="Times New Roman"/>
          <w:sz w:val="24"/>
          <w:szCs w:val="24"/>
        </w:rPr>
        <w:t xml:space="preserve">ederal </w:t>
      </w:r>
      <w:r w:rsidR="007503AF" w:rsidRPr="00A13470">
        <w:rPr>
          <w:rFonts w:ascii="Times New Roman" w:eastAsia="Times New Roman" w:hAnsi="Times New Roman" w:cs="Times New Roman"/>
          <w:sz w:val="24"/>
          <w:szCs w:val="24"/>
        </w:rPr>
        <w:t>R</w:t>
      </w:r>
      <w:r w:rsidR="00D3401F" w:rsidRPr="00A13470">
        <w:rPr>
          <w:rFonts w:ascii="Times New Roman" w:eastAsia="Times New Roman" w:hAnsi="Times New Roman" w:cs="Times New Roman"/>
          <w:sz w:val="24"/>
          <w:szCs w:val="24"/>
        </w:rPr>
        <w:t xml:space="preserve">ules of </w:t>
      </w:r>
      <w:r w:rsidR="007503AF" w:rsidRPr="00A13470">
        <w:rPr>
          <w:rFonts w:ascii="Times New Roman" w:eastAsia="Times New Roman" w:hAnsi="Times New Roman" w:cs="Times New Roman"/>
          <w:sz w:val="24"/>
          <w:szCs w:val="24"/>
        </w:rPr>
        <w:t>E</w:t>
      </w:r>
      <w:r w:rsidR="00D3401F" w:rsidRPr="00A13470">
        <w:rPr>
          <w:rFonts w:ascii="Times New Roman" w:eastAsia="Times New Roman" w:hAnsi="Times New Roman" w:cs="Times New Roman"/>
          <w:sz w:val="24"/>
          <w:szCs w:val="24"/>
        </w:rPr>
        <w:t>vidence rule</w:t>
      </w:r>
      <w:r w:rsidR="000A4623" w:rsidRPr="00A13470">
        <w:rPr>
          <w:rFonts w:ascii="Times New Roman" w:eastAsia="Times New Roman" w:hAnsi="Times New Roman" w:cs="Times New Roman"/>
          <w:sz w:val="24"/>
          <w:szCs w:val="24"/>
        </w:rPr>
        <w:t xml:space="preserve"> 605 </w:t>
      </w:r>
      <w:r w:rsidR="00D3401F" w:rsidRPr="00A13470">
        <w:rPr>
          <w:rFonts w:ascii="Times New Roman" w:eastAsia="Times New Roman" w:hAnsi="Times New Roman" w:cs="Times New Roman"/>
          <w:sz w:val="24"/>
          <w:szCs w:val="24"/>
        </w:rPr>
        <w:t>(</w:t>
      </w:r>
      <w:r w:rsidR="007503AF" w:rsidRPr="00A13470">
        <w:rPr>
          <w:rFonts w:ascii="Times New Roman" w:eastAsia="Times New Roman" w:hAnsi="Times New Roman" w:cs="Times New Roman"/>
          <w:sz w:val="24"/>
          <w:szCs w:val="24"/>
        </w:rPr>
        <w:t>Judge’s Competency as a Witness</w:t>
      </w:r>
      <w:r w:rsidR="000A4623" w:rsidRPr="00A13470">
        <w:rPr>
          <w:rFonts w:ascii="Times New Roman" w:eastAsia="Times New Roman" w:hAnsi="Times New Roman" w:cs="Times New Roman"/>
          <w:sz w:val="24"/>
          <w:szCs w:val="24"/>
        </w:rPr>
        <w:t>)</w:t>
      </w:r>
      <w:r w:rsidR="005E402F" w:rsidRPr="00A13470">
        <w:rPr>
          <w:rFonts w:ascii="Times New Roman" w:eastAsia="Times New Roman" w:hAnsi="Times New Roman" w:cs="Times New Roman"/>
          <w:sz w:val="24"/>
          <w:szCs w:val="24"/>
        </w:rPr>
        <w:t>, which reads:</w:t>
      </w:r>
      <w:r w:rsidR="000A4623" w:rsidRPr="00A13470">
        <w:rPr>
          <w:rFonts w:ascii="Times New Roman" w:eastAsia="Times New Roman" w:hAnsi="Times New Roman" w:cs="Times New Roman"/>
          <w:sz w:val="24"/>
          <w:szCs w:val="24"/>
        </w:rPr>
        <w:t xml:space="preserve"> “T</w:t>
      </w:r>
      <w:r w:rsidR="007503AF" w:rsidRPr="00A13470">
        <w:rPr>
          <w:rFonts w:ascii="Times New Roman" w:eastAsia="Times New Roman" w:hAnsi="Times New Roman" w:cs="Times New Roman"/>
          <w:sz w:val="24"/>
          <w:szCs w:val="24"/>
        </w:rPr>
        <w:t>he presiding judge may not testify as a witness at the trial. A party need not object to preserve the issue.</w:t>
      </w:r>
      <w:r w:rsidR="000A4623" w:rsidRPr="00A13470">
        <w:rPr>
          <w:rFonts w:ascii="Times New Roman" w:eastAsia="Times New Roman" w:hAnsi="Times New Roman" w:cs="Times New Roman"/>
          <w:sz w:val="24"/>
          <w:szCs w:val="24"/>
        </w:rPr>
        <w:t>”</w:t>
      </w:r>
    </w:p>
    <w:sectPr w:rsidR="007503AF" w:rsidRPr="00A13470" w:rsidSect="0021511A">
      <w:pgSz w:w="12240" w:h="15840"/>
      <w:pgMar w:top="1440" w:right="216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620C7"/>
    <w:rsid w:val="000025ED"/>
    <w:rsid w:val="0002783C"/>
    <w:rsid w:val="000A39AF"/>
    <w:rsid w:val="000A3CB6"/>
    <w:rsid w:val="000A4623"/>
    <w:rsid w:val="00133AE9"/>
    <w:rsid w:val="00155A8E"/>
    <w:rsid w:val="00163CA4"/>
    <w:rsid w:val="00170863"/>
    <w:rsid w:val="001E61AA"/>
    <w:rsid w:val="0021511A"/>
    <w:rsid w:val="00233A61"/>
    <w:rsid w:val="00254815"/>
    <w:rsid w:val="00271926"/>
    <w:rsid w:val="0035184C"/>
    <w:rsid w:val="003E2309"/>
    <w:rsid w:val="00405C45"/>
    <w:rsid w:val="00461A09"/>
    <w:rsid w:val="00470075"/>
    <w:rsid w:val="005E402F"/>
    <w:rsid w:val="00607646"/>
    <w:rsid w:val="00645A0A"/>
    <w:rsid w:val="006660F1"/>
    <w:rsid w:val="006C54AB"/>
    <w:rsid w:val="006D3D1C"/>
    <w:rsid w:val="006E6169"/>
    <w:rsid w:val="006F6B73"/>
    <w:rsid w:val="007503AF"/>
    <w:rsid w:val="008F4156"/>
    <w:rsid w:val="009E6219"/>
    <w:rsid w:val="00A13470"/>
    <w:rsid w:val="00A136F4"/>
    <w:rsid w:val="00A401A3"/>
    <w:rsid w:val="00A45C6C"/>
    <w:rsid w:val="00A620C7"/>
    <w:rsid w:val="00A675BB"/>
    <w:rsid w:val="00A8549A"/>
    <w:rsid w:val="00AD48FC"/>
    <w:rsid w:val="00AD6916"/>
    <w:rsid w:val="00B2129E"/>
    <w:rsid w:val="00B25DF5"/>
    <w:rsid w:val="00C470C4"/>
    <w:rsid w:val="00CB2DB4"/>
    <w:rsid w:val="00D3401F"/>
    <w:rsid w:val="00D63436"/>
    <w:rsid w:val="00DD4448"/>
    <w:rsid w:val="00DE6723"/>
    <w:rsid w:val="00DF2669"/>
    <w:rsid w:val="00E81F8D"/>
    <w:rsid w:val="00EC6DD9"/>
    <w:rsid w:val="00ED291C"/>
    <w:rsid w:val="00F65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7540A"/>
  <w15:chartTrackingRefBased/>
  <w15:docId w15:val="{BD0E0B0C-524F-4035-BAB3-38849D275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before="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0C7"/>
    <w:pPr>
      <w:spacing w:before="0"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uiPriority w:val="99"/>
    <w:rsid w:val="006F6B73"/>
  </w:style>
  <w:style w:type="paragraph" w:styleId="Index1">
    <w:name w:val="index 1"/>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Index2">
    <w:name w:val="index 2"/>
    <w:basedOn w:val="Normal"/>
    <w:next w:val="Normal"/>
    <w:uiPriority w:val="99"/>
    <w:rsid w:val="006F6B73"/>
    <w:pPr>
      <w:tabs>
        <w:tab w:val="right" w:leader="dot" w:pos="9360"/>
      </w:tabs>
      <w:suppressAutoHyphens/>
      <w:spacing w:line="240" w:lineRule="atLeast"/>
      <w:ind w:left="720"/>
    </w:pPr>
    <w:rPr>
      <w:rFonts w:eastAsia="Times New Roman"/>
    </w:rPr>
  </w:style>
  <w:style w:type="paragraph" w:styleId="TOC1">
    <w:name w:val="toc 1"/>
    <w:basedOn w:val="Normal"/>
    <w:next w:val="Normal"/>
    <w:uiPriority w:val="99"/>
    <w:rsid w:val="006F6B73"/>
    <w:pPr>
      <w:tabs>
        <w:tab w:val="right" w:leader="dot" w:pos="9360"/>
      </w:tabs>
      <w:suppressAutoHyphens/>
      <w:spacing w:before="480" w:line="240" w:lineRule="atLeast"/>
      <w:ind w:left="720" w:right="720" w:hanging="720"/>
    </w:pPr>
    <w:rPr>
      <w:rFonts w:eastAsia="Times New Roman"/>
    </w:rPr>
  </w:style>
  <w:style w:type="paragraph" w:styleId="TOC2">
    <w:name w:val="toc 2"/>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3">
    <w:name w:val="toc 3"/>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4">
    <w:name w:val="toc 4"/>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5">
    <w:name w:val="toc 5"/>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6">
    <w:name w:val="toc 6"/>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7">
    <w:name w:val="toc 7"/>
    <w:basedOn w:val="Normal"/>
    <w:next w:val="Normal"/>
    <w:uiPriority w:val="99"/>
    <w:rsid w:val="006F6B73"/>
    <w:pPr>
      <w:suppressAutoHyphens/>
      <w:spacing w:line="240" w:lineRule="atLeast"/>
      <w:ind w:left="720" w:hanging="720"/>
    </w:pPr>
    <w:rPr>
      <w:rFonts w:eastAsia="Times New Roman"/>
    </w:rPr>
  </w:style>
  <w:style w:type="paragraph" w:styleId="TOC8">
    <w:name w:val="toc 8"/>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9">
    <w:name w:val="toc 9"/>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FootnoteText">
    <w:name w:val="footnote text"/>
    <w:basedOn w:val="Normal"/>
    <w:link w:val="FootnoteTextChar"/>
    <w:uiPriority w:val="99"/>
    <w:rsid w:val="006F6B73"/>
    <w:rPr>
      <w:rFonts w:eastAsia="Times New Roman"/>
    </w:rPr>
  </w:style>
  <w:style w:type="character" w:customStyle="1" w:styleId="FootnoteTextChar">
    <w:name w:val="Footnote Text Char"/>
    <w:link w:val="FootnoteText"/>
    <w:uiPriority w:val="99"/>
    <w:rsid w:val="006F6B73"/>
    <w:rPr>
      <w:rFonts w:ascii="Courier New" w:eastAsia="Times New Roman" w:hAnsi="Courier New" w:cs="Courier New"/>
      <w:sz w:val="24"/>
      <w:szCs w:val="24"/>
    </w:rPr>
  </w:style>
  <w:style w:type="paragraph" w:styleId="Header">
    <w:name w:val="header"/>
    <w:basedOn w:val="Normal"/>
    <w:link w:val="HeaderChar"/>
    <w:uiPriority w:val="99"/>
    <w:unhideWhenUsed/>
    <w:rsid w:val="006F6B73"/>
    <w:pPr>
      <w:tabs>
        <w:tab w:val="center" w:pos="4680"/>
        <w:tab w:val="right" w:pos="9360"/>
      </w:tabs>
    </w:pPr>
    <w:rPr>
      <w:rFonts w:eastAsia="Times New Roman"/>
    </w:rPr>
  </w:style>
  <w:style w:type="character" w:customStyle="1" w:styleId="HeaderChar">
    <w:name w:val="Header Char"/>
    <w:link w:val="Header"/>
    <w:uiPriority w:val="99"/>
    <w:rsid w:val="006F6B73"/>
    <w:rPr>
      <w:rFonts w:ascii="Courier New" w:eastAsia="Times New Roman" w:hAnsi="Courier New" w:cs="Courier New"/>
      <w:sz w:val="20"/>
      <w:szCs w:val="20"/>
    </w:rPr>
  </w:style>
  <w:style w:type="paragraph" w:styleId="Footer">
    <w:name w:val="footer"/>
    <w:basedOn w:val="Normal"/>
    <w:link w:val="FooterChar"/>
    <w:uiPriority w:val="99"/>
    <w:unhideWhenUsed/>
    <w:rsid w:val="006F6B73"/>
    <w:pPr>
      <w:tabs>
        <w:tab w:val="center" w:pos="4680"/>
        <w:tab w:val="right" w:pos="9360"/>
      </w:tabs>
    </w:pPr>
    <w:rPr>
      <w:rFonts w:eastAsia="Times New Roman"/>
    </w:rPr>
  </w:style>
  <w:style w:type="character" w:customStyle="1" w:styleId="FooterChar">
    <w:name w:val="Footer Char"/>
    <w:link w:val="Footer"/>
    <w:uiPriority w:val="99"/>
    <w:rsid w:val="006F6B73"/>
    <w:rPr>
      <w:rFonts w:ascii="Courier New" w:eastAsia="Times New Roman" w:hAnsi="Courier New" w:cs="Courier New"/>
      <w:sz w:val="20"/>
      <w:szCs w:val="20"/>
    </w:rPr>
  </w:style>
  <w:style w:type="paragraph" w:styleId="Caption">
    <w:name w:val="caption"/>
    <w:basedOn w:val="Normal"/>
    <w:next w:val="Normal"/>
    <w:uiPriority w:val="99"/>
    <w:qFormat/>
    <w:rsid w:val="006F6B73"/>
    <w:rPr>
      <w:rFonts w:eastAsia="Times New Roman"/>
    </w:rPr>
  </w:style>
  <w:style w:type="character" w:styleId="FootnoteReference">
    <w:name w:val="footnote reference"/>
    <w:uiPriority w:val="99"/>
    <w:rsid w:val="006F6B73"/>
    <w:rPr>
      <w:vertAlign w:val="superscript"/>
    </w:rPr>
  </w:style>
  <w:style w:type="character" w:styleId="EndnoteReference">
    <w:name w:val="endnote reference"/>
    <w:uiPriority w:val="99"/>
    <w:rsid w:val="006F6B73"/>
    <w:rPr>
      <w:vertAlign w:val="superscript"/>
    </w:rPr>
  </w:style>
  <w:style w:type="paragraph" w:styleId="EndnoteText">
    <w:name w:val="endnote text"/>
    <w:basedOn w:val="Normal"/>
    <w:link w:val="EndnoteTextChar"/>
    <w:uiPriority w:val="99"/>
    <w:rsid w:val="006F6B73"/>
    <w:rPr>
      <w:rFonts w:eastAsia="Times New Roman"/>
    </w:rPr>
  </w:style>
  <w:style w:type="character" w:customStyle="1" w:styleId="EndnoteTextChar">
    <w:name w:val="Endnote Text Char"/>
    <w:link w:val="EndnoteText"/>
    <w:uiPriority w:val="99"/>
    <w:rsid w:val="006F6B73"/>
    <w:rPr>
      <w:rFonts w:ascii="Courier New" w:eastAsia="Times New Roman" w:hAnsi="Courier New" w:cs="Courier New"/>
      <w:sz w:val="24"/>
      <w:szCs w:val="24"/>
    </w:rPr>
  </w:style>
  <w:style w:type="paragraph" w:styleId="TOAHeading">
    <w:name w:val="toa heading"/>
    <w:basedOn w:val="Normal"/>
    <w:next w:val="Normal"/>
    <w:uiPriority w:val="99"/>
    <w:rsid w:val="006F6B73"/>
    <w:pPr>
      <w:tabs>
        <w:tab w:val="right" w:pos="9360"/>
      </w:tabs>
      <w:suppressAutoHyphens/>
      <w:spacing w:line="240" w:lineRule="atLeas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721320">
      <w:bodyDiv w:val="1"/>
      <w:marLeft w:val="0"/>
      <w:marRight w:val="0"/>
      <w:marTop w:val="0"/>
      <w:marBottom w:val="0"/>
      <w:divBdr>
        <w:top w:val="none" w:sz="0" w:space="0" w:color="auto"/>
        <w:left w:val="none" w:sz="0" w:space="0" w:color="auto"/>
        <w:bottom w:val="none" w:sz="0" w:space="0" w:color="auto"/>
        <w:right w:val="none" w:sz="0" w:space="0" w:color="auto"/>
      </w:divBdr>
      <w:divsChild>
        <w:div w:id="2030258940">
          <w:marLeft w:val="0"/>
          <w:marRight w:val="0"/>
          <w:marTop w:val="0"/>
          <w:marBottom w:val="0"/>
          <w:divBdr>
            <w:top w:val="none" w:sz="0" w:space="0" w:color="auto"/>
            <w:left w:val="none" w:sz="0" w:space="0" w:color="auto"/>
            <w:bottom w:val="none" w:sz="0" w:space="0" w:color="auto"/>
            <w:right w:val="none" w:sz="0" w:space="0" w:color="auto"/>
          </w:divBdr>
          <w:divsChild>
            <w:div w:id="130174874">
              <w:marLeft w:val="0"/>
              <w:marRight w:val="0"/>
              <w:marTop w:val="0"/>
              <w:marBottom w:val="0"/>
              <w:divBdr>
                <w:top w:val="none" w:sz="0" w:space="0" w:color="auto"/>
                <w:left w:val="none" w:sz="0" w:space="0" w:color="auto"/>
                <w:bottom w:val="none" w:sz="0" w:space="0" w:color="auto"/>
                <w:right w:val="none" w:sz="0" w:space="0" w:color="auto"/>
              </w:divBdr>
              <w:divsChild>
                <w:div w:id="84876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120556">
      <w:bodyDiv w:val="1"/>
      <w:marLeft w:val="0"/>
      <w:marRight w:val="0"/>
      <w:marTop w:val="0"/>
      <w:marBottom w:val="0"/>
      <w:divBdr>
        <w:top w:val="none" w:sz="0" w:space="0" w:color="auto"/>
        <w:left w:val="none" w:sz="0" w:space="0" w:color="auto"/>
        <w:bottom w:val="none" w:sz="0" w:space="0" w:color="auto"/>
        <w:right w:val="none" w:sz="0" w:space="0" w:color="auto"/>
      </w:divBdr>
      <w:divsChild>
        <w:div w:id="659046584">
          <w:marLeft w:val="0"/>
          <w:marRight w:val="0"/>
          <w:marTop w:val="0"/>
          <w:marBottom w:val="0"/>
          <w:divBdr>
            <w:top w:val="none" w:sz="0" w:space="0" w:color="auto"/>
            <w:left w:val="none" w:sz="0" w:space="0" w:color="auto"/>
            <w:bottom w:val="none" w:sz="0" w:space="0" w:color="auto"/>
            <w:right w:val="none" w:sz="0" w:space="0" w:color="auto"/>
          </w:divBdr>
          <w:divsChild>
            <w:div w:id="1517422757">
              <w:marLeft w:val="0"/>
              <w:marRight w:val="0"/>
              <w:marTop w:val="0"/>
              <w:marBottom w:val="0"/>
              <w:divBdr>
                <w:top w:val="none" w:sz="0" w:space="0" w:color="auto"/>
                <w:left w:val="none" w:sz="0" w:space="0" w:color="auto"/>
                <w:bottom w:val="none" w:sz="0" w:space="0" w:color="auto"/>
                <w:right w:val="none" w:sz="0" w:space="0" w:color="auto"/>
              </w:divBdr>
              <w:divsChild>
                <w:div w:id="51793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44</cp:revision>
  <dcterms:created xsi:type="dcterms:W3CDTF">2022-05-15T22:20:00Z</dcterms:created>
  <dcterms:modified xsi:type="dcterms:W3CDTF">2024-01-06T20:46:00Z</dcterms:modified>
</cp:coreProperties>
</file>