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3AD9F" w14:textId="65F97042" w:rsidR="00CE309A" w:rsidRPr="00221C89" w:rsidRDefault="00CE309A" w:rsidP="00CE66C6">
      <w:pPr>
        <w:spacing w:after="0" w:line="240" w:lineRule="auto"/>
        <w:ind w:right="720"/>
        <w:jc w:val="both"/>
        <w:rPr>
          <w:rFonts w:ascii="Times New Roman" w:eastAsia="Times New Roman" w:hAnsi="Times New Roman" w:cs="Times New Roman"/>
          <w:b/>
          <w:bCs/>
          <w:sz w:val="28"/>
          <w:szCs w:val="28"/>
        </w:rPr>
      </w:pPr>
      <w:bookmarkStart w:id="0" w:name="_Hlk45929577"/>
      <w:r w:rsidRPr="00221C89">
        <w:rPr>
          <w:rFonts w:ascii="Times New Roman" w:eastAsia="Times New Roman" w:hAnsi="Times New Roman" w:cs="Times New Roman"/>
          <w:b/>
          <w:bCs/>
          <w:sz w:val="28"/>
          <w:szCs w:val="28"/>
        </w:rPr>
        <w:t>6.</w:t>
      </w:r>
      <w:r w:rsidR="005C7742" w:rsidRPr="00221C89">
        <w:rPr>
          <w:rFonts w:ascii="Times New Roman" w:eastAsia="Times New Roman" w:hAnsi="Times New Roman" w:cs="Times New Roman"/>
          <w:b/>
          <w:bCs/>
          <w:sz w:val="28"/>
          <w:szCs w:val="28"/>
        </w:rPr>
        <w:t>02</w:t>
      </w:r>
      <w:r w:rsidR="00347739" w:rsidRPr="00221C89">
        <w:rPr>
          <w:rFonts w:ascii="Times New Roman" w:eastAsia="Times New Roman" w:hAnsi="Times New Roman" w:cs="Times New Roman"/>
          <w:b/>
          <w:bCs/>
          <w:sz w:val="28"/>
          <w:szCs w:val="28"/>
        </w:rPr>
        <w:t>.1</w:t>
      </w:r>
      <w:r w:rsidRPr="00221C89">
        <w:rPr>
          <w:rFonts w:ascii="Times New Roman" w:eastAsia="Times New Roman" w:hAnsi="Times New Roman" w:cs="Times New Roman"/>
          <w:b/>
          <w:bCs/>
          <w:sz w:val="28"/>
          <w:szCs w:val="28"/>
        </w:rPr>
        <w:t xml:space="preserve"> </w:t>
      </w:r>
      <w:r w:rsidR="00432A5E" w:rsidRPr="00221C89">
        <w:rPr>
          <w:rFonts w:ascii="Times New Roman" w:eastAsia="Times New Roman" w:hAnsi="Times New Roman" w:cs="Times New Roman"/>
          <w:b/>
          <w:bCs/>
          <w:sz w:val="28"/>
          <w:szCs w:val="28"/>
        </w:rPr>
        <w:t>Dead Man’s Statute--</w:t>
      </w:r>
      <w:r w:rsidRPr="00221C89">
        <w:rPr>
          <w:rFonts w:ascii="Times New Roman" w:eastAsia="Times New Roman" w:hAnsi="Times New Roman" w:cs="Times New Roman"/>
          <w:b/>
          <w:bCs/>
          <w:sz w:val="28"/>
          <w:szCs w:val="28"/>
        </w:rPr>
        <w:t>Incompetenc</w:t>
      </w:r>
      <w:r w:rsidR="005C7742" w:rsidRPr="00221C89">
        <w:rPr>
          <w:rFonts w:ascii="Times New Roman" w:eastAsia="Times New Roman" w:hAnsi="Times New Roman" w:cs="Times New Roman"/>
          <w:b/>
          <w:bCs/>
          <w:sz w:val="28"/>
          <w:szCs w:val="28"/>
        </w:rPr>
        <w:t>y</w:t>
      </w:r>
      <w:r w:rsidRPr="00221C89">
        <w:rPr>
          <w:rFonts w:ascii="Times New Roman" w:eastAsia="Times New Roman" w:hAnsi="Times New Roman" w:cs="Times New Roman"/>
          <w:b/>
          <w:bCs/>
          <w:sz w:val="28"/>
          <w:szCs w:val="28"/>
        </w:rPr>
        <w:t xml:space="preserve"> </w:t>
      </w:r>
      <w:r w:rsidR="00116BA4" w:rsidRPr="00221C89">
        <w:rPr>
          <w:rFonts w:ascii="Times New Roman" w:eastAsia="Times New Roman" w:hAnsi="Times New Roman" w:cs="Times New Roman"/>
          <w:b/>
          <w:bCs/>
          <w:sz w:val="28"/>
          <w:szCs w:val="28"/>
        </w:rPr>
        <w:t xml:space="preserve">of a Witness </w:t>
      </w:r>
      <w:r w:rsidRPr="00221C89">
        <w:rPr>
          <w:rFonts w:ascii="Times New Roman" w:eastAsia="Times New Roman" w:hAnsi="Times New Roman" w:cs="Times New Roman"/>
          <w:b/>
          <w:bCs/>
          <w:sz w:val="28"/>
          <w:szCs w:val="28"/>
        </w:rPr>
        <w:t xml:space="preserve">to </w:t>
      </w:r>
      <w:r w:rsidR="00EB6565" w:rsidRPr="00221C89">
        <w:rPr>
          <w:rFonts w:ascii="Times New Roman" w:eastAsia="Times New Roman" w:hAnsi="Times New Roman" w:cs="Times New Roman"/>
          <w:b/>
          <w:bCs/>
          <w:sz w:val="28"/>
          <w:szCs w:val="28"/>
        </w:rPr>
        <w:t xml:space="preserve">Testify </w:t>
      </w:r>
      <w:r w:rsidR="00B400D0" w:rsidRPr="00221C89">
        <w:rPr>
          <w:rFonts w:ascii="Times New Roman" w:eastAsia="Times New Roman" w:hAnsi="Times New Roman" w:cs="Times New Roman"/>
          <w:b/>
          <w:bCs/>
          <w:sz w:val="28"/>
          <w:szCs w:val="28"/>
        </w:rPr>
        <w:t xml:space="preserve">to </w:t>
      </w:r>
      <w:r w:rsidR="00116BA4" w:rsidRPr="00221C89">
        <w:rPr>
          <w:rFonts w:ascii="Times New Roman" w:eastAsia="Times New Roman" w:hAnsi="Times New Roman" w:cs="Times New Roman"/>
          <w:b/>
          <w:bCs/>
          <w:sz w:val="28"/>
          <w:szCs w:val="28"/>
        </w:rPr>
        <w:t xml:space="preserve">a </w:t>
      </w:r>
      <w:r w:rsidR="00D2316D" w:rsidRPr="00221C89">
        <w:rPr>
          <w:rFonts w:ascii="Times New Roman" w:eastAsia="Times New Roman" w:hAnsi="Times New Roman" w:cs="Times New Roman"/>
          <w:b/>
          <w:bCs/>
          <w:sz w:val="28"/>
          <w:szCs w:val="28"/>
        </w:rPr>
        <w:t>T</w:t>
      </w:r>
      <w:r w:rsidR="00B400D0" w:rsidRPr="00221C89">
        <w:rPr>
          <w:rFonts w:ascii="Times New Roman" w:eastAsia="Times New Roman" w:hAnsi="Times New Roman" w:cs="Times New Roman"/>
          <w:b/>
          <w:bCs/>
          <w:sz w:val="28"/>
          <w:szCs w:val="28"/>
        </w:rPr>
        <w:t xml:space="preserve">ransaction or </w:t>
      </w:r>
      <w:r w:rsidR="00D2316D" w:rsidRPr="00221C89">
        <w:rPr>
          <w:rFonts w:ascii="Times New Roman" w:eastAsia="Times New Roman" w:hAnsi="Times New Roman" w:cs="Times New Roman"/>
          <w:b/>
          <w:bCs/>
          <w:sz w:val="28"/>
          <w:szCs w:val="28"/>
        </w:rPr>
        <w:t>C</w:t>
      </w:r>
      <w:r w:rsidR="00B400D0" w:rsidRPr="00221C89">
        <w:rPr>
          <w:rFonts w:ascii="Times New Roman" w:eastAsia="Times New Roman" w:hAnsi="Times New Roman" w:cs="Times New Roman"/>
          <w:b/>
          <w:bCs/>
          <w:sz w:val="28"/>
          <w:szCs w:val="28"/>
        </w:rPr>
        <w:t>ommunication with a</w:t>
      </w:r>
      <w:r w:rsidR="00EB6565" w:rsidRPr="00221C89">
        <w:rPr>
          <w:rFonts w:ascii="Times New Roman" w:eastAsia="Times New Roman" w:hAnsi="Times New Roman" w:cs="Times New Roman"/>
          <w:b/>
          <w:bCs/>
          <w:sz w:val="28"/>
          <w:szCs w:val="28"/>
        </w:rPr>
        <w:t xml:space="preserve"> Deceased or Person</w:t>
      </w:r>
      <w:r w:rsidR="001F2238" w:rsidRPr="00221C89">
        <w:rPr>
          <w:rFonts w:ascii="Times New Roman" w:eastAsia="Times New Roman" w:hAnsi="Times New Roman" w:cs="Times New Roman"/>
          <w:b/>
          <w:bCs/>
          <w:sz w:val="28"/>
          <w:szCs w:val="28"/>
        </w:rPr>
        <w:t xml:space="preserve"> with a Mental Illness</w:t>
      </w:r>
      <w:r w:rsidR="00EB6565" w:rsidRPr="00221C89">
        <w:rPr>
          <w:rFonts w:ascii="Times New Roman" w:eastAsia="Times New Roman" w:hAnsi="Times New Roman" w:cs="Times New Roman"/>
          <w:b/>
          <w:bCs/>
          <w:sz w:val="28"/>
          <w:szCs w:val="28"/>
        </w:rPr>
        <w:t xml:space="preserve"> </w:t>
      </w:r>
      <w:r w:rsidR="001D4630" w:rsidRPr="00221C89">
        <w:rPr>
          <w:rFonts w:ascii="Times New Roman" w:eastAsia="Times New Roman" w:hAnsi="Times New Roman" w:cs="Times New Roman"/>
          <w:b/>
          <w:bCs/>
          <w:sz w:val="28"/>
          <w:szCs w:val="28"/>
        </w:rPr>
        <w:t>(</w:t>
      </w:r>
      <w:r w:rsidR="00287FA5" w:rsidRPr="00221C89">
        <w:rPr>
          <w:rFonts w:ascii="Times New Roman" w:eastAsia="Times New Roman" w:hAnsi="Times New Roman" w:cs="Times New Roman"/>
          <w:b/>
          <w:bCs/>
          <w:sz w:val="28"/>
          <w:szCs w:val="28"/>
        </w:rPr>
        <w:t>CPLR 4519</w:t>
      </w:r>
      <w:r w:rsidR="001D4630" w:rsidRPr="00221C89">
        <w:rPr>
          <w:rFonts w:ascii="Times New Roman" w:eastAsia="Times New Roman" w:hAnsi="Times New Roman" w:cs="Times New Roman"/>
          <w:b/>
          <w:bCs/>
          <w:sz w:val="28"/>
          <w:szCs w:val="28"/>
        </w:rPr>
        <w:t>)</w:t>
      </w:r>
    </w:p>
    <w:bookmarkEnd w:id="0"/>
    <w:p w14:paraId="57B19346" w14:textId="77777777" w:rsidR="00D2316D" w:rsidRPr="00221C89" w:rsidRDefault="00D2316D" w:rsidP="00CE66C6">
      <w:pPr>
        <w:spacing w:after="0" w:line="240" w:lineRule="auto"/>
        <w:ind w:right="720"/>
        <w:jc w:val="both"/>
        <w:rPr>
          <w:rFonts w:ascii="Times New Roman" w:eastAsia="Times New Roman" w:hAnsi="Times New Roman" w:cs="Times New Roman"/>
          <w:b/>
          <w:bCs/>
          <w:sz w:val="28"/>
          <w:szCs w:val="28"/>
        </w:rPr>
      </w:pPr>
    </w:p>
    <w:p w14:paraId="449601ED" w14:textId="2B861355" w:rsidR="003F7C18" w:rsidRPr="00221C89" w:rsidRDefault="00802CC4" w:rsidP="00CE66C6">
      <w:pPr>
        <w:spacing w:after="0" w:line="240" w:lineRule="auto"/>
        <w:ind w:left="720" w:right="720"/>
        <w:jc w:val="both"/>
        <w:rPr>
          <w:rFonts w:ascii="Times New Roman" w:eastAsia="Times New Roman" w:hAnsi="Times New Roman" w:cs="Times New Roman"/>
          <w:b/>
          <w:bCs/>
          <w:sz w:val="28"/>
          <w:szCs w:val="28"/>
        </w:rPr>
      </w:pPr>
      <w:r w:rsidRPr="00221C89">
        <w:rPr>
          <w:rFonts w:ascii="Times New Roman" w:eastAsia="Times New Roman" w:hAnsi="Times New Roman" w:cs="Times New Roman"/>
          <w:b/>
          <w:bCs/>
          <w:sz w:val="28"/>
          <w:szCs w:val="28"/>
        </w:rPr>
        <w:t>(</w:t>
      </w:r>
      <w:r w:rsidR="0061733B" w:rsidRPr="00221C89">
        <w:rPr>
          <w:rFonts w:ascii="Times New Roman" w:eastAsia="Times New Roman" w:hAnsi="Times New Roman" w:cs="Times New Roman"/>
          <w:b/>
          <w:bCs/>
          <w:sz w:val="28"/>
          <w:szCs w:val="28"/>
        </w:rPr>
        <w:t>1</w:t>
      </w:r>
      <w:r w:rsidRPr="00221C89">
        <w:rPr>
          <w:rFonts w:ascii="Times New Roman" w:eastAsia="Times New Roman" w:hAnsi="Times New Roman" w:cs="Times New Roman"/>
          <w:b/>
          <w:bCs/>
          <w:sz w:val="28"/>
          <w:szCs w:val="28"/>
        </w:rPr>
        <w:t>)</w:t>
      </w:r>
      <w:r w:rsidR="0061733B" w:rsidRPr="00221C89">
        <w:rPr>
          <w:rFonts w:ascii="Times New Roman" w:eastAsia="Times New Roman" w:hAnsi="Times New Roman" w:cs="Times New Roman"/>
          <w:b/>
          <w:bCs/>
          <w:sz w:val="28"/>
          <w:szCs w:val="28"/>
        </w:rPr>
        <w:t xml:space="preserve"> </w:t>
      </w:r>
      <w:r w:rsidR="00EF6649" w:rsidRPr="00221C89">
        <w:rPr>
          <w:rFonts w:ascii="Times New Roman" w:eastAsia="Times New Roman" w:hAnsi="Times New Roman" w:cs="Times New Roman"/>
          <w:b/>
          <w:bCs/>
          <w:sz w:val="28"/>
          <w:szCs w:val="28"/>
        </w:rPr>
        <w:t xml:space="preserve">Upon the trial of an action or the hearing upon the merits of a special proceeding, a party or a person interested in the event, or a person from, through or under whom such a party or interested person derives </w:t>
      </w:r>
      <w:r w:rsidR="00161B82" w:rsidRPr="00221C89">
        <w:rPr>
          <w:rFonts w:ascii="Times New Roman" w:eastAsia="Times New Roman" w:hAnsi="Times New Roman" w:cs="Times New Roman"/>
          <w:b/>
          <w:bCs/>
          <w:sz w:val="28"/>
          <w:szCs w:val="28"/>
        </w:rPr>
        <w:t xml:space="preserve">his [or her] </w:t>
      </w:r>
      <w:r w:rsidR="00EF6649" w:rsidRPr="00221C89">
        <w:rPr>
          <w:rFonts w:ascii="Times New Roman" w:eastAsia="Times New Roman" w:hAnsi="Times New Roman" w:cs="Times New Roman"/>
          <w:b/>
          <w:bCs/>
          <w:sz w:val="28"/>
          <w:szCs w:val="28"/>
        </w:rPr>
        <w:t xml:space="preserve"> interest or title by assignment or otherwise, shall not be examined as a witness in </w:t>
      </w:r>
      <w:r w:rsidR="00161B82" w:rsidRPr="00221C89">
        <w:rPr>
          <w:rFonts w:ascii="Times New Roman" w:eastAsia="Times New Roman" w:hAnsi="Times New Roman" w:cs="Times New Roman"/>
          <w:b/>
          <w:bCs/>
          <w:sz w:val="28"/>
          <w:szCs w:val="28"/>
        </w:rPr>
        <w:t xml:space="preserve">his [or her] </w:t>
      </w:r>
      <w:r w:rsidR="00EF6649" w:rsidRPr="00221C89">
        <w:rPr>
          <w:rFonts w:ascii="Times New Roman" w:eastAsia="Times New Roman" w:hAnsi="Times New Roman" w:cs="Times New Roman"/>
          <w:b/>
          <w:bCs/>
          <w:sz w:val="28"/>
          <w:szCs w:val="28"/>
        </w:rPr>
        <w:t xml:space="preserve"> own behalf or interest, or in behalf of the party succeeding to </w:t>
      </w:r>
      <w:r w:rsidR="00161B82" w:rsidRPr="00221C89">
        <w:rPr>
          <w:rFonts w:ascii="Times New Roman" w:eastAsia="Times New Roman" w:hAnsi="Times New Roman" w:cs="Times New Roman"/>
          <w:b/>
          <w:bCs/>
          <w:sz w:val="28"/>
          <w:szCs w:val="28"/>
        </w:rPr>
        <w:t xml:space="preserve">his [or her] </w:t>
      </w:r>
      <w:r w:rsidR="00EF6649" w:rsidRPr="00221C89">
        <w:rPr>
          <w:rFonts w:ascii="Times New Roman" w:eastAsia="Times New Roman" w:hAnsi="Times New Roman" w:cs="Times New Roman"/>
          <w:b/>
          <w:bCs/>
          <w:sz w:val="28"/>
          <w:szCs w:val="28"/>
        </w:rPr>
        <w:t xml:space="preserve"> title or interest against the executor, administrator or survivor of a deceased person or the committee of a  person</w:t>
      </w:r>
      <w:r w:rsidR="00892142" w:rsidRPr="00221C89">
        <w:rPr>
          <w:rFonts w:ascii="Times New Roman" w:eastAsia="Times New Roman" w:hAnsi="Times New Roman" w:cs="Times New Roman"/>
          <w:b/>
          <w:bCs/>
          <w:sz w:val="28"/>
          <w:szCs w:val="28"/>
        </w:rPr>
        <w:t xml:space="preserve"> </w:t>
      </w:r>
      <w:bookmarkStart w:id="1" w:name="_Hlk78887414"/>
      <w:r w:rsidR="00892142" w:rsidRPr="00221C89">
        <w:rPr>
          <w:rFonts w:ascii="Times New Roman" w:eastAsia="Times New Roman" w:hAnsi="Times New Roman" w:cs="Times New Roman"/>
          <w:b/>
          <w:bCs/>
          <w:sz w:val="28"/>
          <w:szCs w:val="28"/>
        </w:rPr>
        <w:t>with a mental illness</w:t>
      </w:r>
      <w:bookmarkEnd w:id="1"/>
      <w:r w:rsidR="00EF6649" w:rsidRPr="00221C89">
        <w:rPr>
          <w:rFonts w:ascii="Times New Roman" w:eastAsia="Times New Roman" w:hAnsi="Times New Roman" w:cs="Times New Roman"/>
          <w:b/>
          <w:bCs/>
          <w:sz w:val="28"/>
          <w:szCs w:val="28"/>
        </w:rPr>
        <w:t xml:space="preserve">, or a person deriving </w:t>
      </w:r>
      <w:r w:rsidR="00161B82" w:rsidRPr="00221C89">
        <w:rPr>
          <w:rFonts w:ascii="Times New Roman" w:eastAsia="Times New Roman" w:hAnsi="Times New Roman" w:cs="Times New Roman"/>
          <w:b/>
          <w:bCs/>
          <w:sz w:val="28"/>
          <w:szCs w:val="28"/>
        </w:rPr>
        <w:t xml:space="preserve">his [or her] </w:t>
      </w:r>
      <w:r w:rsidR="00EF6649" w:rsidRPr="00221C89">
        <w:rPr>
          <w:rFonts w:ascii="Times New Roman" w:eastAsia="Times New Roman" w:hAnsi="Times New Roman" w:cs="Times New Roman"/>
          <w:b/>
          <w:bCs/>
          <w:sz w:val="28"/>
          <w:szCs w:val="28"/>
        </w:rPr>
        <w:t xml:space="preserve"> title or interest from, through or under a deceased person or  person</w:t>
      </w:r>
      <w:r w:rsidR="00262E7A" w:rsidRPr="00221C89">
        <w:rPr>
          <w:rFonts w:ascii="Times New Roman" w:eastAsia="Times New Roman" w:hAnsi="Times New Roman" w:cs="Times New Roman"/>
          <w:b/>
          <w:bCs/>
          <w:sz w:val="28"/>
          <w:szCs w:val="28"/>
        </w:rPr>
        <w:t xml:space="preserve"> with a mental illness</w:t>
      </w:r>
      <w:r w:rsidR="000C0775" w:rsidRPr="00221C89">
        <w:rPr>
          <w:rFonts w:ascii="Times New Roman" w:eastAsia="Times New Roman" w:hAnsi="Times New Roman" w:cs="Times New Roman"/>
          <w:b/>
          <w:bCs/>
          <w:sz w:val="28"/>
          <w:szCs w:val="28"/>
        </w:rPr>
        <w:t>,</w:t>
      </w:r>
      <w:r w:rsidR="00EF6649" w:rsidRPr="00221C89">
        <w:rPr>
          <w:rFonts w:ascii="Times New Roman" w:eastAsia="Times New Roman" w:hAnsi="Times New Roman" w:cs="Times New Roman"/>
          <w:b/>
          <w:bCs/>
          <w:sz w:val="28"/>
          <w:szCs w:val="28"/>
        </w:rPr>
        <w:t xml:space="preserve"> by assignment or otherwise, concerning a personal transaction or communication between the witness and the deceased person or  person</w:t>
      </w:r>
      <w:r w:rsidR="00262E7A" w:rsidRPr="00221C89">
        <w:rPr>
          <w:rFonts w:ascii="Times New Roman" w:eastAsia="Times New Roman" w:hAnsi="Times New Roman" w:cs="Times New Roman"/>
          <w:b/>
          <w:bCs/>
          <w:sz w:val="28"/>
          <w:szCs w:val="28"/>
        </w:rPr>
        <w:t xml:space="preserve"> with a mental illness</w:t>
      </w:r>
      <w:r w:rsidR="00EF6649" w:rsidRPr="00221C89">
        <w:rPr>
          <w:rFonts w:ascii="Times New Roman" w:eastAsia="Times New Roman" w:hAnsi="Times New Roman" w:cs="Times New Roman"/>
          <w:b/>
          <w:bCs/>
          <w:sz w:val="28"/>
          <w:szCs w:val="28"/>
        </w:rPr>
        <w:t xml:space="preserve">, except where the executor, administrator, survivor, committee or person so deriving title or interest is examined in </w:t>
      </w:r>
      <w:r w:rsidR="00161B82" w:rsidRPr="00221C89">
        <w:rPr>
          <w:rFonts w:ascii="Times New Roman" w:eastAsia="Times New Roman" w:hAnsi="Times New Roman" w:cs="Times New Roman"/>
          <w:b/>
          <w:bCs/>
          <w:sz w:val="28"/>
          <w:szCs w:val="28"/>
        </w:rPr>
        <w:t xml:space="preserve">his [or her] </w:t>
      </w:r>
      <w:r w:rsidR="00EF6649" w:rsidRPr="00221C89">
        <w:rPr>
          <w:rFonts w:ascii="Times New Roman" w:eastAsia="Times New Roman" w:hAnsi="Times New Roman" w:cs="Times New Roman"/>
          <w:b/>
          <w:bCs/>
          <w:sz w:val="28"/>
          <w:szCs w:val="28"/>
        </w:rPr>
        <w:t xml:space="preserve"> own behalf, or the testimony of the person </w:t>
      </w:r>
      <w:r w:rsidR="00262E7A" w:rsidRPr="00221C89">
        <w:rPr>
          <w:rFonts w:ascii="Times New Roman" w:eastAsia="Times New Roman" w:hAnsi="Times New Roman" w:cs="Times New Roman"/>
          <w:b/>
          <w:bCs/>
          <w:sz w:val="28"/>
          <w:szCs w:val="28"/>
        </w:rPr>
        <w:t xml:space="preserve">with a mental illness </w:t>
      </w:r>
      <w:r w:rsidR="00EF6649" w:rsidRPr="00221C89">
        <w:rPr>
          <w:rFonts w:ascii="Times New Roman" w:eastAsia="Times New Roman" w:hAnsi="Times New Roman" w:cs="Times New Roman"/>
          <w:b/>
          <w:bCs/>
          <w:sz w:val="28"/>
          <w:szCs w:val="28"/>
        </w:rPr>
        <w:t xml:space="preserve">or deceased person is given in evidence, concerning the same transaction or communication. </w:t>
      </w:r>
    </w:p>
    <w:p w14:paraId="0073621B" w14:textId="77777777" w:rsidR="003F7C18" w:rsidRPr="00221C89" w:rsidRDefault="003F7C18" w:rsidP="00CE66C6">
      <w:pPr>
        <w:spacing w:after="0" w:line="240" w:lineRule="auto"/>
        <w:ind w:right="432"/>
        <w:jc w:val="both"/>
        <w:rPr>
          <w:rFonts w:ascii="Times New Roman" w:eastAsia="Times New Roman" w:hAnsi="Times New Roman" w:cs="Times New Roman"/>
          <w:b/>
          <w:bCs/>
          <w:sz w:val="28"/>
          <w:szCs w:val="28"/>
        </w:rPr>
      </w:pPr>
    </w:p>
    <w:p w14:paraId="23555DEE" w14:textId="029B3992" w:rsidR="003F7C18" w:rsidRPr="00221C89" w:rsidRDefault="00802CC4" w:rsidP="00CE66C6">
      <w:pPr>
        <w:spacing w:after="0" w:line="240" w:lineRule="auto"/>
        <w:ind w:left="720" w:right="720"/>
        <w:jc w:val="both"/>
        <w:rPr>
          <w:rFonts w:ascii="Times New Roman" w:eastAsia="Times New Roman" w:hAnsi="Times New Roman" w:cs="Times New Roman"/>
          <w:b/>
          <w:bCs/>
          <w:sz w:val="28"/>
          <w:szCs w:val="28"/>
        </w:rPr>
      </w:pPr>
      <w:r w:rsidRPr="00221C89">
        <w:rPr>
          <w:rFonts w:ascii="Times New Roman" w:eastAsia="Times New Roman" w:hAnsi="Times New Roman" w:cs="Times New Roman"/>
          <w:b/>
          <w:bCs/>
          <w:sz w:val="28"/>
          <w:szCs w:val="28"/>
        </w:rPr>
        <w:t>(</w:t>
      </w:r>
      <w:r w:rsidR="0061733B" w:rsidRPr="00221C89">
        <w:rPr>
          <w:rFonts w:ascii="Times New Roman" w:eastAsia="Times New Roman" w:hAnsi="Times New Roman" w:cs="Times New Roman"/>
          <w:b/>
          <w:bCs/>
          <w:sz w:val="28"/>
          <w:szCs w:val="28"/>
        </w:rPr>
        <w:t>2</w:t>
      </w:r>
      <w:r w:rsidRPr="00221C89">
        <w:rPr>
          <w:rFonts w:ascii="Times New Roman" w:eastAsia="Times New Roman" w:hAnsi="Times New Roman" w:cs="Times New Roman"/>
          <w:b/>
          <w:bCs/>
          <w:sz w:val="28"/>
          <w:szCs w:val="28"/>
        </w:rPr>
        <w:t>)</w:t>
      </w:r>
      <w:r w:rsidR="0061733B" w:rsidRPr="00221C89">
        <w:rPr>
          <w:rFonts w:ascii="Times New Roman" w:eastAsia="Times New Roman" w:hAnsi="Times New Roman" w:cs="Times New Roman"/>
          <w:b/>
          <w:bCs/>
          <w:sz w:val="28"/>
          <w:szCs w:val="28"/>
        </w:rPr>
        <w:t xml:space="preserve"> </w:t>
      </w:r>
      <w:r w:rsidR="00EF6649" w:rsidRPr="00221C89">
        <w:rPr>
          <w:rFonts w:ascii="Times New Roman" w:eastAsia="Times New Roman" w:hAnsi="Times New Roman" w:cs="Times New Roman"/>
          <w:b/>
          <w:bCs/>
          <w:sz w:val="28"/>
          <w:szCs w:val="28"/>
        </w:rPr>
        <w:t xml:space="preserve">A person shall not be deemed interested for the purposes of this section by reason of being a stockholder or officer of any banking corporation which is a party to the action or proceeding, or interested in the event thereof. </w:t>
      </w:r>
    </w:p>
    <w:p w14:paraId="53A353D4" w14:textId="77777777" w:rsidR="003F7C18" w:rsidRPr="00221C89" w:rsidRDefault="003F7C18" w:rsidP="00CE66C6">
      <w:pPr>
        <w:spacing w:after="0" w:line="240" w:lineRule="auto"/>
        <w:ind w:right="432"/>
        <w:jc w:val="both"/>
        <w:rPr>
          <w:rFonts w:ascii="Times New Roman" w:eastAsia="Times New Roman" w:hAnsi="Times New Roman" w:cs="Times New Roman"/>
          <w:b/>
          <w:bCs/>
          <w:sz w:val="28"/>
          <w:szCs w:val="28"/>
        </w:rPr>
      </w:pPr>
    </w:p>
    <w:p w14:paraId="46D45EB2" w14:textId="0B34810C" w:rsidR="003F7C18" w:rsidRPr="00221C89" w:rsidRDefault="00802CC4" w:rsidP="00CE66C6">
      <w:pPr>
        <w:spacing w:after="0" w:line="240" w:lineRule="auto"/>
        <w:ind w:left="720" w:right="720"/>
        <w:jc w:val="both"/>
        <w:rPr>
          <w:rFonts w:ascii="Times New Roman" w:eastAsia="Times New Roman" w:hAnsi="Times New Roman" w:cs="Times New Roman"/>
          <w:b/>
          <w:bCs/>
          <w:sz w:val="28"/>
          <w:szCs w:val="28"/>
        </w:rPr>
      </w:pPr>
      <w:r w:rsidRPr="00221C89">
        <w:rPr>
          <w:rFonts w:ascii="Times New Roman" w:eastAsia="Times New Roman" w:hAnsi="Times New Roman" w:cs="Times New Roman"/>
          <w:b/>
          <w:bCs/>
          <w:sz w:val="28"/>
          <w:szCs w:val="28"/>
        </w:rPr>
        <w:t>(</w:t>
      </w:r>
      <w:r w:rsidR="0061733B" w:rsidRPr="00221C89">
        <w:rPr>
          <w:rFonts w:ascii="Times New Roman" w:eastAsia="Times New Roman" w:hAnsi="Times New Roman" w:cs="Times New Roman"/>
          <w:b/>
          <w:bCs/>
          <w:sz w:val="28"/>
          <w:szCs w:val="28"/>
        </w:rPr>
        <w:t>3</w:t>
      </w:r>
      <w:r w:rsidRPr="00221C89">
        <w:rPr>
          <w:rFonts w:ascii="Times New Roman" w:eastAsia="Times New Roman" w:hAnsi="Times New Roman" w:cs="Times New Roman"/>
          <w:b/>
          <w:bCs/>
          <w:sz w:val="28"/>
          <w:szCs w:val="28"/>
        </w:rPr>
        <w:t>)</w:t>
      </w:r>
      <w:r w:rsidR="0061733B" w:rsidRPr="00221C89">
        <w:rPr>
          <w:rFonts w:ascii="Times New Roman" w:eastAsia="Times New Roman" w:hAnsi="Times New Roman" w:cs="Times New Roman"/>
          <w:b/>
          <w:bCs/>
          <w:sz w:val="28"/>
          <w:szCs w:val="28"/>
        </w:rPr>
        <w:t xml:space="preserve"> </w:t>
      </w:r>
      <w:r w:rsidR="00EF6649" w:rsidRPr="00221C89">
        <w:rPr>
          <w:rFonts w:ascii="Times New Roman" w:eastAsia="Times New Roman" w:hAnsi="Times New Roman" w:cs="Times New Roman"/>
          <w:b/>
          <w:bCs/>
          <w:sz w:val="28"/>
          <w:szCs w:val="28"/>
        </w:rPr>
        <w:t xml:space="preserve">No party or person interested in the event, who is otherwise competent to testify, shall be disqualified from testifying by the possible imposition of costs against him or the award of costs to him. </w:t>
      </w:r>
    </w:p>
    <w:p w14:paraId="606C4C8C" w14:textId="77777777" w:rsidR="003F7C18" w:rsidRPr="00221C89" w:rsidRDefault="003F7C18" w:rsidP="00CE66C6">
      <w:pPr>
        <w:spacing w:after="0" w:line="240" w:lineRule="auto"/>
        <w:ind w:right="432"/>
        <w:jc w:val="both"/>
        <w:rPr>
          <w:rFonts w:ascii="Times New Roman" w:eastAsia="Times New Roman" w:hAnsi="Times New Roman" w:cs="Times New Roman"/>
          <w:b/>
          <w:bCs/>
          <w:sz w:val="28"/>
          <w:szCs w:val="28"/>
        </w:rPr>
      </w:pPr>
    </w:p>
    <w:p w14:paraId="12EA97C0" w14:textId="0A819805" w:rsidR="00EF6649" w:rsidRPr="00221C89" w:rsidRDefault="00802CC4" w:rsidP="00CE66C6">
      <w:pPr>
        <w:spacing w:after="0" w:line="240" w:lineRule="auto"/>
        <w:ind w:left="720" w:right="720"/>
        <w:jc w:val="both"/>
        <w:rPr>
          <w:rFonts w:ascii="Times New Roman" w:eastAsia="Times New Roman" w:hAnsi="Times New Roman" w:cs="Times New Roman"/>
          <w:b/>
          <w:bCs/>
          <w:sz w:val="28"/>
          <w:szCs w:val="28"/>
        </w:rPr>
      </w:pPr>
      <w:r w:rsidRPr="00221C89">
        <w:rPr>
          <w:rFonts w:ascii="Times New Roman" w:eastAsia="Times New Roman" w:hAnsi="Times New Roman" w:cs="Times New Roman"/>
          <w:b/>
          <w:bCs/>
          <w:sz w:val="28"/>
          <w:szCs w:val="28"/>
        </w:rPr>
        <w:t>(</w:t>
      </w:r>
      <w:r w:rsidR="0061733B" w:rsidRPr="00221C89">
        <w:rPr>
          <w:rFonts w:ascii="Times New Roman" w:eastAsia="Times New Roman" w:hAnsi="Times New Roman" w:cs="Times New Roman"/>
          <w:b/>
          <w:bCs/>
          <w:sz w:val="28"/>
          <w:szCs w:val="28"/>
        </w:rPr>
        <w:t>4</w:t>
      </w:r>
      <w:r w:rsidRPr="00221C89">
        <w:rPr>
          <w:rFonts w:ascii="Times New Roman" w:eastAsia="Times New Roman" w:hAnsi="Times New Roman" w:cs="Times New Roman"/>
          <w:b/>
          <w:bCs/>
          <w:sz w:val="28"/>
          <w:szCs w:val="28"/>
        </w:rPr>
        <w:t>)</w:t>
      </w:r>
      <w:r w:rsidR="0061733B" w:rsidRPr="00221C89">
        <w:rPr>
          <w:rFonts w:ascii="Times New Roman" w:eastAsia="Times New Roman" w:hAnsi="Times New Roman" w:cs="Times New Roman"/>
          <w:b/>
          <w:bCs/>
          <w:sz w:val="28"/>
          <w:szCs w:val="28"/>
        </w:rPr>
        <w:t xml:space="preserve"> </w:t>
      </w:r>
      <w:bookmarkStart w:id="2" w:name="_Hlk48594430"/>
      <w:r w:rsidR="00EF6649" w:rsidRPr="00221C89">
        <w:rPr>
          <w:rFonts w:ascii="Times New Roman" w:eastAsia="Times New Roman" w:hAnsi="Times New Roman" w:cs="Times New Roman"/>
          <w:b/>
          <w:bCs/>
          <w:sz w:val="28"/>
          <w:szCs w:val="28"/>
        </w:rPr>
        <w:t xml:space="preserve">A party or person interested in the event or </w:t>
      </w:r>
      <w:r w:rsidR="000E6E95" w:rsidRPr="00221C89">
        <w:rPr>
          <w:rFonts w:ascii="Times New Roman" w:eastAsia="Times New Roman" w:hAnsi="Times New Roman" w:cs="Times New Roman"/>
          <w:b/>
          <w:bCs/>
          <w:sz w:val="28"/>
          <w:szCs w:val="28"/>
        </w:rPr>
        <w:t>a</w:t>
      </w:r>
      <w:r w:rsidR="00EF6649" w:rsidRPr="00221C89">
        <w:rPr>
          <w:rFonts w:ascii="Times New Roman" w:eastAsia="Times New Roman" w:hAnsi="Times New Roman" w:cs="Times New Roman"/>
          <w:b/>
          <w:bCs/>
          <w:sz w:val="28"/>
          <w:szCs w:val="28"/>
        </w:rPr>
        <w:t xml:space="preserve"> person from, through or under whom such a party or interested person derives </w:t>
      </w:r>
      <w:r w:rsidR="00161B82" w:rsidRPr="00221C89">
        <w:rPr>
          <w:rFonts w:ascii="Times New Roman" w:eastAsia="Times New Roman" w:hAnsi="Times New Roman" w:cs="Times New Roman"/>
          <w:b/>
          <w:bCs/>
          <w:sz w:val="28"/>
          <w:szCs w:val="28"/>
        </w:rPr>
        <w:t xml:space="preserve">his [or her] </w:t>
      </w:r>
      <w:r w:rsidR="00EF6649" w:rsidRPr="00221C89">
        <w:rPr>
          <w:rFonts w:ascii="Times New Roman" w:eastAsia="Times New Roman" w:hAnsi="Times New Roman" w:cs="Times New Roman"/>
          <w:b/>
          <w:bCs/>
          <w:sz w:val="28"/>
          <w:szCs w:val="28"/>
        </w:rPr>
        <w:t xml:space="preserve"> interest or title </w:t>
      </w:r>
      <w:r w:rsidR="00EF6649" w:rsidRPr="00221C89">
        <w:rPr>
          <w:rFonts w:ascii="Times New Roman" w:eastAsia="Times New Roman" w:hAnsi="Times New Roman" w:cs="Times New Roman"/>
          <w:b/>
          <w:bCs/>
          <w:sz w:val="28"/>
          <w:szCs w:val="28"/>
        </w:rPr>
        <w:lastRenderedPageBreak/>
        <w:t xml:space="preserve">by assignment or otherwise, shall not be qualified for the purposes of this section, to testify in </w:t>
      </w:r>
      <w:r w:rsidR="00161B82" w:rsidRPr="00221C89">
        <w:rPr>
          <w:rFonts w:ascii="Times New Roman" w:eastAsia="Times New Roman" w:hAnsi="Times New Roman" w:cs="Times New Roman"/>
          <w:b/>
          <w:bCs/>
          <w:sz w:val="28"/>
          <w:szCs w:val="28"/>
        </w:rPr>
        <w:t xml:space="preserve">his [or her] </w:t>
      </w:r>
      <w:r w:rsidR="00EF6649" w:rsidRPr="00221C89">
        <w:rPr>
          <w:rFonts w:ascii="Times New Roman" w:eastAsia="Times New Roman" w:hAnsi="Times New Roman" w:cs="Times New Roman"/>
          <w:b/>
          <w:bCs/>
          <w:sz w:val="28"/>
          <w:szCs w:val="28"/>
        </w:rPr>
        <w:t xml:space="preserve"> own behalf or interest, or in behalf of the party succeeding to </w:t>
      </w:r>
      <w:r w:rsidR="00161B82" w:rsidRPr="00221C89">
        <w:rPr>
          <w:rFonts w:ascii="Times New Roman" w:eastAsia="Times New Roman" w:hAnsi="Times New Roman" w:cs="Times New Roman"/>
          <w:b/>
          <w:bCs/>
          <w:sz w:val="28"/>
          <w:szCs w:val="28"/>
        </w:rPr>
        <w:t xml:space="preserve">his [or her] </w:t>
      </w:r>
      <w:r w:rsidR="00EF6649" w:rsidRPr="00221C89">
        <w:rPr>
          <w:rFonts w:ascii="Times New Roman" w:eastAsia="Times New Roman" w:hAnsi="Times New Roman" w:cs="Times New Roman"/>
          <w:b/>
          <w:bCs/>
          <w:sz w:val="28"/>
          <w:szCs w:val="28"/>
        </w:rPr>
        <w:t xml:space="preserve"> title or interest, to personal transactions or communications with the donee of a power of appointment in an action or proceeding for the probate of a will, which exercises or attempts to exercise a power of appointment granted by the will of a donor of such power, or in an action or proceeding involving the construction of the will of the donee after its admission to probate.</w:t>
      </w:r>
    </w:p>
    <w:bookmarkEnd w:id="2"/>
    <w:p w14:paraId="6C0BC6F5" w14:textId="77777777" w:rsidR="00186DB3" w:rsidRPr="00221C89" w:rsidRDefault="00186DB3" w:rsidP="00CE66C6">
      <w:pPr>
        <w:spacing w:after="0" w:line="240" w:lineRule="auto"/>
        <w:ind w:right="432"/>
        <w:jc w:val="both"/>
        <w:rPr>
          <w:rFonts w:ascii="Times New Roman" w:eastAsia="Times New Roman" w:hAnsi="Times New Roman" w:cs="Times New Roman"/>
          <w:b/>
          <w:bCs/>
          <w:sz w:val="28"/>
          <w:szCs w:val="28"/>
        </w:rPr>
      </w:pPr>
    </w:p>
    <w:p w14:paraId="31683C82" w14:textId="6C2E0381" w:rsidR="00EB49BD" w:rsidRPr="00221C89" w:rsidRDefault="00802CC4" w:rsidP="00CE66C6">
      <w:pPr>
        <w:spacing w:after="0" w:line="240" w:lineRule="auto"/>
        <w:ind w:left="720" w:right="720"/>
        <w:jc w:val="both"/>
        <w:rPr>
          <w:rFonts w:ascii="Times New Roman" w:eastAsia="Times New Roman" w:hAnsi="Times New Roman" w:cs="Times New Roman"/>
          <w:b/>
          <w:bCs/>
          <w:sz w:val="28"/>
          <w:szCs w:val="28"/>
        </w:rPr>
      </w:pPr>
      <w:r w:rsidRPr="00221C89">
        <w:rPr>
          <w:rFonts w:ascii="Times New Roman" w:eastAsia="Times New Roman" w:hAnsi="Times New Roman" w:cs="Times New Roman"/>
          <w:b/>
          <w:bCs/>
          <w:sz w:val="28"/>
          <w:szCs w:val="28"/>
        </w:rPr>
        <w:t>(</w:t>
      </w:r>
      <w:r w:rsidR="0061733B" w:rsidRPr="00221C89">
        <w:rPr>
          <w:rFonts w:ascii="Times New Roman" w:eastAsia="Times New Roman" w:hAnsi="Times New Roman" w:cs="Times New Roman"/>
          <w:b/>
          <w:bCs/>
          <w:sz w:val="28"/>
          <w:szCs w:val="28"/>
        </w:rPr>
        <w:t>5</w:t>
      </w:r>
      <w:r w:rsidRPr="00221C89">
        <w:rPr>
          <w:rFonts w:ascii="Times New Roman" w:eastAsia="Times New Roman" w:hAnsi="Times New Roman" w:cs="Times New Roman"/>
          <w:b/>
          <w:bCs/>
          <w:sz w:val="28"/>
          <w:szCs w:val="28"/>
        </w:rPr>
        <w:t>)</w:t>
      </w:r>
      <w:r w:rsidR="0061733B" w:rsidRPr="00221C89">
        <w:rPr>
          <w:rFonts w:ascii="Times New Roman" w:eastAsia="Times New Roman" w:hAnsi="Times New Roman" w:cs="Times New Roman"/>
          <w:b/>
          <w:bCs/>
          <w:sz w:val="28"/>
          <w:szCs w:val="28"/>
        </w:rPr>
        <w:t xml:space="preserve"> </w:t>
      </w:r>
      <w:r w:rsidR="00EF6649" w:rsidRPr="00221C89">
        <w:rPr>
          <w:rFonts w:ascii="Times New Roman" w:eastAsia="Times New Roman" w:hAnsi="Times New Roman" w:cs="Times New Roman"/>
          <w:b/>
          <w:bCs/>
          <w:sz w:val="28"/>
          <w:szCs w:val="28"/>
        </w:rPr>
        <w:t>Nothing contained in this section, however, shall render a person incompetent to testify as to the facts of an accident or the results therefrom where the proceeding, hearing, defense or cause of action involves a claim of negligence or contributory negligence in an action wherein one or more parties is the representative of a deceased or incompetent person based upon, or by reason of, the operation or ownership of a motor vehicle being operated upon the highways of the state, or the operation or ownership of aircraft being operated in the air space over the state, or the operation or ownership of a vessel on any of the lakes, rivers, streams, canals or other waters of this state, but this provision shall not be construed as permitting testimony as to conversations with the deceased.</w:t>
      </w:r>
    </w:p>
    <w:p w14:paraId="31B69FC3" w14:textId="461BC7F8" w:rsidR="00C40C6E" w:rsidRPr="00221C89" w:rsidRDefault="00C40C6E" w:rsidP="00CE66C6">
      <w:pPr>
        <w:spacing w:after="0" w:line="240" w:lineRule="auto"/>
        <w:ind w:right="432"/>
        <w:jc w:val="both"/>
        <w:rPr>
          <w:rFonts w:ascii="Times New Roman" w:eastAsia="Times New Roman" w:hAnsi="Times New Roman" w:cs="Times New Roman"/>
          <w:b/>
          <w:bCs/>
          <w:sz w:val="28"/>
          <w:szCs w:val="28"/>
        </w:rPr>
      </w:pPr>
    </w:p>
    <w:p w14:paraId="063A557B" w14:textId="4D0F85C1" w:rsidR="00EF6649" w:rsidRPr="00221C89" w:rsidRDefault="00EF6649" w:rsidP="00CE66C6">
      <w:pPr>
        <w:spacing w:after="0" w:line="240" w:lineRule="auto"/>
        <w:jc w:val="center"/>
        <w:rPr>
          <w:rFonts w:ascii="Times New Roman" w:eastAsia="Times New Roman" w:hAnsi="Times New Roman" w:cs="Times New Roman"/>
          <w:b/>
          <w:bCs/>
          <w:sz w:val="28"/>
          <w:szCs w:val="28"/>
        </w:rPr>
      </w:pPr>
      <w:r w:rsidRPr="00221C89">
        <w:rPr>
          <w:rFonts w:ascii="Times New Roman" w:eastAsia="Times New Roman" w:hAnsi="Times New Roman" w:cs="Times New Roman"/>
          <w:b/>
          <w:bCs/>
          <w:sz w:val="28"/>
          <w:szCs w:val="28"/>
        </w:rPr>
        <w:t>Note</w:t>
      </w:r>
    </w:p>
    <w:p w14:paraId="298F3079" w14:textId="77777777" w:rsidR="006801AE" w:rsidRPr="00221C89" w:rsidRDefault="006801AE" w:rsidP="00CE66C6">
      <w:pPr>
        <w:spacing w:after="0" w:line="240" w:lineRule="auto"/>
        <w:jc w:val="both"/>
        <w:rPr>
          <w:rFonts w:ascii="Times New Roman" w:hAnsi="Times New Roman" w:cs="Times New Roman"/>
          <w:sz w:val="24"/>
          <w:szCs w:val="24"/>
        </w:rPr>
      </w:pPr>
    </w:p>
    <w:p w14:paraId="75434E6C" w14:textId="6B51DF9F" w:rsidR="006801AE" w:rsidRPr="00221C89" w:rsidRDefault="00CE66C6" w:rsidP="00CE66C6">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6801AE" w:rsidRPr="00221C89">
        <w:rPr>
          <w:rFonts w:ascii="Times New Roman" w:hAnsi="Times New Roman" w:cs="Times New Roman"/>
          <w:sz w:val="24"/>
          <w:szCs w:val="24"/>
        </w:rPr>
        <w:t xml:space="preserve">This rule reproduces </w:t>
      </w:r>
      <w:bookmarkStart w:id="3" w:name="_Hlk50722383"/>
      <w:r w:rsidR="006801AE" w:rsidRPr="00221C89">
        <w:rPr>
          <w:rFonts w:ascii="Times New Roman" w:hAnsi="Times New Roman" w:cs="Times New Roman"/>
          <w:sz w:val="24"/>
          <w:szCs w:val="24"/>
        </w:rPr>
        <w:t>CPLR 4519</w:t>
      </w:r>
      <w:bookmarkEnd w:id="3"/>
      <w:r w:rsidR="006801AE" w:rsidRPr="00221C89">
        <w:rPr>
          <w:rFonts w:ascii="Times New Roman" w:hAnsi="Times New Roman" w:cs="Times New Roman"/>
          <w:sz w:val="24"/>
          <w:szCs w:val="24"/>
        </w:rPr>
        <w:t xml:space="preserve">, except </w:t>
      </w:r>
      <w:r w:rsidR="001D4630" w:rsidRPr="00221C89">
        <w:rPr>
          <w:rFonts w:ascii="Times New Roman" w:hAnsi="Times New Roman" w:cs="Times New Roman"/>
          <w:sz w:val="24"/>
          <w:szCs w:val="24"/>
        </w:rPr>
        <w:t xml:space="preserve">for </w:t>
      </w:r>
      <w:r w:rsidR="006801AE" w:rsidRPr="00221C89">
        <w:rPr>
          <w:rFonts w:ascii="Times New Roman" w:hAnsi="Times New Roman" w:cs="Times New Roman"/>
          <w:sz w:val="24"/>
          <w:szCs w:val="24"/>
        </w:rPr>
        <w:t>the</w:t>
      </w:r>
      <w:r w:rsidR="001D4630"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title of the statute (“Personal transaction or communication between witness and decedent or  person</w:t>
      </w:r>
      <w:r w:rsidR="00662E35" w:rsidRPr="00221C89">
        <w:rPr>
          <w:rFonts w:ascii="Times New Roman" w:hAnsi="Times New Roman" w:cs="Times New Roman"/>
          <w:sz w:val="24"/>
          <w:szCs w:val="24"/>
        </w:rPr>
        <w:t xml:space="preserve"> with mental illness</w:t>
      </w:r>
      <w:r w:rsidR="006801AE" w:rsidRPr="00221C89">
        <w:rPr>
          <w:rFonts w:ascii="Times New Roman" w:hAnsi="Times New Roman" w:cs="Times New Roman"/>
          <w:sz w:val="24"/>
          <w:szCs w:val="24"/>
        </w:rPr>
        <w:t>”)</w:t>
      </w:r>
      <w:r w:rsidR="0061733B" w:rsidRPr="00221C89">
        <w:rPr>
          <w:rFonts w:ascii="Times New Roman" w:hAnsi="Times New Roman" w:cs="Times New Roman"/>
          <w:sz w:val="24"/>
          <w:szCs w:val="24"/>
        </w:rPr>
        <w:t xml:space="preserve"> and the addition of subdivision numbers for easier reference.</w:t>
      </w:r>
      <w:r w:rsidR="00221C89">
        <w:rPr>
          <w:rFonts w:ascii="Times New Roman" w:hAnsi="Times New Roman" w:cs="Times New Roman"/>
          <w:sz w:val="24"/>
          <w:szCs w:val="24"/>
        </w:rPr>
        <w:t xml:space="preserve"> In 2021, the statue was amended to change the reference to “mentally ill person” to “person with a mental illness. L. 2021, ch. 351, effective </w:t>
      </w:r>
      <w:r w:rsidR="00F44641">
        <w:rPr>
          <w:rFonts w:ascii="Times New Roman" w:hAnsi="Times New Roman" w:cs="Times New Roman"/>
          <w:sz w:val="24"/>
          <w:szCs w:val="24"/>
        </w:rPr>
        <w:t>August 2</w:t>
      </w:r>
      <w:r w:rsidR="00221C89">
        <w:rPr>
          <w:rFonts w:ascii="Times New Roman" w:hAnsi="Times New Roman" w:cs="Times New Roman"/>
          <w:sz w:val="24"/>
          <w:szCs w:val="24"/>
        </w:rPr>
        <w:t>, 2021.</w:t>
      </w:r>
    </w:p>
    <w:p w14:paraId="4D18E1D6" w14:textId="77777777" w:rsidR="00CE66C6" w:rsidRPr="00221C89" w:rsidRDefault="00CE66C6" w:rsidP="00CE66C6">
      <w:pPr>
        <w:tabs>
          <w:tab w:val="left" w:pos="720"/>
        </w:tabs>
        <w:spacing w:after="0" w:line="240" w:lineRule="auto"/>
        <w:jc w:val="both"/>
        <w:rPr>
          <w:rFonts w:ascii="Times New Roman" w:hAnsi="Times New Roman" w:cs="Times New Roman"/>
          <w:sz w:val="24"/>
          <w:szCs w:val="24"/>
        </w:rPr>
      </w:pPr>
    </w:p>
    <w:p w14:paraId="3224757A" w14:textId="45723B20" w:rsidR="006801AE" w:rsidRPr="00221C89" w:rsidRDefault="00CE66C6" w:rsidP="00CE66C6">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6801AE" w:rsidRPr="00221C89">
        <w:rPr>
          <w:rFonts w:ascii="Times New Roman" w:hAnsi="Times New Roman" w:cs="Times New Roman"/>
          <w:sz w:val="24"/>
          <w:szCs w:val="24"/>
        </w:rPr>
        <w:t>The statute, known as the “Dead Man’s Statute</w:t>
      </w:r>
      <w:r w:rsidR="001B1239"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sets forth an exception to the general rule of competency described in Guide to New York Evidence </w:t>
      </w:r>
      <w:r w:rsidR="001D4630" w:rsidRPr="00221C89">
        <w:rPr>
          <w:rFonts w:ascii="Times New Roman" w:hAnsi="Times New Roman" w:cs="Times New Roman"/>
          <w:sz w:val="24"/>
          <w:szCs w:val="24"/>
        </w:rPr>
        <w:t>r</w:t>
      </w:r>
      <w:r w:rsidR="006801AE" w:rsidRPr="00221C89">
        <w:rPr>
          <w:rFonts w:ascii="Times New Roman" w:hAnsi="Times New Roman" w:cs="Times New Roman"/>
          <w:sz w:val="24"/>
          <w:szCs w:val="24"/>
        </w:rPr>
        <w:t>ule 6.01.  It provides, in substance, that a person</w:t>
      </w:r>
      <w:r w:rsidR="007009F9"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or party interested in the event</w:t>
      </w:r>
      <w:r w:rsidR="00BE34D3"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or</w:t>
      </w:r>
      <w:r w:rsidR="00FB3BE9"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predecessor in interest is incompetent to testify to a personal transaction or </w:t>
      </w:r>
      <w:r w:rsidR="006801AE" w:rsidRPr="00221C89">
        <w:rPr>
          <w:rFonts w:ascii="Times New Roman" w:hAnsi="Times New Roman" w:cs="Times New Roman"/>
          <w:sz w:val="24"/>
          <w:szCs w:val="24"/>
        </w:rPr>
        <w:lastRenderedPageBreak/>
        <w:t xml:space="preserve">communication with a deceased or person </w:t>
      </w:r>
      <w:r w:rsidR="00A4426F" w:rsidRPr="00221C89">
        <w:rPr>
          <w:rFonts w:ascii="Times New Roman" w:hAnsi="Times New Roman" w:cs="Times New Roman"/>
          <w:sz w:val="24"/>
          <w:szCs w:val="24"/>
        </w:rPr>
        <w:t xml:space="preserve">with mental illness </w:t>
      </w:r>
      <w:r w:rsidR="006801AE" w:rsidRPr="00221C89">
        <w:rPr>
          <w:rFonts w:ascii="Times New Roman" w:hAnsi="Times New Roman" w:cs="Times New Roman"/>
          <w:sz w:val="24"/>
          <w:szCs w:val="24"/>
        </w:rPr>
        <w:t>when such testimony is offered against the representative of the deceased or person</w:t>
      </w:r>
      <w:r w:rsidR="004E0D0B" w:rsidRPr="00221C89">
        <w:rPr>
          <w:rFonts w:ascii="Times New Roman" w:hAnsi="Times New Roman" w:cs="Times New Roman"/>
          <w:sz w:val="24"/>
          <w:szCs w:val="24"/>
        </w:rPr>
        <w:t xml:space="preserve"> with a mental illness</w:t>
      </w:r>
      <w:r w:rsidR="006801AE" w:rsidRPr="00221C89">
        <w:rPr>
          <w:rFonts w:ascii="Times New Roman" w:hAnsi="Times New Roman" w:cs="Times New Roman"/>
          <w:sz w:val="24"/>
          <w:szCs w:val="24"/>
        </w:rPr>
        <w:t xml:space="preserve">. </w:t>
      </w:r>
    </w:p>
    <w:p w14:paraId="027BD300" w14:textId="77777777" w:rsidR="00CE66C6" w:rsidRPr="00221C89" w:rsidRDefault="00CE66C6" w:rsidP="00CE66C6">
      <w:pPr>
        <w:tabs>
          <w:tab w:val="left" w:pos="720"/>
        </w:tabs>
        <w:spacing w:after="0" w:line="240" w:lineRule="auto"/>
        <w:jc w:val="both"/>
        <w:rPr>
          <w:rFonts w:ascii="Times New Roman" w:hAnsi="Times New Roman" w:cs="Times New Roman"/>
          <w:sz w:val="24"/>
          <w:szCs w:val="24"/>
        </w:rPr>
      </w:pPr>
    </w:p>
    <w:p w14:paraId="3BBBA70E" w14:textId="0CE91C59" w:rsidR="006801AE" w:rsidRPr="00221C89" w:rsidRDefault="00CE66C6" w:rsidP="00CE66C6">
      <w:pPr>
        <w:tabs>
          <w:tab w:val="left" w:pos="720"/>
        </w:tabs>
        <w:spacing w:after="0" w:line="240" w:lineRule="auto"/>
        <w:jc w:val="both"/>
        <w:rPr>
          <w:rFonts w:ascii="Times New Roman" w:eastAsia="Calibri" w:hAnsi="Times New Roman" w:cs="Times New Roman"/>
          <w:sz w:val="24"/>
          <w:szCs w:val="24"/>
        </w:rPr>
      </w:pPr>
      <w:r w:rsidRPr="00221C89">
        <w:rPr>
          <w:rFonts w:ascii="Times New Roman" w:eastAsia="Calibri" w:hAnsi="Times New Roman" w:cs="Times New Roman"/>
          <w:sz w:val="24"/>
          <w:szCs w:val="24"/>
        </w:rPr>
        <w:tab/>
      </w:r>
      <w:r w:rsidR="006801AE" w:rsidRPr="00221C89">
        <w:rPr>
          <w:rFonts w:ascii="Times New Roman" w:eastAsia="Calibri" w:hAnsi="Times New Roman" w:cs="Times New Roman"/>
          <w:sz w:val="24"/>
          <w:szCs w:val="24"/>
        </w:rPr>
        <w:t xml:space="preserve">As explained in </w:t>
      </w:r>
      <w:r w:rsidR="00746975" w:rsidRPr="00221C89">
        <w:rPr>
          <w:rFonts w:ascii="Times New Roman" w:eastAsia="Calibri" w:hAnsi="Times New Roman" w:cs="Times New Roman"/>
          <w:i/>
          <w:iCs/>
          <w:sz w:val="24"/>
          <w:szCs w:val="24"/>
        </w:rPr>
        <w:t>Matter of</w:t>
      </w:r>
      <w:r w:rsidR="006801AE" w:rsidRPr="00221C89">
        <w:rPr>
          <w:rFonts w:ascii="Times New Roman" w:eastAsia="Calibri" w:hAnsi="Times New Roman" w:cs="Times New Roman"/>
          <w:i/>
          <w:iCs/>
          <w:sz w:val="24"/>
          <w:szCs w:val="24"/>
        </w:rPr>
        <w:t xml:space="preserve"> Zalk</w:t>
      </w:r>
      <w:bookmarkStart w:id="4" w:name="_Hlk48518573"/>
      <w:r w:rsidR="00EA039D" w:rsidRPr="00221C89">
        <w:rPr>
          <w:rFonts w:ascii="Times New Roman" w:eastAsia="Calibri" w:hAnsi="Times New Roman" w:cs="Times New Roman"/>
          <w:sz w:val="24"/>
          <w:szCs w:val="24"/>
        </w:rPr>
        <w:t xml:space="preserve"> (</w:t>
      </w:r>
      <w:r w:rsidR="006801AE" w:rsidRPr="00221C89">
        <w:rPr>
          <w:rFonts w:ascii="Times New Roman" w:eastAsia="Calibri" w:hAnsi="Times New Roman" w:cs="Times New Roman"/>
          <w:sz w:val="24"/>
          <w:szCs w:val="24"/>
        </w:rPr>
        <w:t>10 NY3d 669</w:t>
      </w:r>
      <w:bookmarkEnd w:id="4"/>
      <w:r w:rsidR="006801AE" w:rsidRPr="00221C89">
        <w:rPr>
          <w:rFonts w:ascii="Times New Roman" w:eastAsia="Calibri" w:hAnsi="Times New Roman" w:cs="Times New Roman"/>
          <w:sz w:val="24"/>
          <w:szCs w:val="24"/>
        </w:rPr>
        <w:t>, 678-</w:t>
      </w:r>
      <w:r w:rsidR="001D4630" w:rsidRPr="00221C89">
        <w:rPr>
          <w:rFonts w:ascii="Times New Roman" w:eastAsia="Calibri" w:hAnsi="Times New Roman" w:cs="Times New Roman"/>
          <w:sz w:val="24"/>
          <w:szCs w:val="24"/>
        </w:rPr>
        <w:t>6</w:t>
      </w:r>
      <w:r w:rsidR="006801AE" w:rsidRPr="00221C89">
        <w:rPr>
          <w:rFonts w:ascii="Times New Roman" w:eastAsia="Calibri" w:hAnsi="Times New Roman" w:cs="Times New Roman"/>
          <w:sz w:val="24"/>
          <w:szCs w:val="24"/>
        </w:rPr>
        <w:t>79 [2008]</w:t>
      </w:r>
      <w:r w:rsidR="00EA039D" w:rsidRPr="00221C89">
        <w:rPr>
          <w:rFonts w:ascii="Times New Roman" w:eastAsia="Calibri" w:hAnsi="Times New Roman" w:cs="Times New Roman"/>
          <w:sz w:val="24"/>
          <w:szCs w:val="24"/>
        </w:rPr>
        <w:t>)</w:t>
      </w:r>
      <w:r w:rsidR="006801AE" w:rsidRPr="00221C89">
        <w:rPr>
          <w:rFonts w:ascii="Times New Roman" w:eastAsia="Calibri" w:hAnsi="Times New Roman" w:cs="Times New Roman"/>
          <w:sz w:val="24"/>
          <w:szCs w:val="24"/>
        </w:rPr>
        <w:t>:</w:t>
      </w:r>
    </w:p>
    <w:p w14:paraId="2904A6D8" w14:textId="77777777" w:rsidR="006801AE" w:rsidRPr="00221C89" w:rsidRDefault="006801AE" w:rsidP="00CE66C6">
      <w:pPr>
        <w:spacing w:after="0" w:line="240" w:lineRule="auto"/>
        <w:ind w:firstLine="720"/>
        <w:jc w:val="both"/>
        <w:rPr>
          <w:rFonts w:ascii="Times New Roman" w:eastAsia="Calibri" w:hAnsi="Times New Roman" w:cs="Times New Roman"/>
          <w:sz w:val="24"/>
          <w:szCs w:val="24"/>
        </w:rPr>
      </w:pPr>
    </w:p>
    <w:p w14:paraId="0D75C15D" w14:textId="37D3B075" w:rsidR="006801AE" w:rsidRPr="00221C89" w:rsidRDefault="006801AE" w:rsidP="00CE66C6">
      <w:pPr>
        <w:spacing w:after="0" w:line="240" w:lineRule="auto"/>
        <w:ind w:left="720" w:right="432"/>
        <w:jc w:val="both"/>
        <w:rPr>
          <w:rFonts w:ascii="Times New Roman" w:eastAsia="Calibri" w:hAnsi="Times New Roman" w:cs="Times New Roman"/>
          <w:sz w:val="24"/>
          <w:szCs w:val="24"/>
        </w:rPr>
      </w:pPr>
      <w:r w:rsidRPr="00221C89">
        <w:rPr>
          <w:rFonts w:ascii="Times New Roman" w:eastAsia="Calibri" w:hAnsi="Times New Roman" w:cs="Times New Roman"/>
          <w:sz w:val="24"/>
          <w:szCs w:val="24"/>
        </w:rPr>
        <w:t>“</w:t>
      </w:r>
      <w:r w:rsidR="001D4630" w:rsidRPr="00221C89">
        <w:rPr>
          <w:rFonts w:ascii="Times New Roman" w:eastAsia="Calibri" w:hAnsi="Times New Roman" w:cs="Times New Roman"/>
          <w:sz w:val="24"/>
          <w:szCs w:val="24"/>
        </w:rPr>
        <w:t xml:space="preserve"> </w:t>
      </w:r>
      <w:r w:rsidR="00777289" w:rsidRPr="00221C89">
        <w:rPr>
          <w:rFonts w:ascii="Times New Roman" w:eastAsia="Calibri" w:hAnsi="Times New Roman" w:cs="Times New Roman"/>
          <w:sz w:val="24"/>
          <w:szCs w:val="24"/>
        </w:rPr>
        <w:t>‘</w:t>
      </w:r>
      <w:r w:rsidRPr="00221C89">
        <w:rPr>
          <w:rFonts w:ascii="Times New Roman" w:eastAsia="Calibri" w:hAnsi="Times New Roman" w:cs="Times New Roman"/>
          <w:sz w:val="24"/>
          <w:szCs w:val="24"/>
        </w:rPr>
        <w:t>The rule of evidence popularly referred to as the Dead Man's Statute</w:t>
      </w:r>
      <w:r w:rsidR="00777289" w:rsidRPr="00221C89">
        <w:rPr>
          <w:rFonts w:ascii="Times New Roman" w:eastAsia="Calibri" w:hAnsi="Times New Roman" w:cs="Times New Roman"/>
          <w:sz w:val="24"/>
          <w:szCs w:val="24"/>
        </w:rPr>
        <w:t>’</w:t>
      </w:r>
      <w:r w:rsidRPr="00221C89">
        <w:rPr>
          <w:rFonts w:ascii="Times New Roman" w:eastAsia="Calibri" w:hAnsi="Times New Roman" w:cs="Times New Roman"/>
          <w:sz w:val="24"/>
          <w:szCs w:val="24"/>
        </w:rPr>
        <w:t xml:space="preserve"> was enacted by the New York Legislature in 1851,</w:t>
      </w:r>
      <w:r w:rsidR="007A6D94">
        <w:rPr>
          <w:rFonts w:ascii="Times New Roman" w:eastAsia="Calibri" w:hAnsi="Times New Roman" w:cs="Times New Roman"/>
          <w:sz w:val="24"/>
          <w:szCs w:val="24"/>
        </w:rPr>
        <w:t xml:space="preserve"> </w:t>
      </w:r>
      <w:r w:rsidRPr="00221C89">
        <w:rPr>
          <w:rFonts w:ascii="Times New Roman" w:eastAsia="Calibri" w:hAnsi="Times New Roman" w:cs="Times New Roman"/>
          <w:sz w:val="24"/>
          <w:szCs w:val="24"/>
        </w:rPr>
        <w:t>and is</w:t>
      </w:r>
      <w:r w:rsidR="0037652E" w:rsidRPr="00221C89">
        <w:rPr>
          <w:rFonts w:ascii="Times New Roman" w:eastAsia="Calibri" w:hAnsi="Times New Roman" w:cs="Times New Roman"/>
          <w:sz w:val="24"/>
          <w:szCs w:val="24"/>
        </w:rPr>
        <w:t xml:space="preserve"> </w:t>
      </w:r>
      <w:r w:rsidR="001468E8" w:rsidRPr="00221C89">
        <w:rPr>
          <w:rFonts w:ascii="Times New Roman" w:eastAsia="Calibri" w:hAnsi="Times New Roman" w:cs="Times New Roman"/>
          <w:sz w:val="24"/>
          <w:szCs w:val="24"/>
        </w:rPr>
        <w:t>‘</w:t>
      </w:r>
      <w:r w:rsidRPr="00221C89">
        <w:rPr>
          <w:rFonts w:ascii="Times New Roman" w:eastAsia="Calibri" w:hAnsi="Times New Roman" w:cs="Times New Roman"/>
          <w:sz w:val="24"/>
          <w:szCs w:val="24"/>
        </w:rPr>
        <w:t xml:space="preserve">widely considered to be the last vestige of the common-law rule which made all interested persons and parties incompetent to testify. After the general rule barring testimony from interested persons was abolished, a new rule was adopted to prevent the living from testifying to certain </w:t>
      </w:r>
      <w:r w:rsidR="001D4630" w:rsidRPr="00221C89">
        <w:rPr>
          <w:rFonts w:ascii="Times New Roman" w:eastAsia="Calibri" w:hAnsi="Times New Roman" w:cs="Times New Roman"/>
          <w:sz w:val="24"/>
          <w:szCs w:val="24"/>
        </w:rPr>
        <w:t>“</w:t>
      </w:r>
      <w:r w:rsidRPr="00221C89">
        <w:rPr>
          <w:rFonts w:ascii="Times New Roman" w:eastAsia="Calibri" w:hAnsi="Times New Roman" w:cs="Times New Roman"/>
          <w:sz w:val="24"/>
          <w:szCs w:val="24"/>
        </w:rPr>
        <w:t>personal transactions</w:t>
      </w:r>
      <w:r w:rsidR="001D4630" w:rsidRPr="00221C89">
        <w:rPr>
          <w:rFonts w:ascii="Times New Roman" w:eastAsia="Calibri" w:hAnsi="Times New Roman" w:cs="Times New Roman"/>
          <w:sz w:val="24"/>
          <w:szCs w:val="24"/>
        </w:rPr>
        <w:t>”</w:t>
      </w:r>
      <w:r w:rsidRPr="00221C89">
        <w:rPr>
          <w:rFonts w:ascii="Times New Roman" w:eastAsia="Calibri" w:hAnsi="Times New Roman" w:cs="Times New Roman"/>
          <w:sz w:val="24"/>
          <w:szCs w:val="24"/>
        </w:rPr>
        <w:t xml:space="preserve"> with the dead. One of the main purposes of the rule was to protect the estate of the deceased from claims of the living who, through their own perjury, could make factual assertions which the decedent could not refute in court</w:t>
      </w:r>
      <w:r w:rsidR="00E07F4D" w:rsidRPr="00221C89">
        <w:rPr>
          <w:rFonts w:ascii="Times New Roman" w:eastAsia="Calibri" w:hAnsi="Times New Roman" w:cs="Times New Roman"/>
          <w:sz w:val="24"/>
          <w:szCs w:val="24"/>
        </w:rPr>
        <w:t xml:space="preserve">’ </w:t>
      </w:r>
      <w:r w:rsidRPr="00221C89">
        <w:rPr>
          <w:rFonts w:ascii="Times New Roman" w:eastAsia="Calibri" w:hAnsi="Times New Roman" w:cs="Times New Roman"/>
          <w:sz w:val="24"/>
          <w:szCs w:val="24"/>
        </w:rPr>
        <w:t>(</w:t>
      </w:r>
      <w:r w:rsidRPr="00221C89">
        <w:rPr>
          <w:rFonts w:ascii="Times New Roman" w:eastAsia="Calibri" w:hAnsi="Times New Roman" w:cs="Times New Roman"/>
          <w:i/>
          <w:iCs/>
          <w:sz w:val="24"/>
          <w:szCs w:val="24"/>
        </w:rPr>
        <w:t>Matter of Wood</w:t>
      </w:r>
      <w:r w:rsidRPr="00221C89">
        <w:rPr>
          <w:rFonts w:ascii="Times New Roman" w:eastAsia="Calibri" w:hAnsi="Times New Roman" w:cs="Times New Roman"/>
          <w:iCs/>
          <w:sz w:val="24"/>
          <w:szCs w:val="24"/>
        </w:rPr>
        <w:t>,</w:t>
      </w:r>
      <w:r w:rsidRPr="00221C89">
        <w:rPr>
          <w:rFonts w:ascii="Times New Roman" w:eastAsia="Calibri" w:hAnsi="Times New Roman" w:cs="Times New Roman"/>
          <w:sz w:val="24"/>
          <w:szCs w:val="24"/>
        </w:rPr>
        <w:t xml:space="preserve"> 52 N</w:t>
      </w:r>
      <w:r w:rsidR="001D4630" w:rsidRPr="00221C89">
        <w:rPr>
          <w:rFonts w:ascii="Times New Roman" w:eastAsia="Calibri" w:hAnsi="Times New Roman" w:cs="Times New Roman"/>
          <w:sz w:val="24"/>
          <w:szCs w:val="24"/>
        </w:rPr>
        <w:t>Y</w:t>
      </w:r>
      <w:r w:rsidRPr="00221C89">
        <w:rPr>
          <w:rFonts w:ascii="Times New Roman" w:eastAsia="Calibri" w:hAnsi="Times New Roman" w:cs="Times New Roman"/>
          <w:sz w:val="24"/>
          <w:szCs w:val="24"/>
        </w:rPr>
        <w:t>2d 139, 143</w:t>
      </w:r>
      <w:r w:rsidR="001D4630" w:rsidRPr="00221C89">
        <w:rPr>
          <w:rFonts w:ascii="Times New Roman" w:eastAsia="Calibri" w:hAnsi="Times New Roman" w:cs="Times New Roman"/>
          <w:sz w:val="24"/>
          <w:szCs w:val="24"/>
        </w:rPr>
        <w:t>-</w:t>
      </w:r>
      <w:r w:rsidRPr="00221C89">
        <w:rPr>
          <w:rFonts w:ascii="Times New Roman" w:eastAsia="Calibri" w:hAnsi="Times New Roman" w:cs="Times New Roman"/>
          <w:sz w:val="24"/>
          <w:szCs w:val="24"/>
        </w:rPr>
        <w:t>144 [1981]</w:t>
      </w:r>
      <w:r w:rsidR="001D4630" w:rsidRPr="00221C89">
        <w:rPr>
          <w:rFonts w:ascii="Times New Roman" w:eastAsia="Calibri" w:hAnsi="Times New Roman" w:cs="Times New Roman"/>
          <w:sz w:val="24"/>
          <w:szCs w:val="24"/>
        </w:rPr>
        <w:t xml:space="preserve"> [citations omitted]</w:t>
      </w:r>
      <w:r w:rsidR="008308DF" w:rsidRPr="00221C89">
        <w:rPr>
          <w:rFonts w:ascii="Times New Roman" w:eastAsia="Calibri" w:hAnsi="Times New Roman" w:cs="Times New Roman"/>
          <w:sz w:val="24"/>
          <w:szCs w:val="24"/>
        </w:rPr>
        <w:t>)</w:t>
      </w:r>
      <w:r w:rsidR="00E07F4D" w:rsidRPr="00221C89">
        <w:rPr>
          <w:rFonts w:ascii="Times New Roman" w:eastAsia="Calibri" w:hAnsi="Times New Roman" w:cs="Times New Roman"/>
          <w:sz w:val="24"/>
          <w:szCs w:val="24"/>
        </w:rPr>
        <w:t>.</w:t>
      </w:r>
      <w:r w:rsidR="0015649F" w:rsidRPr="00221C89">
        <w:rPr>
          <w:rFonts w:ascii="Times New Roman" w:eastAsia="Calibri" w:hAnsi="Times New Roman" w:cs="Times New Roman"/>
          <w:sz w:val="24"/>
          <w:szCs w:val="24"/>
        </w:rPr>
        <w:t>”</w:t>
      </w:r>
    </w:p>
    <w:p w14:paraId="7E78573A" w14:textId="77777777" w:rsidR="00B62818" w:rsidRPr="00221C89" w:rsidRDefault="00B62818" w:rsidP="00CE66C6">
      <w:pPr>
        <w:spacing w:after="0" w:line="240" w:lineRule="auto"/>
        <w:jc w:val="both"/>
        <w:rPr>
          <w:rFonts w:ascii="Times New Roman" w:eastAsia="Calibri" w:hAnsi="Times New Roman" w:cs="Times New Roman"/>
          <w:sz w:val="24"/>
          <w:szCs w:val="24"/>
        </w:rPr>
      </w:pPr>
    </w:p>
    <w:p w14:paraId="68E9BDFE" w14:textId="7F4ACCAD" w:rsidR="004307C1" w:rsidRPr="00221C89" w:rsidRDefault="00CE66C6" w:rsidP="00CE66C6">
      <w:pPr>
        <w:tabs>
          <w:tab w:val="left" w:pos="720"/>
        </w:tabs>
        <w:spacing w:after="0" w:line="240" w:lineRule="auto"/>
        <w:jc w:val="both"/>
        <w:rPr>
          <w:rFonts w:ascii="Times New Roman" w:eastAsia="Calibri" w:hAnsi="Times New Roman" w:cs="Times New Roman"/>
          <w:sz w:val="24"/>
          <w:szCs w:val="24"/>
        </w:rPr>
      </w:pPr>
      <w:r w:rsidRPr="00221C89">
        <w:rPr>
          <w:rFonts w:ascii="Times New Roman" w:eastAsia="Calibri" w:hAnsi="Times New Roman" w:cs="Times New Roman"/>
          <w:sz w:val="24"/>
          <w:szCs w:val="24"/>
        </w:rPr>
        <w:tab/>
      </w:r>
      <w:r w:rsidR="006801AE" w:rsidRPr="00221C89">
        <w:rPr>
          <w:rFonts w:ascii="Times New Roman" w:eastAsia="Calibri" w:hAnsi="Times New Roman" w:cs="Times New Roman"/>
          <w:sz w:val="24"/>
          <w:szCs w:val="24"/>
        </w:rPr>
        <w:t>“Thus, when death or mental illness seals the lips of one of the parties to a transaction, the Dead Man's Statute seeks to achieve adversarial balance by sealing the lips of the surviving party.</w:t>
      </w:r>
      <w:r w:rsidR="00ED63D7" w:rsidRPr="00221C89">
        <w:rPr>
          <w:rFonts w:ascii="Times New Roman" w:eastAsia="Calibri" w:hAnsi="Times New Roman" w:cs="Times New Roman"/>
          <w:sz w:val="24"/>
          <w:szCs w:val="24"/>
        </w:rPr>
        <w:t xml:space="preserve"> </w:t>
      </w:r>
      <w:r w:rsidR="006801AE" w:rsidRPr="00221C89">
        <w:rPr>
          <w:rFonts w:ascii="Times New Roman" w:eastAsia="Calibri" w:hAnsi="Times New Roman" w:cs="Times New Roman"/>
          <w:sz w:val="24"/>
          <w:szCs w:val="24"/>
        </w:rPr>
        <w:t xml:space="preserve">Transactions or communications between the interested witness and the decedent or </w:t>
      </w:r>
      <w:r w:rsidR="0006732E">
        <w:rPr>
          <w:rFonts w:ascii="Times New Roman" w:eastAsia="Calibri" w:hAnsi="Times New Roman" w:cs="Times New Roman"/>
          <w:sz w:val="24"/>
          <w:szCs w:val="24"/>
        </w:rPr>
        <w:t xml:space="preserve">mentally ill </w:t>
      </w:r>
      <w:r w:rsidR="006801AE" w:rsidRPr="00221C89">
        <w:rPr>
          <w:rFonts w:ascii="Times New Roman" w:eastAsia="Calibri" w:hAnsi="Times New Roman" w:cs="Times New Roman"/>
          <w:sz w:val="24"/>
          <w:szCs w:val="24"/>
        </w:rPr>
        <w:t>person</w:t>
      </w:r>
      <w:r w:rsidR="00A4426F" w:rsidRPr="00221C89">
        <w:rPr>
          <w:rFonts w:ascii="Times New Roman" w:eastAsia="Calibri" w:hAnsi="Times New Roman" w:cs="Times New Roman"/>
          <w:sz w:val="24"/>
          <w:szCs w:val="24"/>
        </w:rPr>
        <w:t xml:space="preserve"> </w:t>
      </w:r>
      <w:r w:rsidR="006801AE" w:rsidRPr="00221C89">
        <w:rPr>
          <w:rFonts w:ascii="Times New Roman" w:eastAsia="Calibri" w:hAnsi="Times New Roman" w:cs="Times New Roman"/>
          <w:sz w:val="24"/>
          <w:szCs w:val="24"/>
        </w:rPr>
        <w:t xml:space="preserve">must therefore be proven by means other than the testimony of an interested witness, such as documentary evidence and the testimony of disinterested witnesses” </w:t>
      </w:r>
      <w:r w:rsidR="00EA039D" w:rsidRPr="00221C89">
        <w:rPr>
          <w:rFonts w:ascii="Times New Roman" w:eastAsia="Calibri" w:hAnsi="Times New Roman" w:cs="Times New Roman"/>
          <w:sz w:val="24"/>
          <w:szCs w:val="24"/>
        </w:rPr>
        <w:t>(</w:t>
      </w:r>
      <w:r w:rsidR="006801AE" w:rsidRPr="00221C89">
        <w:rPr>
          <w:rFonts w:ascii="Times New Roman" w:eastAsia="Calibri" w:hAnsi="Times New Roman" w:cs="Times New Roman"/>
          <w:sz w:val="24"/>
          <w:szCs w:val="24"/>
          <w:lang w:val="x-none"/>
        </w:rPr>
        <w:t xml:space="preserve">Vincent C. Alexander, Practice Commentaries, McKinney’s Cons Laws of NY, Book 7B, CPLR </w:t>
      </w:r>
      <w:r w:rsidR="00C92F26" w:rsidRPr="00221C89">
        <w:rPr>
          <w:rFonts w:ascii="Times New Roman" w:eastAsia="Calibri" w:hAnsi="Times New Roman" w:cs="Times New Roman"/>
          <w:sz w:val="24"/>
          <w:szCs w:val="24"/>
        </w:rPr>
        <w:t>C</w:t>
      </w:r>
      <w:r w:rsidR="006801AE" w:rsidRPr="00221C89">
        <w:rPr>
          <w:rFonts w:ascii="Times New Roman" w:eastAsia="Calibri" w:hAnsi="Times New Roman" w:cs="Times New Roman"/>
          <w:sz w:val="24"/>
          <w:szCs w:val="24"/>
        </w:rPr>
        <w:t>4519</w:t>
      </w:r>
      <w:r w:rsidR="00C92F26" w:rsidRPr="00221C89">
        <w:rPr>
          <w:rFonts w:ascii="Times New Roman" w:eastAsia="Calibri" w:hAnsi="Times New Roman" w:cs="Times New Roman"/>
          <w:sz w:val="24"/>
          <w:szCs w:val="24"/>
        </w:rPr>
        <w:t>:1</w:t>
      </w:r>
      <w:r w:rsidR="006801AE" w:rsidRPr="00221C89">
        <w:rPr>
          <w:rFonts w:ascii="Times New Roman" w:eastAsia="Calibri" w:hAnsi="Times New Roman" w:cs="Times New Roman"/>
          <w:sz w:val="24"/>
          <w:szCs w:val="24"/>
        </w:rPr>
        <w:t>).</w:t>
      </w:r>
    </w:p>
    <w:p w14:paraId="3004F039" w14:textId="77777777" w:rsidR="00A263C8" w:rsidRPr="00221C89" w:rsidRDefault="00A263C8" w:rsidP="00CE66C6">
      <w:pPr>
        <w:spacing w:after="0" w:line="240" w:lineRule="auto"/>
        <w:jc w:val="both"/>
        <w:rPr>
          <w:rFonts w:ascii="Times New Roman" w:eastAsia="Calibri" w:hAnsi="Times New Roman" w:cs="Times New Roman"/>
          <w:sz w:val="24"/>
          <w:szCs w:val="24"/>
        </w:rPr>
      </w:pPr>
    </w:p>
    <w:p w14:paraId="7354D236" w14:textId="45ABBA4E" w:rsidR="00233AF3" w:rsidRPr="00221C89" w:rsidRDefault="00CE66C6" w:rsidP="00CE66C6">
      <w:pPr>
        <w:tabs>
          <w:tab w:val="left" w:pos="720"/>
        </w:tabs>
        <w:spacing w:after="0" w:line="240" w:lineRule="auto"/>
        <w:jc w:val="both"/>
        <w:rPr>
          <w:rFonts w:ascii="Times New Roman" w:hAnsi="Times New Roman" w:cs="Times New Roman"/>
          <w:sz w:val="24"/>
          <w:szCs w:val="24"/>
        </w:rPr>
      </w:pPr>
      <w:bookmarkStart w:id="5" w:name="_Hlk48595801"/>
      <w:r w:rsidRPr="00221C89">
        <w:rPr>
          <w:rFonts w:ascii="Times New Roman" w:hAnsi="Times New Roman" w:cs="Times New Roman"/>
          <w:b/>
          <w:bCs/>
          <w:sz w:val="24"/>
          <w:szCs w:val="24"/>
        </w:rPr>
        <w:tab/>
      </w:r>
      <w:r w:rsidR="00F51178" w:rsidRPr="00221C89">
        <w:rPr>
          <w:rFonts w:ascii="Times New Roman" w:hAnsi="Times New Roman" w:cs="Times New Roman"/>
          <w:b/>
          <w:bCs/>
          <w:sz w:val="24"/>
          <w:szCs w:val="24"/>
        </w:rPr>
        <w:t>Subdivision (1)</w:t>
      </w:r>
      <w:r w:rsidR="00F51178" w:rsidRPr="00221C89">
        <w:rPr>
          <w:rFonts w:ascii="Times New Roman" w:hAnsi="Times New Roman" w:cs="Times New Roman"/>
          <w:sz w:val="24"/>
          <w:szCs w:val="24"/>
        </w:rPr>
        <w:t xml:space="preserve"> </w:t>
      </w:r>
      <w:r w:rsidR="00B50B34" w:rsidRPr="00221C89">
        <w:rPr>
          <w:rFonts w:ascii="Times New Roman" w:hAnsi="Times New Roman" w:cs="Times New Roman"/>
          <w:sz w:val="24"/>
          <w:szCs w:val="24"/>
        </w:rPr>
        <w:t>of the rule</w:t>
      </w:r>
      <w:bookmarkStart w:id="6" w:name="_Hlk48567335"/>
      <w:r w:rsidR="00624127" w:rsidRPr="00221C89">
        <w:rPr>
          <w:rFonts w:ascii="Times New Roman" w:hAnsi="Times New Roman" w:cs="Times New Roman"/>
          <w:sz w:val="24"/>
          <w:szCs w:val="24"/>
        </w:rPr>
        <w:t xml:space="preserve"> </w:t>
      </w:r>
      <w:bookmarkEnd w:id="5"/>
      <w:bookmarkEnd w:id="6"/>
      <w:r w:rsidR="00624127" w:rsidRPr="00221C89">
        <w:rPr>
          <w:rFonts w:ascii="Times New Roman" w:hAnsi="Times New Roman" w:cs="Times New Roman"/>
          <w:sz w:val="24"/>
          <w:szCs w:val="24"/>
        </w:rPr>
        <w:t xml:space="preserve">sets forth the basic components of the </w:t>
      </w:r>
      <w:r w:rsidR="002B7A0D" w:rsidRPr="00221C89">
        <w:rPr>
          <w:rFonts w:ascii="Times New Roman" w:hAnsi="Times New Roman" w:cs="Times New Roman"/>
          <w:sz w:val="24"/>
          <w:szCs w:val="24"/>
        </w:rPr>
        <w:t xml:space="preserve">Dead Man’s Statute. </w:t>
      </w:r>
      <w:r w:rsidR="00624127" w:rsidRPr="00221C89">
        <w:rPr>
          <w:rFonts w:ascii="Times New Roman" w:hAnsi="Times New Roman" w:cs="Times New Roman"/>
          <w:sz w:val="24"/>
          <w:szCs w:val="24"/>
        </w:rPr>
        <w:t xml:space="preserve"> The remaining </w:t>
      </w:r>
      <w:r w:rsidR="009305AB" w:rsidRPr="00221C89">
        <w:rPr>
          <w:rFonts w:ascii="Times New Roman" w:hAnsi="Times New Roman" w:cs="Times New Roman"/>
          <w:sz w:val="24"/>
          <w:szCs w:val="24"/>
        </w:rPr>
        <w:t xml:space="preserve">subdivisions </w:t>
      </w:r>
      <w:r w:rsidR="00624127" w:rsidRPr="00221C89">
        <w:rPr>
          <w:rFonts w:ascii="Times New Roman" w:hAnsi="Times New Roman" w:cs="Times New Roman"/>
          <w:sz w:val="24"/>
          <w:szCs w:val="24"/>
        </w:rPr>
        <w:t xml:space="preserve">address issues arising from application of the statute.  </w:t>
      </w:r>
      <w:r w:rsidR="006801AE" w:rsidRPr="00221C89">
        <w:rPr>
          <w:rFonts w:ascii="Times New Roman" w:hAnsi="Times New Roman" w:cs="Times New Roman"/>
          <w:sz w:val="24"/>
          <w:szCs w:val="24"/>
        </w:rPr>
        <w:t>For purposes of th</w:t>
      </w:r>
      <w:r w:rsidR="00D66497" w:rsidRPr="00221C89">
        <w:rPr>
          <w:rFonts w:ascii="Times New Roman" w:hAnsi="Times New Roman" w:cs="Times New Roman"/>
          <w:sz w:val="24"/>
          <w:szCs w:val="24"/>
        </w:rPr>
        <w:t>is</w:t>
      </w:r>
      <w:r w:rsidR="006801AE" w:rsidRPr="00221C89">
        <w:rPr>
          <w:rFonts w:ascii="Times New Roman" w:hAnsi="Times New Roman" w:cs="Times New Roman"/>
          <w:sz w:val="24"/>
          <w:szCs w:val="24"/>
        </w:rPr>
        <w:t xml:space="preserve"> note</w:t>
      </w:r>
      <w:r w:rsidR="00D66497"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w:t>
      </w:r>
      <w:r w:rsidR="00E7149B" w:rsidRPr="00221C89">
        <w:rPr>
          <w:rFonts w:ascii="Times New Roman" w:hAnsi="Times New Roman" w:cs="Times New Roman"/>
          <w:sz w:val="24"/>
          <w:szCs w:val="24"/>
        </w:rPr>
        <w:t>CPLR 4519</w:t>
      </w:r>
      <w:bookmarkStart w:id="7" w:name="_Hlk48595893"/>
      <w:r w:rsidR="00E7149B" w:rsidRPr="00221C89">
        <w:rPr>
          <w:rFonts w:ascii="Times New Roman" w:hAnsi="Times New Roman" w:cs="Times New Roman"/>
          <w:sz w:val="24"/>
          <w:szCs w:val="24"/>
        </w:rPr>
        <w:t>, as recited in subdivision (1) of the rule,</w:t>
      </w:r>
      <w:bookmarkEnd w:id="7"/>
      <w:r w:rsidR="00E7149B"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is broken down into </w:t>
      </w:r>
      <w:r w:rsidR="009F5F88" w:rsidRPr="00221C89">
        <w:rPr>
          <w:rFonts w:ascii="Times New Roman" w:hAnsi="Times New Roman" w:cs="Times New Roman"/>
          <w:sz w:val="24"/>
          <w:szCs w:val="24"/>
        </w:rPr>
        <w:t xml:space="preserve">the following </w:t>
      </w:r>
      <w:r w:rsidR="00E82213" w:rsidRPr="00221C89">
        <w:rPr>
          <w:rFonts w:ascii="Times New Roman" w:hAnsi="Times New Roman" w:cs="Times New Roman"/>
          <w:sz w:val="24"/>
          <w:szCs w:val="24"/>
        </w:rPr>
        <w:t>five</w:t>
      </w:r>
      <w:r w:rsidR="006801AE" w:rsidRPr="00221C89">
        <w:rPr>
          <w:rFonts w:ascii="Times New Roman" w:hAnsi="Times New Roman" w:cs="Times New Roman"/>
          <w:sz w:val="24"/>
          <w:szCs w:val="24"/>
        </w:rPr>
        <w:t xml:space="preserve"> parts</w:t>
      </w:r>
      <w:r w:rsidR="00F26FCA" w:rsidRPr="00221C89">
        <w:rPr>
          <w:rFonts w:ascii="Times New Roman" w:hAnsi="Times New Roman" w:cs="Times New Roman"/>
          <w:sz w:val="24"/>
          <w:szCs w:val="24"/>
        </w:rPr>
        <w:t>:</w:t>
      </w:r>
    </w:p>
    <w:p w14:paraId="6817204B" w14:textId="77777777" w:rsidR="00CE66C6" w:rsidRPr="00221C89" w:rsidRDefault="00CE66C6" w:rsidP="00CE66C6">
      <w:pPr>
        <w:tabs>
          <w:tab w:val="left" w:pos="720"/>
        </w:tabs>
        <w:spacing w:after="0" w:line="240" w:lineRule="auto"/>
        <w:jc w:val="both"/>
        <w:rPr>
          <w:rFonts w:ascii="Times New Roman" w:hAnsi="Times New Roman" w:cs="Times New Roman"/>
          <w:sz w:val="24"/>
          <w:szCs w:val="24"/>
        </w:rPr>
      </w:pPr>
    </w:p>
    <w:p w14:paraId="3464CCFD" w14:textId="4C2FC950" w:rsidR="002970FF" w:rsidRPr="00221C89" w:rsidRDefault="006F1870" w:rsidP="00CE66C6">
      <w:pPr>
        <w:pStyle w:val="ListParagraph"/>
        <w:numPr>
          <w:ilvl w:val="0"/>
          <w:numId w:val="1"/>
        </w:numPr>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T</w:t>
      </w:r>
      <w:r w:rsidR="006801AE" w:rsidRPr="00221C89">
        <w:rPr>
          <w:rFonts w:ascii="Times New Roman" w:hAnsi="Times New Roman" w:cs="Times New Roman"/>
          <w:sz w:val="24"/>
          <w:szCs w:val="24"/>
        </w:rPr>
        <w:t xml:space="preserve">he type of proceeding </w:t>
      </w:r>
      <w:r w:rsidR="00242D05" w:rsidRPr="00221C89">
        <w:rPr>
          <w:rFonts w:ascii="Times New Roman" w:hAnsi="Times New Roman" w:cs="Times New Roman"/>
          <w:sz w:val="24"/>
          <w:szCs w:val="24"/>
        </w:rPr>
        <w:t xml:space="preserve">to which </w:t>
      </w:r>
      <w:r w:rsidR="00C852C5" w:rsidRPr="00221C89">
        <w:rPr>
          <w:rFonts w:ascii="Times New Roman" w:hAnsi="Times New Roman" w:cs="Times New Roman"/>
          <w:sz w:val="24"/>
          <w:szCs w:val="24"/>
        </w:rPr>
        <w:t xml:space="preserve">the rule </w:t>
      </w:r>
      <w:r w:rsidR="006801AE" w:rsidRPr="00221C89">
        <w:rPr>
          <w:rFonts w:ascii="Times New Roman" w:hAnsi="Times New Roman" w:cs="Times New Roman"/>
          <w:sz w:val="24"/>
          <w:szCs w:val="24"/>
        </w:rPr>
        <w:t>applies</w:t>
      </w:r>
    </w:p>
    <w:p w14:paraId="45AEAD0B" w14:textId="604AD7A1" w:rsidR="002970FF" w:rsidRPr="00221C89" w:rsidRDefault="006F1870" w:rsidP="00CE66C6">
      <w:pPr>
        <w:pStyle w:val="ListParagraph"/>
        <w:numPr>
          <w:ilvl w:val="0"/>
          <w:numId w:val="1"/>
        </w:numPr>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T</w:t>
      </w:r>
      <w:r w:rsidR="009A23A3" w:rsidRPr="00221C89">
        <w:rPr>
          <w:rFonts w:ascii="Times New Roman" w:hAnsi="Times New Roman" w:cs="Times New Roman"/>
          <w:sz w:val="24"/>
          <w:szCs w:val="24"/>
        </w:rPr>
        <w:t xml:space="preserve">he witness </w:t>
      </w:r>
      <w:r w:rsidR="006801AE" w:rsidRPr="00221C89">
        <w:rPr>
          <w:rFonts w:ascii="Times New Roman" w:hAnsi="Times New Roman" w:cs="Times New Roman"/>
          <w:sz w:val="24"/>
          <w:szCs w:val="24"/>
        </w:rPr>
        <w:t xml:space="preserve">whose testimony </w:t>
      </w:r>
      <w:r w:rsidR="00C852C5" w:rsidRPr="00221C89">
        <w:rPr>
          <w:rFonts w:ascii="Times New Roman" w:hAnsi="Times New Roman" w:cs="Times New Roman"/>
          <w:sz w:val="24"/>
          <w:szCs w:val="24"/>
        </w:rPr>
        <w:t xml:space="preserve">the rule </w:t>
      </w:r>
      <w:r w:rsidR="006801AE" w:rsidRPr="00221C89">
        <w:rPr>
          <w:rFonts w:ascii="Times New Roman" w:hAnsi="Times New Roman" w:cs="Times New Roman"/>
          <w:sz w:val="24"/>
          <w:szCs w:val="24"/>
        </w:rPr>
        <w:t>precludes</w:t>
      </w:r>
    </w:p>
    <w:p w14:paraId="6CF16389" w14:textId="323F25F6" w:rsidR="00304BEB" w:rsidRPr="00221C89" w:rsidRDefault="006F1870" w:rsidP="00CE66C6">
      <w:pPr>
        <w:pStyle w:val="ListParagraph"/>
        <w:numPr>
          <w:ilvl w:val="0"/>
          <w:numId w:val="1"/>
        </w:numPr>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T</w:t>
      </w:r>
      <w:r w:rsidR="00304BEB" w:rsidRPr="00221C89">
        <w:rPr>
          <w:rFonts w:ascii="Times New Roman" w:hAnsi="Times New Roman" w:cs="Times New Roman"/>
          <w:sz w:val="24"/>
          <w:szCs w:val="24"/>
        </w:rPr>
        <w:t>he party or person the witness is precluded from testifying against</w:t>
      </w:r>
    </w:p>
    <w:p w14:paraId="1FA1BC7B" w14:textId="51326913" w:rsidR="00304BEB" w:rsidRPr="00221C89" w:rsidRDefault="006F1870" w:rsidP="00CE66C6">
      <w:pPr>
        <w:pStyle w:val="ListParagraph"/>
        <w:numPr>
          <w:ilvl w:val="0"/>
          <w:numId w:val="1"/>
        </w:numPr>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T</w:t>
      </w:r>
      <w:r w:rsidR="00304BEB" w:rsidRPr="00221C89">
        <w:rPr>
          <w:rFonts w:ascii="Times New Roman" w:hAnsi="Times New Roman" w:cs="Times New Roman"/>
          <w:sz w:val="24"/>
          <w:szCs w:val="24"/>
        </w:rPr>
        <w:t xml:space="preserve">he </w:t>
      </w:r>
      <w:r w:rsidRPr="00221C89">
        <w:rPr>
          <w:rFonts w:ascii="Times New Roman" w:hAnsi="Times New Roman" w:cs="Times New Roman"/>
          <w:sz w:val="24"/>
          <w:szCs w:val="24"/>
        </w:rPr>
        <w:t xml:space="preserve">substance of the </w:t>
      </w:r>
      <w:r w:rsidR="00304BEB" w:rsidRPr="00221C89">
        <w:rPr>
          <w:rFonts w:ascii="Times New Roman" w:hAnsi="Times New Roman" w:cs="Times New Roman"/>
          <w:sz w:val="24"/>
          <w:szCs w:val="24"/>
        </w:rPr>
        <w:t>forbidden testimony</w:t>
      </w:r>
    </w:p>
    <w:p w14:paraId="1CBDF2A8" w14:textId="15F5DFB0" w:rsidR="00A17512" w:rsidRPr="00221C89" w:rsidRDefault="00F66C72" w:rsidP="00CE66C6">
      <w:pPr>
        <w:pStyle w:val="ListParagraph"/>
        <w:numPr>
          <w:ilvl w:val="0"/>
          <w:numId w:val="1"/>
        </w:numPr>
        <w:spacing w:after="0" w:line="240" w:lineRule="auto"/>
        <w:rPr>
          <w:rFonts w:ascii="Times New Roman" w:hAnsi="Times New Roman" w:cs="Times New Roman"/>
          <w:sz w:val="24"/>
          <w:szCs w:val="24"/>
        </w:rPr>
      </w:pPr>
      <w:r w:rsidRPr="00221C89">
        <w:rPr>
          <w:rFonts w:ascii="Times New Roman" w:hAnsi="Times New Roman" w:cs="Times New Roman"/>
          <w:sz w:val="24"/>
          <w:szCs w:val="24"/>
        </w:rPr>
        <w:t>An</w:t>
      </w:r>
      <w:r w:rsidR="00304BEB" w:rsidRPr="00221C89">
        <w:rPr>
          <w:rFonts w:ascii="Times New Roman" w:hAnsi="Times New Roman" w:cs="Times New Roman"/>
          <w:sz w:val="24"/>
          <w:szCs w:val="24"/>
        </w:rPr>
        <w:t xml:space="preserve"> exception to the rule</w:t>
      </w:r>
    </w:p>
    <w:p w14:paraId="4DF25AA6" w14:textId="77777777" w:rsidR="003654FF" w:rsidRPr="00221C89" w:rsidRDefault="003654FF" w:rsidP="00CE66C6">
      <w:pPr>
        <w:spacing w:after="0" w:line="240" w:lineRule="auto"/>
        <w:jc w:val="both"/>
        <w:rPr>
          <w:rFonts w:ascii="Times New Roman" w:hAnsi="Times New Roman" w:cs="Times New Roman"/>
          <w:sz w:val="24"/>
          <w:szCs w:val="24"/>
        </w:rPr>
      </w:pPr>
    </w:p>
    <w:p w14:paraId="2FD886C7" w14:textId="73DDCCE5" w:rsidR="00490B43" w:rsidRPr="00221C89" w:rsidRDefault="00724991" w:rsidP="003654FF">
      <w:pPr>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The note concludes with a discussion of procedural issues</w:t>
      </w:r>
      <w:r w:rsidR="001003EE" w:rsidRPr="00221C89">
        <w:rPr>
          <w:rFonts w:ascii="Times New Roman" w:hAnsi="Times New Roman" w:cs="Times New Roman"/>
          <w:sz w:val="24"/>
          <w:szCs w:val="24"/>
        </w:rPr>
        <w:t xml:space="preserve"> and how th</w:t>
      </w:r>
      <w:r w:rsidR="009B5BAB" w:rsidRPr="00221C89">
        <w:rPr>
          <w:rFonts w:ascii="Times New Roman" w:hAnsi="Times New Roman" w:cs="Times New Roman"/>
          <w:sz w:val="24"/>
          <w:szCs w:val="24"/>
        </w:rPr>
        <w:t>e protection of the statute may</w:t>
      </w:r>
      <w:r w:rsidR="00F376D2" w:rsidRPr="00221C89">
        <w:rPr>
          <w:rFonts w:ascii="Times New Roman" w:hAnsi="Times New Roman" w:cs="Times New Roman"/>
          <w:sz w:val="24"/>
          <w:szCs w:val="24"/>
        </w:rPr>
        <w:t xml:space="preserve"> be</w:t>
      </w:r>
      <w:r w:rsidR="009B5BAB" w:rsidRPr="00221C89">
        <w:rPr>
          <w:rFonts w:ascii="Times New Roman" w:hAnsi="Times New Roman" w:cs="Times New Roman"/>
          <w:sz w:val="24"/>
          <w:szCs w:val="24"/>
        </w:rPr>
        <w:t xml:space="preserve"> waived</w:t>
      </w:r>
      <w:r w:rsidR="00F376D2" w:rsidRPr="00221C89">
        <w:rPr>
          <w:rFonts w:ascii="Times New Roman" w:hAnsi="Times New Roman" w:cs="Times New Roman"/>
          <w:sz w:val="24"/>
          <w:szCs w:val="24"/>
        </w:rPr>
        <w:t>.</w:t>
      </w:r>
    </w:p>
    <w:p w14:paraId="584B6B88" w14:textId="77777777" w:rsidR="003654FF" w:rsidRPr="00221C89" w:rsidRDefault="003654FF" w:rsidP="00CE66C6">
      <w:pPr>
        <w:spacing w:after="0" w:line="240" w:lineRule="auto"/>
        <w:rPr>
          <w:rFonts w:ascii="Times New Roman" w:hAnsi="Times New Roman" w:cs="Times New Roman"/>
          <w:b/>
          <w:bCs/>
          <w:sz w:val="24"/>
          <w:szCs w:val="24"/>
        </w:rPr>
      </w:pPr>
    </w:p>
    <w:p w14:paraId="4996F5B4" w14:textId="60693571" w:rsidR="006F1870" w:rsidRPr="00221C89" w:rsidRDefault="00EC790C" w:rsidP="00CE66C6">
      <w:pPr>
        <w:spacing w:after="0" w:line="240" w:lineRule="auto"/>
        <w:rPr>
          <w:rFonts w:ascii="Times New Roman" w:hAnsi="Times New Roman" w:cs="Times New Roman"/>
          <w:b/>
          <w:bCs/>
          <w:sz w:val="24"/>
          <w:szCs w:val="24"/>
        </w:rPr>
      </w:pPr>
      <w:r w:rsidRPr="00221C89">
        <w:rPr>
          <w:rFonts w:ascii="Times New Roman" w:hAnsi="Times New Roman" w:cs="Times New Roman"/>
          <w:b/>
          <w:bCs/>
          <w:sz w:val="24"/>
          <w:szCs w:val="24"/>
        </w:rPr>
        <w:t xml:space="preserve">The type of proceeding </w:t>
      </w:r>
      <w:r w:rsidR="00242D05" w:rsidRPr="00221C89">
        <w:rPr>
          <w:rFonts w:ascii="Times New Roman" w:hAnsi="Times New Roman" w:cs="Times New Roman"/>
          <w:b/>
          <w:bCs/>
          <w:sz w:val="24"/>
          <w:szCs w:val="24"/>
        </w:rPr>
        <w:t>to which</w:t>
      </w:r>
      <w:r w:rsidRPr="00221C89">
        <w:rPr>
          <w:rFonts w:ascii="Times New Roman" w:hAnsi="Times New Roman" w:cs="Times New Roman"/>
          <w:b/>
          <w:bCs/>
          <w:sz w:val="24"/>
          <w:szCs w:val="24"/>
        </w:rPr>
        <w:t xml:space="preserve"> </w:t>
      </w:r>
      <w:r w:rsidR="008D0112" w:rsidRPr="00221C89">
        <w:rPr>
          <w:rFonts w:ascii="Times New Roman" w:hAnsi="Times New Roman" w:cs="Times New Roman"/>
          <w:b/>
          <w:bCs/>
          <w:sz w:val="24"/>
          <w:szCs w:val="24"/>
        </w:rPr>
        <w:t xml:space="preserve">CPLR 4519 </w:t>
      </w:r>
      <w:r w:rsidRPr="00221C89">
        <w:rPr>
          <w:rFonts w:ascii="Times New Roman" w:hAnsi="Times New Roman" w:cs="Times New Roman"/>
          <w:b/>
          <w:bCs/>
          <w:sz w:val="24"/>
          <w:szCs w:val="24"/>
        </w:rPr>
        <w:t>applies</w:t>
      </w:r>
    </w:p>
    <w:p w14:paraId="3F34259D" w14:textId="77777777" w:rsidR="003654FF" w:rsidRPr="00221C89" w:rsidRDefault="003654FF" w:rsidP="00CE66C6">
      <w:pPr>
        <w:spacing w:after="0" w:line="240" w:lineRule="auto"/>
        <w:rPr>
          <w:rFonts w:ascii="Times New Roman" w:hAnsi="Times New Roman" w:cs="Times New Roman"/>
          <w:b/>
          <w:bCs/>
          <w:sz w:val="24"/>
          <w:szCs w:val="24"/>
        </w:rPr>
      </w:pPr>
    </w:p>
    <w:p w14:paraId="72F3C42E" w14:textId="73DC0125" w:rsidR="00DE7C00" w:rsidRPr="00221C89" w:rsidRDefault="003654FF" w:rsidP="003654FF">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DE7C00" w:rsidRPr="00221C89">
        <w:rPr>
          <w:rFonts w:ascii="Times New Roman" w:hAnsi="Times New Roman" w:cs="Times New Roman"/>
          <w:sz w:val="24"/>
          <w:szCs w:val="24"/>
        </w:rPr>
        <w:t>CPLR 4519 does not apply in criminal proceedings.</w:t>
      </w:r>
    </w:p>
    <w:p w14:paraId="5A24CCEB" w14:textId="77777777" w:rsidR="003654FF" w:rsidRPr="00221C89" w:rsidRDefault="003654FF" w:rsidP="003654FF">
      <w:pPr>
        <w:tabs>
          <w:tab w:val="left" w:pos="720"/>
        </w:tabs>
        <w:spacing w:after="0" w:line="240" w:lineRule="auto"/>
        <w:jc w:val="both"/>
        <w:rPr>
          <w:rFonts w:ascii="Times New Roman" w:hAnsi="Times New Roman" w:cs="Times New Roman"/>
          <w:sz w:val="24"/>
          <w:szCs w:val="24"/>
        </w:rPr>
      </w:pPr>
    </w:p>
    <w:p w14:paraId="243D3829" w14:textId="14A02DB1" w:rsidR="00A318E6" w:rsidRPr="00221C89" w:rsidRDefault="003654FF" w:rsidP="003654FF">
      <w:pPr>
        <w:tabs>
          <w:tab w:val="left" w:pos="720"/>
        </w:tabs>
        <w:spacing w:after="0" w:line="240" w:lineRule="auto"/>
        <w:jc w:val="both"/>
        <w:rPr>
          <w:rFonts w:ascii="Times New Roman" w:hAnsi="Times New Roman" w:cs="Times New Roman"/>
          <w:sz w:val="24"/>
          <w:szCs w:val="24"/>
        </w:rPr>
      </w:pPr>
      <w:bookmarkStart w:id="8" w:name="_Hlk48566618"/>
      <w:r w:rsidRPr="00221C89">
        <w:rPr>
          <w:rFonts w:ascii="Times New Roman" w:hAnsi="Times New Roman" w:cs="Times New Roman"/>
          <w:sz w:val="24"/>
          <w:szCs w:val="24"/>
        </w:rPr>
        <w:tab/>
      </w:r>
      <w:r w:rsidR="008F25C3" w:rsidRPr="00221C89">
        <w:rPr>
          <w:rFonts w:ascii="Times New Roman" w:hAnsi="Times New Roman" w:cs="Times New Roman"/>
          <w:sz w:val="24"/>
          <w:szCs w:val="24"/>
        </w:rPr>
        <w:t>CPLR 4519</w:t>
      </w:r>
      <w:r w:rsidR="00233AF3" w:rsidRPr="00221C89">
        <w:rPr>
          <w:rFonts w:ascii="Times New Roman" w:hAnsi="Times New Roman" w:cs="Times New Roman"/>
          <w:sz w:val="24"/>
          <w:szCs w:val="24"/>
        </w:rPr>
        <w:t>, as recited in subdivision (1) of the rule,</w:t>
      </w:r>
      <w:r w:rsidR="008F25C3" w:rsidRPr="00221C89">
        <w:rPr>
          <w:rFonts w:ascii="Times New Roman" w:hAnsi="Times New Roman" w:cs="Times New Roman"/>
          <w:sz w:val="24"/>
          <w:szCs w:val="24"/>
        </w:rPr>
        <w:t xml:space="preserve"> </w:t>
      </w:r>
      <w:bookmarkEnd w:id="8"/>
      <w:r w:rsidR="002D765D" w:rsidRPr="00221C89">
        <w:rPr>
          <w:rFonts w:ascii="Times New Roman" w:hAnsi="Times New Roman" w:cs="Times New Roman"/>
          <w:sz w:val="24"/>
          <w:szCs w:val="24"/>
        </w:rPr>
        <w:t xml:space="preserve">states it </w:t>
      </w:r>
      <w:r w:rsidR="006801AE" w:rsidRPr="00221C89">
        <w:rPr>
          <w:rFonts w:ascii="Times New Roman" w:hAnsi="Times New Roman" w:cs="Times New Roman"/>
          <w:sz w:val="24"/>
          <w:szCs w:val="24"/>
        </w:rPr>
        <w:t>applies to: “the trial of an action or the hearing upon the merits of a special proceeding</w:t>
      </w:r>
      <w:r w:rsidR="00DC662F" w:rsidRPr="00221C89">
        <w:rPr>
          <w:rFonts w:ascii="Times New Roman" w:hAnsi="Times New Roman" w:cs="Times New Roman"/>
          <w:sz w:val="24"/>
          <w:szCs w:val="24"/>
        </w:rPr>
        <w:t>.</w:t>
      </w:r>
      <w:r w:rsidR="006801AE" w:rsidRPr="00221C89">
        <w:rPr>
          <w:rFonts w:ascii="Times New Roman" w:hAnsi="Times New Roman" w:cs="Times New Roman"/>
          <w:sz w:val="24"/>
          <w:szCs w:val="24"/>
        </w:rPr>
        <w:t>”</w:t>
      </w:r>
    </w:p>
    <w:p w14:paraId="6005AA14" w14:textId="77777777" w:rsidR="003654FF" w:rsidRPr="00221C89" w:rsidRDefault="003654FF" w:rsidP="003654FF">
      <w:pPr>
        <w:tabs>
          <w:tab w:val="left" w:pos="720"/>
        </w:tabs>
        <w:spacing w:after="0" w:line="240" w:lineRule="auto"/>
        <w:jc w:val="both"/>
        <w:rPr>
          <w:rFonts w:ascii="Times New Roman" w:hAnsi="Times New Roman" w:cs="Times New Roman"/>
          <w:sz w:val="24"/>
          <w:szCs w:val="24"/>
        </w:rPr>
      </w:pPr>
    </w:p>
    <w:p w14:paraId="408074B9" w14:textId="07CBBFD1" w:rsidR="00AD39E9" w:rsidRPr="00221C89" w:rsidRDefault="003654FF" w:rsidP="003654FF">
      <w:pPr>
        <w:tabs>
          <w:tab w:val="left" w:pos="720"/>
        </w:tabs>
        <w:spacing w:after="0" w:line="240" w:lineRule="auto"/>
        <w:jc w:val="both"/>
        <w:rPr>
          <w:rFonts w:ascii="Times New Roman" w:hAnsi="Times New Roman" w:cs="Times New Roman"/>
          <w:iCs/>
          <w:sz w:val="24"/>
          <w:szCs w:val="24"/>
        </w:rPr>
      </w:pPr>
      <w:r w:rsidRPr="00221C89">
        <w:rPr>
          <w:rFonts w:ascii="Times New Roman" w:hAnsi="Times New Roman" w:cs="Times New Roman"/>
          <w:sz w:val="24"/>
          <w:szCs w:val="24"/>
        </w:rPr>
        <w:tab/>
      </w:r>
      <w:r w:rsidR="00DE7C00" w:rsidRPr="00221C89">
        <w:rPr>
          <w:rFonts w:ascii="Times New Roman" w:hAnsi="Times New Roman" w:cs="Times New Roman"/>
          <w:sz w:val="24"/>
          <w:szCs w:val="24"/>
        </w:rPr>
        <w:t xml:space="preserve">Thus, </w:t>
      </w:r>
      <w:r w:rsidR="00741EB2" w:rsidRPr="00221C89">
        <w:rPr>
          <w:rFonts w:ascii="Times New Roman" w:hAnsi="Times New Roman" w:cs="Times New Roman"/>
          <w:sz w:val="24"/>
          <w:szCs w:val="24"/>
        </w:rPr>
        <w:t xml:space="preserve">CPLR 4519 </w:t>
      </w:r>
      <w:r w:rsidR="006801AE" w:rsidRPr="00221C89">
        <w:rPr>
          <w:rFonts w:ascii="Times New Roman" w:hAnsi="Times New Roman" w:cs="Times New Roman"/>
          <w:sz w:val="24"/>
          <w:szCs w:val="24"/>
        </w:rPr>
        <w:t>applies</w:t>
      </w:r>
      <w:r w:rsidR="00741EB2"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in all civil actions and has been invoked in administrative hearings </w:t>
      </w:r>
      <w:r w:rsidR="009435AC" w:rsidRPr="00221C89">
        <w:rPr>
          <w:rFonts w:ascii="Times New Roman" w:hAnsi="Times New Roman" w:cs="Times New Roman"/>
          <w:sz w:val="24"/>
          <w:szCs w:val="24"/>
        </w:rPr>
        <w:t>(</w:t>
      </w:r>
      <w:r w:rsidR="006801AE" w:rsidRPr="00221C89">
        <w:rPr>
          <w:rFonts w:ascii="Times New Roman" w:hAnsi="Times New Roman" w:cs="Times New Roman"/>
          <w:i/>
          <w:iCs/>
          <w:sz w:val="24"/>
          <w:szCs w:val="24"/>
        </w:rPr>
        <w:t>Matter of Zalk</w:t>
      </w:r>
      <w:r w:rsidR="006801AE" w:rsidRPr="00221C89">
        <w:rPr>
          <w:rFonts w:ascii="Times New Roman" w:hAnsi="Times New Roman" w:cs="Times New Roman"/>
          <w:iCs/>
          <w:sz w:val="24"/>
          <w:szCs w:val="24"/>
        </w:rPr>
        <w:t>,</w:t>
      </w:r>
      <w:r w:rsidR="006801AE" w:rsidRPr="00221C89">
        <w:rPr>
          <w:rFonts w:ascii="Times New Roman" w:hAnsi="Times New Roman" w:cs="Times New Roman"/>
          <w:i/>
          <w:iCs/>
          <w:sz w:val="24"/>
          <w:szCs w:val="24"/>
        </w:rPr>
        <w:t xml:space="preserve"> </w:t>
      </w:r>
      <w:r w:rsidR="003E53DC" w:rsidRPr="00221C89">
        <w:rPr>
          <w:rFonts w:ascii="Times New Roman" w:eastAsia="Calibri" w:hAnsi="Times New Roman" w:cs="Times New Roman"/>
          <w:sz w:val="24"/>
          <w:szCs w:val="24"/>
        </w:rPr>
        <w:t>10 NY3d 669</w:t>
      </w:r>
      <w:r w:rsidR="00C92F26" w:rsidRPr="00221C89">
        <w:rPr>
          <w:rFonts w:ascii="Times New Roman" w:eastAsia="Calibri" w:hAnsi="Times New Roman" w:cs="Times New Roman"/>
          <w:sz w:val="24"/>
          <w:szCs w:val="24"/>
        </w:rPr>
        <w:t xml:space="preserve"> [2008]</w:t>
      </w:r>
      <w:r w:rsidR="009435AC" w:rsidRPr="00221C89">
        <w:rPr>
          <w:rFonts w:ascii="Times New Roman" w:eastAsia="Calibri" w:hAnsi="Times New Roman" w:cs="Times New Roman"/>
          <w:sz w:val="24"/>
          <w:szCs w:val="24"/>
        </w:rPr>
        <w:t>)</w:t>
      </w:r>
      <w:r w:rsidR="006801AE" w:rsidRPr="00221C89">
        <w:rPr>
          <w:rFonts w:ascii="Times New Roman" w:hAnsi="Times New Roman" w:cs="Times New Roman"/>
          <w:i/>
          <w:iCs/>
          <w:sz w:val="24"/>
          <w:szCs w:val="24"/>
        </w:rPr>
        <w:t>.</w:t>
      </w:r>
      <w:r w:rsidR="006801AE" w:rsidRPr="00221C89">
        <w:rPr>
          <w:rFonts w:ascii="Times New Roman" w:hAnsi="Times New Roman" w:cs="Times New Roman"/>
          <w:sz w:val="24"/>
          <w:szCs w:val="24"/>
        </w:rPr>
        <w:t xml:space="preserve"> </w:t>
      </w:r>
      <w:r w:rsidR="00FD11A1"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It does not apply to pretrial discovery </w:t>
      </w:r>
      <w:r w:rsidR="00B84C25" w:rsidRPr="00221C89">
        <w:rPr>
          <w:rFonts w:ascii="Times New Roman" w:hAnsi="Times New Roman" w:cs="Times New Roman"/>
          <w:sz w:val="24"/>
          <w:szCs w:val="24"/>
        </w:rPr>
        <w:t>und</w:t>
      </w:r>
      <w:r w:rsidR="00B54DE7" w:rsidRPr="00221C89">
        <w:rPr>
          <w:rFonts w:ascii="Times New Roman" w:hAnsi="Times New Roman" w:cs="Times New Roman"/>
          <w:sz w:val="24"/>
          <w:szCs w:val="24"/>
        </w:rPr>
        <w:t>er CPLR</w:t>
      </w:r>
      <w:r w:rsidR="00C92F26" w:rsidRPr="00221C89">
        <w:rPr>
          <w:rFonts w:ascii="Times New Roman" w:hAnsi="Times New Roman" w:cs="Times New Roman"/>
          <w:sz w:val="24"/>
          <w:szCs w:val="24"/>
        </w:rPr>
        <w:t xml:space="preserve"> a</w:t>
      </w:r>
      <w:r w:rsidR="00B54DE7" w:rsidRPr="00221C89">
        <w:rPr>
          <w:rFonts w:ascii="Times New Roman" w:hAnsi="Times New Roman" w:cs="Times New Roman"/>
          <w:sz w:val="24"/>
          <w:szCs w:val="24"/>
        </w:rPr>
        <w:t>rticle 31</w:t>
      </w:r>
      <w:r w:rsidR="00C260BB"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or other preliminary matters that do not result in a decision on the merits </w:t>
      </w:r>
      <w:r w:rsidR="00641454" w:rsidRPr="00221C89">
        <w:rPr>
          <w:rFonts w:ascii="Times New Roman" w:hAnsi="Times New Roman" w:cs="Times New Roman"/>
          <w:sz w:val="24"/>
          <w:szCs w:val="24"/>
        </w:rPr>
        <w:t>(</w:t>
      </w:r>
      <w:r w:rsidR="006801AE" w:rsidRPr="00221C89">
        <w:rPr>
          <w:rFonts w:ascii="Times New Roman" w:hAnsi="Times New Roman" w:cs="Times New Roman"/>
          <w:i/>
          <w:iCs/>
          <w:sz w:val="24"/>
          <w:szCs w:val="24"/>
        </w:rPr>
        <w:t>Matter of Van</w:t>
      </w:r>
      <w:r w:rsidR="00DC662F" w:rsidRPr="00221C89">
        <w:rPr>
          <w:rFonts w:ascii="Times New Roman" w:hAnsi="Times New Roman" w:cs="Times New Roman"/>
          <w:i/>
          <w:iCs/>
          <w:sz w:val="24"/>
          <w:szCs w:val="24"/>
        </w:rPr>
        <w:t xml:space="preserve"> </w:t>
      </w:r>
      <w:r w:rsidR="006801AE" w:rsidRPr="00221C89">
        <w:rPr>
          <w:rFonts w:ascii="Times New Roman" w:hAnsi="Times New Roman" w:cs="Times New Roman"/>
          <w:i/>
          <w:iCs/>
          <w:sz w:val="24"/>
          <w:szCs w:val="24"/>
        </w:rPr>
        <w:t>Volkenburgh</w:t>
      </w:r>
      <w:r w:rsidR="006801AE" w:rsidRPr="00221C89">
        <w:rPr>
          <w:rFonts w:ascii="Times New Roman" w:hAnsi="Times New Roman" w:cs="Times New Roman"/>
          <w:sz w:val="24"/>
          <w:szCs w:val="24"/>
        </w:rPr>
        <w:t>,</w:t>
      </w:r>
      <w:r w:rsidR="00782056"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254</w:t>
      </w:r>
      <w:r w:rsidR="00825ACB"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NY</w:t>
      </w:r>
      <w:r w:rsidR="00825ACB" w:rsidRPr="00221C89">
        <w:rPr>
          <w:rFonts w:ascii="Times New Roman" w:hAnsi="Times New Roman" w:cs="Times New Roman"/>
          <w:sz w:val="24"/>
          <w:szCs w:val="24"/>
        </w:rPr>
        <w:t xml:space="preserve"> 1</w:t>
      </w:r>
      <w:r w:rsidR="006801AE" w:rsidRPr="00221C89">
        <w:rPr>
          <w:rFonts w:ascii="Times New Roman" w:hAnsi="Times New Roman" w:cs="Times New Roman"/>
          <w:sz w:val="24"/>
          <w:szCs w:val="24"/>
        </w:rPr>
        <w:t>39 [1930]</w:t>
      </w:r>
      <w:r w:rsidR="00641454"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w:t>
      </w:r>
      <w:r w:rsidR="00EE7358"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Admission of such testimony at these early stages does not constitute a waiver </w:t>
      </w:r>
      <w:r w:rsidR="003511BC" w:rsidRPr="00221C89">
        <w:rPr>
          <w:rFonts w:ascii="Times New Roman" w:hAnsi="Times New Roman" w:cs="Times New Roman"/>
          <w:sz w:val="24"/>
          <w:szCs w:val="24"/>
        </w:rPr>
        <w:t xml:space="preserve">of </w:t>
      </w:r>
      <w:r w:rsidR="006801AE" w:rsidRPr="00221C89">
        <w:rPr>
          <w:rFonts w:ascii="Times New Roman" w:hAnsi="Times New Roman" w:cs="Times New Roman"/>
          <w:sz w:val="24"/>
          <w:szCs w:val="24"/>
        </w:rPr>
        <w:t>the rule at trial.</w:t>
      </w:r>
      <w:r w:rsidR="00E94D3A" w:rsidRPr="00221C89">
        <w:rPr>
          <w:rFonts w:ascii="Times New Roman" w:hAnsi="Times New Roman" w:cs="Times New Roman"/>
          <w:sz w:val="24"/>
          <w:szCs w:val="24"/>
        </w:rPr>
        <w:t xml:space="preserve"> (</w:t>
      </w:r>
      <w:r w:rsidR="009A51F6" w:rsidRPr="00221C89">
        <w:rPr>
          <w:rFonts w:ascii="Times New Roman" w:hAnsi="Times New Roman" w:cs="Times New Roman"/>
          <w:i/>
          <w:iCs/>
          <w:sz w:val="24"/>
          <w:szCs w:val="24"/>
        </w:rPr>
        <w:t>Id.</w:t>
      </w:r>
      <w:r w:rsidR="00E94D3A" w:rsidRPr="00221C89">
        <w:rPr>
          <w:rFonts w:ascii="Times New Roman" w:hAnsi="Times New Roman" w:cs="Times New Roman"/>
          <w:iCs/>
          <w:sz w:val="24"/>
          <w:szCs w:val="24"/>
        </w:rPr>
        <w:t>)</w:t>
      </w:r>
    </w:p>
    <w:p w14:paraId="1E96F132" w14:textId="77777777" w:rsidR="00B10778" w:rsidRPr="00221C89" w:rsidRDefault="00B10778" w:rsidP="003654FF">
      <w:pPr>
        <w:tabs>
          <w:tab w:val="left" w:pos="720"/>
        </w:tabs>
        <w:spacing w:after="0" w:line="240" w:lineRule="auto"/>
        <w:jc w:val="both"/>
        <w:rPr>
          <w:rFonts w:ascii="Times New Roman" w:hAnsi="Times New Roman" w:cs="Times New Roman"/>
          <w:i/>
          <w:iCs/>
          <w:sz w:val="24"/>
          <w:szCs w:val="24"/>
        </w:rPr>
      </w:pPr>
    </w:p>
    <w:p w14:paraId="1DDFB2F9" w14:textId="5687376B" w:rsidR="000379D2" w:rsidRPr="00221C89" w:rsidRDefault="00AD39E9" w:rsidP="00CE66C6">
      <w:pPr>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t>In Surrogate</w:t>
      </w:r>
      <w:r w:rsidR="0052326D" w:rsidRPr="00221C89">
        <w:rPr>
          <w:rFonts w:ascii="Times New Roman" w:hAnsi="Times New Roman" w:cs="Times New Roman"/>
          <w:sz w:val="24"/>
          <w:szCs w:val="24"/>
        </w:rPr>
        <w:t>’s Court, the words</w:t>
      </w:r>
      <w:r w:rsidR="00DD4D6E" w:rsidRPr="00221C89">
        <w:rPr>
          <w:rFonts w:ascii="Times New Roman" w:hAnsi="Times New Roman" w:cs="Times New Roman"/>
          <w:sz w:val="24"/>
          <w:szCs w:val="24"/>
        </w:rPr>
        <w:t>,</w:t>
      </w:r>
      <w:r w:rsidR="0052326D" w:rsidRPr="00221C89">
        <w:rPr>
          <w:rFonts w:ascii="Times New Roman" w:hAnsi="Times New Roman" w:cs="Times New Roman"/>
          <w:sz w:val="24"/>
          <w:szCs w:val="24"/>
        </w:rPr>
        <w:t xml:space="preserve"> </w:t>
      </w:r>
      <w:r w:rsidR="00DD4D6E" w:rsidRPr="00221C89">
        <w:rPr>
          <w:rFonts w:ascii="Times New Roman" w:hAnsi="Times New Roman" w:cs="Times New Roman"/>
          <w:sz w:val="24"/>
          <w:szCs w:val="24"/>
        </w:rPr>
        <w:t>“</w:t>
      </w:r>
      <w:r w:rsidR="0052326D" w:rsidRPr="00221C89">
        <w:rPr>
          <w:rFonts w:ascii="Times New Roman" w:hAnsi="Times New Roman" w:cs="Times New Roman"/>
          <w:sz w:val="24"/>
          <w:szCs w:val="24"/>
        </w:rPr>
        <w:t xml:space="preserve">hearing upon </w:t>
      </w:r>
      <w:r w:rsidR="00C92F26" w:rsidRPr="00221C89">
        <w:rPr>
          <w:rFonts w:ascii="Times New Roman" w:hAnsi="Times New Roman" w:cs="Times New Roman"/>
          <w:sz w:val="24"/>
          <w:szCs w:val="24"/>
        </w:rPr>
        <w:t xml:space="preserve">the </w:t>
      </w:r>
      <w:r w:rsidR="001538B8" w:rsidRPr="00221C89">
        <w:rPr>
          <w:rFonts w:ascii="Times New Roman" w:hAnsi="Times New Roman" w:cs="Times New Roman"/>
          <w:sz w:val="24"/>
          <w:szCs w:val="24"/>
        </w:rPr>
        <w:t>merits of a special proceeding</w:t>
      </w:r>
      <w:r w:rsidR="00DD4D6E" w:rsidRPr="00221C89">
        <w:rPr>
          <w:rFonts w:ascii="Times New Roman" w:hAnsi="Times New Roman" w:cs="Times New Roman"/>
          <w:sz w:val="24"/>
          <w:szCs w:val="24"/>
        </w:rPr>
        <w:t>”</w:t>
      </w:r>
      <w:r w:rsidR="00EE7358" w:rsidRPr="00221C89">
        <w:rPr>
          <w:rFonts w:ascii="Times New Roman" w:hAnsi="Times New Roman" w:cs="Times New Roman"/>
          <w:sz w:val="24"/>
          <w:szCs w:val="24"/>
        </w:rPr>
        <w:t xml:space="preserve"> </w:t>
      </w:r>
      <w:r w:rsidR="00164ACB" w:rsidRPr="00221C89">
        <w:rPr>
          <w:rFonts w:ascii="Times New Roman" w:hAnsi="Times New Roman" w:cs="Times New Roman"/>
          <w:sz w:val="24"/>
          <w:szCs w:val="24"/>
        </w:rPr>
        <w:t>includes all proceedings “which have</w:t>
      </w:r>
      <w:r w:rsidR="00395E2B" w:rsidRPr="00221C89">
        <w:rPr>
          <w:rFonts w:ascii="Times New Roman" w:hAnsi="Times New Roman" w:cs="Times New Roman"/>
          <w:sz w:val="24"/>
          <w:szCs w:val="24"/>
        </w:rPr>
        <w:t xml:space="preserve"> for their immediate object an affirmative determination</w:t>
      </w:r>
      <w:r w:rsidR="006401FE" w:rsidRPr="00221C89">
        <w:rPr>
          <w:rFonts w:ascii="Times New Roman" w:hAnsi="Times New Roman" w:cs="Times New Roman"/>
          <w:sz w:val="24"/>
          <w:szCs w:val="24"/>
        </w:rPr>
        <w:t xml:space="preserve"> affecting the rights of any party there</w:t>
      </w:r>
      <w:r w:rsidR="000A6D57" w:rsidRPr="00221C89">
        <w:rPr>
          <w:rFonts w:ascii="Times New Roman" w:hAnsi="Times New Roman" w:cs="Times New Roman"/>
          <w:sz w:val="24"/>
          <w:szCs w:val="24"/>
        </w:rPr>
        <w:t>to”</w:t>
      </w:r>
      <w:r w:rsidR="00C92F26" w:rsidRPr="00221C89">
        <w:rPr>
          <w:rFonts w:ascii="Times New Roman" w:hAnsi="Times New Roman" w:cs="Times New Roman"/>
          <w:sz w:val="24"/>
          <w:szCs w:val="24"/>
        </w:rPr>
        <w:t xml:space="preserve"> (</w:t>
      </w:r>
      <w:r w:rsidR="00483C64" w:rsidRPr="00221C89">
        <w:rPr>
          <w:rFonts w:ascii="Times New Roman" w:hAnsi="Times New Roman" w:cs="Times New Roman"/>
          <w:i/>
          <w:sz w:val="24"/>
          <w:szCs w:val="24"/>
        </w:rPr>
        <w:t>Matter of Christie</w:t>
      </w:r>
      <w:r w:rsidR="00483C64" w:rsidRPr="00221C89">
        <w:rPr>
          <w:rFonts w:ascii="Times New Roman" w:hAnsi="Times New Roman" w:cs="Times New Roman"/>
          <w:sz w:val="24"/>
          <w:szCs w:val="24"/>
        </w:rPr>
        <w:t>, 167 Misc 484</w:t>
      </w:r>
      <w:r w:rsidR="00C92F26" w:rsidRPr="00221C89">
        <w:rPr>
          <w:rFonts w:ascii="Times New Roman" w:hAnsi="Times New Roman" w:cs="Times New Roman"/>
          <w:sz w:val="24"/>
          <w:szCs w:val="24"/>
        </w:rPr>
        <w:t>, 487</w:t>
      </w:r>
      <w:r w:rsidR="00483C64" w:rsidRPr="00221C89">
        <w:rPr>
          <w:rFonts w:ascii="Times New Roman" w:hAnsi="Times New Roman" w:cs="Times New Roman"/>
          <w:sz w:val="24"/>
          <w:szCs w:val="24"/>
        </w:rPr>
        <w:t xml:space="preserve"> [</w:t>
      </w:r>
      <w:r w:rsidR="00A91C34" w:rsidRPr="00221C89">
        <w:rPr>
          <w:rFonts w:ascii="Times New Roman" w:hAnsi="Times New Roman" w:cs="Times New Roman"/>
          <w:sz w:val="24"/>
          <w:szCs w:val="24"/>
        </w:rPr>
        <w:t>Sur Ct</w:t>
      </w:r>
      <w:r w:rsidR="00E80663" w:rsidRPr="00221C89">
        <w:rPr>
          <w:rFonts w:ascii="Times New Roman" w:hAnsi="Times New Roman" w:cs="Times New Roman"/>
          <w:sz w:val="24"/>
          <w:szCs w:val="24"/>
        </w:rPr>
        <w:t>,</w:t>
      </w:r>
      <w:r w:rsidR="00A91C34" w:rsidRPr="00221C89">
        <w:rPr>
          <w:rFonts w:ascii="Times New Roman" w:hAnsi="Times New Roman" w:cs="Times New Roman"/>
          <w:sz w:val="24"/>
          <w:szCs w:val="24"/>
        </w:rPr>
        <w:t xml:space="preserve"> Kings County</w:t>
      </w:r>
      <w:r w:rsidR="00825ACB" w:rsidRPr="00221C89">
        <w:rPr>
          <w:rFonts w:ascii="Times New Roman" w:hAnsi="Times New Roman" w:cs="Times New Roman"/>
          <w:sz w:val="24"/>
          <w:szCs w:val="24"/>
        </w:rPr>
        <w:t xml:space="preserve"> </w:t>
      </w:r>
      <w:r w:rsidR="00A91C34" w:rsidRPr="00221C89">
        <w:rPr>
          <w:rFonts w:ascii="Times New Roman" w:hAnsi="Times New Roman" w:cs="Times New Roman"/>
          <w:sz w:val="24"/>
          <w:szCs w:val="24"/>
        </w:rPr>
        <w:t>1938</w:t>
      </w:r>
      <w:r w:rsidR="00C260BB" w:rsidRPr="00221C89">
        <w:rPr>
          <w:rFonts w:ascii="Times New Roman" w:hAnsi="Times New Roman" w:cs="Times New Roman"/>
          <w:sz w:val="24"/>
          <w:szCs w:val="24"/>
        </w:rPr>
        <w:t>]</w:t>
      </w:r>
      <w:r w:rsidR="00C92F26" w:rsidRPr="00221C89">
        <w:rPr>
          <w:rFonts w:ascii="Times New Roman" w:hAnsi="Times New Roman" w:cs="Times New Roman"/>
          <w:sz w:val="24"/>
          <w:szCs w:val="24"/>
        </w:rPr>
        <w:t>)</w:t>
      </w:r>
      <w:r w:rsidR="00C260BB" w:rsidRPr="00221C89">
        <w:rPr>
          <w:rFonts w:ascii="Times New Roman" w:hAnsi="Times New Roman" w:cs="Times New Roman"/>
          <w:sz w:val="24"/>
          <w:szCs w:val="24"/>
        </w:rPr>
        <w:t>.</w:t>
      </w:r>
    </w:p>
    <w:p w14:paraId="3539DF5A" w14:textId="77777777" w:rsidR="00B10778" w:rsidRPr="00221C89" w:rsidRDefault="00B10778" w:rsidP="00CE66C6">
      <w:pPr>
        <w:spacing w:after="0" w:line="240" w:lineRule="auto"/>
        <w:jc w:val="both"/>
        <w:rPr>
          <w:rFonts w:ascii="Times New Roman" w:hAnsi="Times New Roman" w:cs="Times New Roman"/>
          <w:sz w:val="24"/>
          <w:szCs w:val="24"/>
        </w:rPr>
      </w:pPr>
    </w:p>
    <w:p w14:paraId="21B52662" w14:textId="42767C31" w:rsidR="00A67C0B" w:rsidRPr="00221C89" w:rsidRDefault="00B10778" w:rsidP="00B10778">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D47629" w:rsidRPr="00221C89">
        <w:rPr>
          <w:rFonts w:ascii="Times New Roman" w:hAnsi="Times New Roman" w:cs="Times New Roman"/>
          <w:sz w:val="24"/>
          <w:szCs w:val="24"/>
        </w:rPr>
        <w:t>C</w:t>
      </w:r>
      <w:r w:rsidR="00C366D3" w:rsidRPr="00221C89">
        <w:rPr>
          <w:rFonts w:ascii="Times New Roman" w:hAnsi="Times New Roman" w:cs="Times New Roman"/>
          <w:sz w:val="24"/>
          <w:szCs w:val="24"/>
        </w:rPr>
        <w:t xml:space="preserve">PLR </w:t>
      </w:r>
      <w:r w:rsidR="00C92F26" w:rsidRPr="00221C89">
        <w:rPr>
          <w:rFonts w:ascii="Times New Roman" w:hAnsi="Times New Roman" w:cs="Times New Roman"/>
          <w:sz w:val="24"/>
          <w:szCs w:val="24"/>
        </w:rPr>
        <w:t>a</w:t>
      </w:r>
      <w:r w:rsidR="00C366D3" w:rsidRPr="00221C89">
        <w:rPr>
          <w:rFonts w:ascii="Times New Roman" w:hAnsi="Times New Roman" w:cs="Times New Roman"/>
          <w:sz w:val="24"/>
          <w:szCs w:val="24"/>
        </w:rPr>
        <w:t xml:space="preserve">rticle </w:t>
      </w:r>
      <w:r w:rsidR="00F25411" w:rsidRPr="00221C89">
        <w:rPr>
          <w:rFonts w:ascii="Times New Roman" w:hAnsi="Times New Roman" w:cs="Times New Roman"/>
          <w:sz w:val="24"/>
          <w:szCs w:val="24"/>
        </w:rPr>
        <w:t>3</w:t>
      </w:r>
      <w:r w:rsidR="00C366D3" w:rsidRPr="00221C89">
        <w:rPr>
          <w:rFonts w:ascii="Times New Roman" w:hAnsi="Times New Roman" w:cs="Times New Roman"/>
          <w:sz w:val="24"/>
          <w:szCs w:val="24"/>
        </w:rPr>
        <w:t xml:space="preserve">1 applies in Surrogate’s </w:t>
      </w:r>
      <w:r w:rsidR="00F25411" w:rsidRPr="00221C89">
        <w:rPr>
          <w:rFonts w:ascii="Times New Roman" w:hAnsi="Times New Roman" w:cs="Times New Roman"/>
          <w:sz w:val="24"/>
          <w:szCs w:val="24"/>
        </w:rPr>
        <w:t>C</w:t>
      </w:r>
      <w:r w:rsidR="00C366D3" w:rsidRPr="00221C89">
        <w:rPr>
          <w:rFonts w:ascii="Times New Roman" w:hAnsi="Times New Roman" w:cs="Times New Roman"/>
          <w:sz w:val="24"/>
          <w:szCs w:val="24"/>
        </w:rPr>
        <w:t>ourt</w:t>
      </w:r>
      <w:r w:rsidR="00F25411" w:rsidRPr="00221C89">
        <w:rPr>
          <w:rFonts w:ascii="Times New Roman" w:hAnsi="Times New Roman" w:cs="Times New Roman"/>
          <w:sz w:val="24"/>
          <w:szCs w:val="24"/>
        </w:rPr>
        <w:t>, but there a</w:t>
      </w:r>
      <w:r w:rsidR="002B5532" w:rsidRPr="00221C89">
        <w:rPr>
          <w:rFonts w:ascii="Times New Roman" w:hAnsi="Times New Roman" w:cs="Times New Roman"/>
          <w:sz w:val="24"/>
          <w:szCs w:val="24"/>
        </w:rPr>
        <w:t xml:space="preserve">re additional discovery </w:t>
      </w:r>
      <w:r w:rsidR="006661FC" w:rsidRPr="00221C89">
        <w:rPr>
          <w:rFonts w:ascii="Times New Roman" w:hAnsi="Times New Roman" w:cs="Times New Roman"/>
          <w:sz w:val="24"/>
          <w:szCs w:val="24"/>
        </w:rPr>
        <w:t>proceedings</w:t>
      </w:r>
      <w:r w:rsidR="002B5532" w:rsidRPr="00221C89">
        <w:rPr>
          <w:rFonts w:ascii="Times New Roman" w:hAnsi="Times New Roman" w:cs="Times New Roman"/>
          <w:sz w:val="24"/>
          <w:szCs w:val="24"/>
        </w:rPr>
        <w:t xml:space="preserve"> specifically applicable in that court</w:t>
      </w:r>
      <w:r w:rsidR="00616856" w:rsidRPr="00221C89">
        <w:rPr>
          <w:rFonts w:ascii="Times New Roman" w:hAnsi="Times New Roman" w:cs="Times New Roman"/>
          <w:sz w:val="24"/>
          <w:szCs w:val="24"/>
        </w:rPr>
        <w:t xml:space="preserve"> in which </w:t>
      </w:r>
      <w:r w:rsidR="00DC76D6" w:rsidRPr="00221C89">
        <w:rPr>
          <w:rFonts w:ascii="Times New Roman" w:hAnsi="Times New Roman" w:cs="Times New Roman"/>
          <w:sz w:val="24"/>
          <w:szCs w:val="24"/>
        </w:rPr>
        <w:t>testimony forbidden by</w:t>
      </w:r>
      <w:r w:rsidR="00AA68B7" w:rsidRPr="00221C89">
        <w:rPr>
          <w:rFonts w:ascii="Times New Roman" w:hAnsi="Times New Roman" w:cs="Times New Roman"/>
          <w:sz w:val="24"/>
          <w:szCs w:val="24"/>
        </w:rPr>
        <w:t xml:space="preserve"> CPLR</w:t>
      </w:r>
      <w:r w:rsidR="000E5289" w:rsidRPr="00221C89">
        <w:rPr>
          <w:rFonts w:ascii="Times New Roman" w:hAnsi="Times New Roman" w:cs="Times New Roman"/>
          <w:sz w:val="24"/>
          <w:szCs w:val="24"/>
        </w:rPr>
        <w:t xml:space="preserve"> </w:t>
      </w:r>
      <w:r w:rsidR="00815DF7" w:rsidRPr="00221C89">
        <w:rPr>
          <w:rFonts w:ascii="Times New Roman" w:hAnsi="Times New Roman" w:cs="Times New Roman"/>
          <w:sz w:val="24"/>
          <w:szCs w:val="24"/>
        </w:rPr>
        <w:t>4519</w:t>
      </w:r>
      <w:r w:rsidR="00AA68B7" w:rsidRPr="00221C89">
        <w:rPr>
          <w:rFonts w:ascii="Times New Roman" w:hAnsi="Times New Roman" w:cs="Times New Roman"/>
          <w:sz w:val="24"/>
          <w:szCs w:val="24"/>
        </w:rPr>
        <w:t xml:space="preserve"> </w:t>
      </w:r>
      <w:r w:rsidR="009666D8" w:rsidRPr="00221C89">
        <w:rPr>
          <w:rFonts w:ascii="Times New Roman" w:hAnsi="Times New Roman" w:cs="Times New Roman"/>
          <w:sz w:val="24"/>
          <w:szCs w:val="24"/>
        </w:rPr>
        <w:t xml:space="preserve">may be allowed </w:t>
      </w:r>
      <w:r w:rsidR="00965C55" w:rsidRPr="00221C89">
        <w:rPr>
          <w:rFonts w:ascii="Times New Roman" w:hAnsi="Times New Roman" w:cs="Times New Roman"/>
          <w:sz w:val="24"/>
          <w:szCs w:val="24"/>
        </w:rPr>
        <w:t xml:space="preserve">without creating a waiver of the statute in future </w:t>
      </w:r>
      <w:r w:rsidR="008A5D4D" w:rsidRPr="00221C89">
        <w:rPr>
          <w:rFonts w:ascii="Times New Roman" w:hAnsi="Times New Roman" w:cs="Times New Roman"/>
          <w:sz w:val="24"/>
          <w:szCs w:val="24"/>
        </w:rPr>
        <w:t>hearings and proceedings on the merits.</w:t>
      </w:r>
      <w:r w:rsidR="009F3C54" w:rsidRPr="00221C89">
        <w:rPr>
          <w:rFonts w:ascii="Times New Roman" w:hAnsi="Times New Roman" w:cs="Times New Roman"/>
          <w:sz w:val="24"/>
          <w:szCs w:val="24"/>
        </w:rPr>
        <w:t xml:space="preserve"> </w:t>
      </w:r>
      <w:r w:rsidR="008A5D4D" w:rsidRPr="00221C89">
        <w:rPr>
          <w:rFonts w:ascii="Times New Roman" w:hAnsi="Times New Roman" w:cs="Times New Roman"/>
          <w:sz w:val="24"/>
          <w:szCs w:val="24"/>
        </w:rPr>
        <w:t>T</w:t>
      </w:r>
      <w:r w:rsidR="00901C0F" w:rsidRPr="00221C89">
        <w:rPr>
          <w:rFonts w:ascii="Times New Roman" w:hAnsi="Times New Roman" w:cs="Times New Roman"/>
          <w:sz w:val="24"/>
          <w:szCs w:val="24"/>
        </w:rPr>
        <w:t>he statute does n</w:t>
      </w:r>
      <w:r w:rsidR="00615A72" w:rsidRPr="00221C89">
        <w:rPr>
          <w:rFonts w:ascii="Times New Roman" w:hAnsi="Times New Roman" w:cs="Times New Roman"/>
          <w:sz w:val="24"/>
          <w:szCs w:val="24"/>
        </w:rPr>
        <w:t xml:space="preserve">ot apply in </w:t>
      </w:r>
      <w:r w:rsidR="00FE61C2" w:rsidRPr="00221C89">
        <w:rPr>
          <w:rFonts w:ascii="Times New Roman" w:hAnsi="Times New Roman" w:cs="Times New Roman"/>
          <w:sz w:val="24"/>
          <w:szCs w:val="24"/>
        </w:rPr>
        <w:t>p</w:t>
      </w:r>
      <w:r w:rsidR="00615A72" w:rsidRPr="00221C89">
        <w:rPr>
          <w:rFonts w:ascii="Times New Roman" w:hAnsi="Times New Roman" w:cs="Times New Roman"/>
          <w:sz w:val="24"/>
          <w:szCs w:val="24"/>
        </w:rPr>
        <w:t xml:space="preserve">retrial discovery brought under </w:t>
      </w:r>
      <w:r w:rsidR="002725F9" w:rsidRPr="00221C89">
        <w:rPr>
          <w:rFonts w:ascii="Times New Roman" w:hAnsi="Times New Roman" w:cs="Times New Roman"/>
          <w:sz w:val="24"/>
          <w:szCs w:val="24"/>
        </w:rPr>
        <w:t>SCPA 1404</w:t>
      </w:r>
      <w:r w:rsidR="0024426E" w:rsidRPr="00221C89">
        <w:rPr>
          <w:rFonts w:ascii="Times New Roman" w:hAnsi="Times New Roman" w:cs="Times New Roman"/>
          <w:sz w:val="24"/>
          <w:szCs w:val="24"/>
        </w:rPr>
        <w:t xml:space="preserve"> </w:t>
      </w:r>
      <w:r w:rsidR="008A3256" w:rsidRPr="00221C89">
        <w:rPr>
          <w:rFonts w:ascii="Times New Roman" w:hAnsi="Times New Roman" w:cs="Times New Roman"/>
          <w:sz w:val="24"/>
          <w:szCs w:val="24"/>
        </w:rPr>
        <w:t>(</w:t>
      </w:r>
      <w:r w:rsidR="00C92F26" w:rsidRPr="00221C89">
        <w:rPr>
          <w:rFonts w:ascii="Times New Roman" w:hAnsi="Times New Roman" w:cs="Times New Roman"/>
          <w:sz w:val="24"/>
          <w:szCs w:val="24"/>
        </w:rPr>
        <w:t>e</w:t>
      </w:r>
      <w:r w:rsidR="0024426E" w:rsidRPr="00221C89">
        <w:rPr>
          <w:rFonts w:ascii="Times New Roman" w:hAnsi="Times New Roman" w:cs="Times New Roman"/>
          <w:sz w:val="24"/>
          <w:szCs w:val="24"/>
        </w:rPr>
        <w:t>xamination of the attesting witness and</w:t>
      </w:r>
      <w:r w:rsidR="00E84EA3" w:rsidRPr="00221C89">
        <w:rPr>
          <w:rFonts w:ascii="Times New Roman" w:hAnsi="Times New Roman" w:cs="Times New Roman"/>
          <w:sz w:val="24"/>
          <w:szCs w:val="24"/>
        </w:rPr>
        <w:t xml:space="preserve"> or attorney drafter</w:t>
      </w:r>
      <w:r w:rsidR="008A3256" w:rsidRPr="00221C89">
        <w:rPr>
          <w:rFonts w:ascii="Times New Roman" w:hAnsi="Times New Roman" w:cs="Times New Roman"/>
          <w:sz w:val="24"/>
          <w:szCs w:val="24"/>
        </w:rPr>
        <w:t>)</w:t>
      </w:r>
      <w:r w:rsidR="00644CA1" w:rsidRPr="00221C89">
        <w:rPr>
          <w:rFonts w:ascii="Times New Roman" w:hAnsi="Times New Roman" w:cs="Times New Roman"/>
          <w:sz w:val="24"/>
          <w:szCs w:val="24"/>
        </w:rPr>
        <w:t>;</w:t>
      </w:r>
      <w:r w:rsidR="00CE449B" w:rsidRPr="00221C89">
        <w:rPr>
          <w:rFonts w:ascii="Times New Roman" w:hAnsi="Times New Roman" w:cs="Times New Roman"/>
          <w:sz w:val="24"/>
          <w:szCs w:val="24"/>
        </w:rPr>
        <w:t xml:space="preserve"> 2211</w:t>
      </w:r>
      <w:r w:rsidR="00C92F26" w:rsidRPr="00221C89">
        <w:rPr>
          <w:rFonts w:ascii="Times New Roman" w:hAnsi="Times New Roman" w:cs="Times New Roman"/>
          <w:sz w:val="24"/>
          <w:szCs w:val="24"/>
        </w:rPr>
        <w:t xml:space="preserve"> </w:t>
      </w:r>
      <w:r w:rsidR="00CE449B" w:rsidRPr="00221C89">
        <w:rPr>
          <w:rFonts w:ascii="Times New Roman" w:hAnsi="Times New Roman" w:cs="Times New Roman"/>
          <w:sz w:val="24"/>
          <w:szCs w:val="24"/>
        </w:rPr>
        <w:t>(</w:t>
      </w:r>
      <w:r w:rsidR="00C92F26" w:rsidRPr="00221C89">
        <w:rPr>
          <w:rFonts w:ascii="Times New Roman" w:hAnsi="Times New Roman" w:cs="Times New Roman"/>
          <w:sz w:val="24"/>
          <w:szCs w:val="24"/>
        </w:rPr>
        <w:t>e</w:t>
      </w:r>
      <w:r w:rsidR="00CE449B" w:rsidRPr="00221C89">
        <w:rPr>
          <w:rFonts w:ascii="Times New Roman" w:hAnsi="Times New Roman" w:cs="Times New Roman"/>
          <w:sz w:val="24"/>
          <w:szCs w:val="24"/>
        </w:rPr>
        <w:t>xamination</w:t>
      </w:r>
      <w:r w:rsidR="008265E2" w:rsidRPr="00221C89">
        <w:rPr>
          <w:rFonts w:ascii="Times New Roman" w:hAnsi="Times New Roman" w:cs="Times New Roman"/>
          <w:sz w:val="24"/>
          <w:szCs w:val="24"/>
        </w:rPr>
        <w:t xml:space="preserve"> of an accounting fiduciary</w:t>
      </w:r>
      <w:r w:rsidR="00C12209" w:rsidRPr="00221C89">
        <w:rPr>
          <w:rFonts w:ascii="Times New Roman" w:hAnsi="Times New Roman" w:cs="Times New Roman"/>
          <w:sz w:val="24"/>
          <w:szCs w:val="24"/>
        </w:rPr>
        <w:t>)</w:t>
      </w:r>
      <w:r w:rsidR="00E465E6" w:rsidRPr="00221C89">
        <w:rPr>
          <w:rFonts w:ascii="Times New Roman" w:hAnsi="Times New Roman" w:cs="Times New Roman"/>
          <w:sz w:val="24"/>
          <w:szCs w:val="24"/>
        </w:rPr>
        <w:t>;</w:t>
      </w:r>
      <w:r w:rsidR="00C92F26" w:rsidRPr="00221C89">
        <w:rPr>
          <w:rFonts w:ascii="Times New Roman" w:hAnsi="Times New Roman" w:cs="Times New Roman"/>
          <w:sz w:val="24"/>
          <w:szCs w:val="24"/>
        </w:rPr>
        <w:t xml:space="preserve"> and </w:t>
      </w:r>
      <w:r w:rsidR="00EC3111" w:rsidRPr="00221C89">
        <w:rPr>
          <w:rFonts w:ascii="Times New Roman" w:hAnsi="Times New Roman" w:cs="Times New Roman"/>
          <w:sz w:val="24"/>
          <w:szCs w:val="24"/>
        </w:rPr>
        <w:t>2102</w:t>
      </w:r>
      <w:r w:rsidR="00843837" w:rsidRPr="00221C89">
        <w:rPr>
          <w:rFonts w:ascii="Times New Roman" w:hAnsi="Times New Roman" w:cs="Times New Roman"/>
          <w:sz w:val="24"/>
          <w:szCs w:val="24"/>
        </w:rPr>
        <w:t xml:space="preserve"> (</w:t>
      </w:r>
      <w:r w:rsidR="00C92F26" w:rsidRPr="00221C89">
        <w:rPr>
          <w:rFonts w:ascii="Times New Roman" w:hAnsi="Times New Roman" w:cs="Times New Roman"/>
          <w:sz w:val="24"/>
          <w:szCs w:val="24"/>
        </w:rPr>
        <w:t>e</w:t>
      </w:r>
      <w:r w:rsidR="00470A9F" w:rsidRPr="00221C89">
        <w:rPr>
          <w:rFonts w:ascii="Times New Roman" w:hAnsi="Times New Roman" w:cs="Times New Roman"/>
          <w:sz w:val="24"/>
          <w:szCs w:val="24"/>
        </w:rPr>
        <w:t>xamination of fiduciary dealing with the assets of the estate)</w:t>
      </w:r>
      <w:r w:rsidR="00192728" w:rsidRPr="00221C89">
        <w:rPr>
          <w:rFonts w:ascii="Times New Roman" w:hAnsi="Times New Roman" w:cs="Times New Roman"/>
          <w:sz w:val="24"/>
          <w:szCs w:val="24"/>
        </w:rPr>
        <w:t>.</w:t>
      </w:r>
      <w:r w:rsidR="00DC6516" w:rsidRPr="00221C89">
        <w:rPr>
          <w:rFonts w:ascii="Times New Roman" w:hAnsi="Times New Roman" w:cs="Times New Roman"/>
          <w:sz w:val="24"/>
          <w:szCs w:val="24"/>
        </w:rPr>
        <w:t xml:space="preserve"> </w:t>
      </w:r>
      <w:r w:rsidR="00EC3111" w:rsidRPr="00221C89">
        <w:rPr>
          <w:rFonts w:ascii="Times New Roman" w:hAnsi="Times New Roman" w:cs="Times New Roman"/>
          <w:sz w:val="24"/>
          <w:szCs w:val="24"/>
        </w:rPr>
        <w:t xml:space="preserve"> </w:t>
      </w:r>
      <w:r w:rsidR="008E0D6E" w:rsidRPr="00221C89">
        <w:rPr>
          <w:rFonts w:ascii="Times New Roman" w:hAnsi="Times New Roman" w:cs="Times New Roman"/>
          <w:sz w:val="24"/>
          <w:szCs w:val="24"/>
        </w:rPr>
        <w:t>In</w:t>
      </w:r>
      <w:r w:rsidR="006801AE" w:rsidRPr="00221C89">
        <w:rPr>
          <w:rFonts w:ascii="Times New Roman" w:hAnsi="Times New Roman" w:cs="Times New Roman"/>
          <w:sz w:val="24"/>
          <w:szCs w:val="24"/>
        </w:rPr>
        <w:t xml:space="preserve"> a discovery proceeding under SCPA 2103</w:t>
      </w:r>
      <w:r w:rsidR="00127E0E" w:rsidRPr="00221C89">
        <w:rPr>
          <w:rFonts w:ascii="Times New Roman" w:hAnsi="Times New Roman" w:cs="Times New Roman"/>
          <w:sz w:val="24"/>
          <w:szCs w:val="24"/>
        </w:rPr>
        <w:t xml:space="preserve"> (</w:t>
      </w:r>
      <w:r w:rsidR="00C92F26" w:rsidRPr="00221C89">
        <w:rPr>
          <w:rFonts w:ascii="Times New Roman" w:hAnsi="Times New Roman" w:cs="Times New Roman"/>
          <w:sz w:val="24"/>
          <w:szCs w:val="24"/>
        </w:rPr>
        <w:t>p</w:t>
      </w:r>
      <w:r w:rsidR="00127E0E" w:rsidRPr="00221C89">
        <w:rPr>
          <w:rFonts w:ascii="Times New Roman" w:hAnsi="Times New Roman" w:cs="Times New Roman"/>
          <w:sz w:val="24"/>
          <w:szCs w:val="24"/>
        </w:rPr>
        <w:t>roce</w:t>
      </w:r>
      <w:r w:rsidR="00370C17" w:rsidRPr="00221C89">
        <w:rPr>
          <w:rFonts w:ascii="Times New Roman" w:hAnsi="Times New Roman" w:cs="Times New Roman"/>
          <w:sz w:val="24"/>
          <w:szCs w:val="24"/>
        </w:rPr>
        <w:t>eding</w:t>
      </w:r>
      <w:r w:rsidR="009F25F2" w:rsidRPr="00221C89">
        <w:rPr>
          <w:rFonts w:ascii="Times New Roman" w:hAnsi="Times New Roman" w:cs="Times New Roman"/>
          <w:sz w:val="24"/>
          <w:szCs w:val="24"/>
        </w:rPr>
        <w:t xml:space="preserve"> </w:t>
      </w:r>
      <w:r w:rsidR="00384B87" w:rsidRPr="00221C89">
        <w:rPr>
          <w:rFonts w:ascii="Times New Roman" w:hAnsi="Times New Roman" w:cs="Times New Roman"/>
          <w:sz w:val="24"/>
          <w:szCs w:val="24"/>
        </w:rPr>
        <w:t xml:space="preserve">by fiduciary to discover </w:t>
      </w:r>
      <w:r w:rsidR="00057174" w:rsidRPr="00221C89">
        <w:rPr>
          <w:rFonts w:ascii="Times New Roman" w:hAnsi="Times New Roman" w:cs="Times New Roman"/>
          <w:sz w:val="24"/>
          <w:szCs w:val="24"/>
        </w:rPr>
        <w:t>property withheld or obtain information)</w:t>
      </w:r>
      <w:r w:rsidR="006801AE" w:rsidRPr="00221C89">
        <w:rPr>
          <w:rFonts w:ascii="Times New Roman" w:hAnsi="Times New Roman" w:cs="Times New Roman"/>
          <w:sz w:val="24"/>
          <w:szCs w:val="24"/>
        </w:rPr>
        <w:t xml:space="preserve"> a witness’s</w:t>
      </w:r>
      <w:r w:rsidR="00C92F26"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testimony about communications with a decedent is not deemed a waiver of CPLR 4519 </w:t>
      </w:r>
      <w:r w:rsidR="00C92F26"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SCPA </w:t>
      </w:r>
      <w:bookmarkStart w:id="9" w:name="_Hlk52440553"/>
      <w:r w:rsidR="006801AE" w:rsidRPr="00221C89">
        <w:rPr>
          <w:rFonts w:ascii="Times New Roman" w:hAnsi="Times New Roman" w:cs="Times New Roman"/>
          <w:sz w:val="24"/>
          <w:szCs w:val="24"/>
        </w:rPr>
        <w:t>2104</w:t>
      </w:r>
      <w:r w:rsidR="00C92F26"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6</w:t>
      </w:r>
      <w:r w:rsidR="00C92F26"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w:t>
      </w:r>
      <w:r w:rsidR="009A5E19" w:rsidRPr="00221C89">
        <w:rPr>
          <w:rFonts w:ascii="Times New Roman" w:hAnsi="Times New Roman" w:cs="Times New Roman"/>
          <w:sz w:val="24"/>
          <w:szCs w:val="24"/>
        </w:rPr>
        <w:t xml:space="preserve">Once an answer asserting ownership is interposed in a discovery proceeding, the proceeding is no longer in an “inquisitorial phase,” but becomes a trial on the merits to which CPLR 4519 applies </w:t>
      </w:r>
      <w:r w:rsidR="00641454" w:rsidRPr="00221C89">
        <w:rPr>
          <w:rFonts w:ascii="Times New Roman" w:hAnsi="Times New Roman" w:cs="Times New Roman"/>
          <w:sz w:val="24"/>
          <w:szCs w:val="24"/>
        </w:rPr>
        <w:t>(</w:t>
      </w:r>
      <w:r w:rsidR="006801AE" w:rsidRPr="00221C89">
        <w:rPr>
          <w:rFonts w:ascii="Times New Roman" w:hAnsi="Times New Roman" w:cs="Times New Roman"/>
          <w:i/>
          <w:iCs/>
          <w:sz w:val="24"/>
          <w:szCs w:val="24"/>
        </w:rPr>
        <w:t>Matter of Detweiler</w:t>
      </w:r>
      <w:r w:rsidR="006801AE" w:rsidRPr="00221C89">
        <w:rPr>
          <w:rFonts w:ascii="Times New Roman" w:hAnsi="Times New Roman" w:cs="Times New Roman"/>
          <w:iCs/>
          <w:sz w:val="24"/>
          <w:szCs w:val="24"/>
        </w:rPr>
        <w:t>,</w:t>
      </w:r>
      <w:r w:rsidR="00800966" w:rsidRPr="00221C89">
        <w:rPr>
          <w:rFonts w:ascii="Times New Roman" w:hAnsi="Times New Roman" w:cs="Times New Roman"/>
          <w:i/>
          <w:iCs/>
          <w:sz w:val="24"/>
          <w:szCs w:val="24"/>
        </w:rPr>
        <w:t xml:space="preserve"> </w:t>
      </w:r>
      <w:r w:rsidR="006801AE" w:rsidRPr="00221C89">
        <w:rPr>
          <w:rFonts w:ascii="Times New Roman" w:hAnsi="Times New Roman" w:cs="Times New Roman"/>
          <w:sz w:val="24"/>
          <w:szCs w:val="24"/>
        </w:rPr>
        <w:t>121 Misc</w:t>
      </w:r>
      <w:r w:rsidR="00E94D3A"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2d 453 [Sur Ct</w:t>
      </w:r>
      <w:r w:rsidR="003915F0" w:rsidRPr="00221C89">
        <w:rPr>
          <w:rFonts w:ascii="Times New Roman" w:hAnsi="Times New Roman" w:cs="Times New Roman"/>
          <w:sz w:val="24"/>
          <w:szCs w:val="24"/>
        </w:rPr>
        <w:t xml:space="preserve">, </w:t>
      </w:r>
      <w:r w:rsidR="00800966" w:rsidRPr="00221C89">
        <w:rPr>
          <w:rFonts w:ascii="Times New Roman" w:hAnsi="Times New Roman" w:cs="Times New Roman"/>
          <w:sz w:val="24"/>
          <w:szCs w:val="24"/>
        </w:rPr>
        <w:t>Cattaraugus County</w:t>
      </w:r>
      <w:r w:rsidR="00825ACB"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1983]</w:t>
      </w:r>
      <w:r w:rsidR="00641454" w:rsidRPr="00221C89">
        <w:rPr>
          <w:rFonts w:ascii="Times New Roman" w:hAnsi="Times New Roman" w:cs="Times New Roman"/>
          <w:sz w:val="24"/>
          <w:szCs w:val="24"/>
        </w:rPr>
        <w:t>)</w:t>
      </w:r>
      <w:r w:rsidR="00B22991" w:rsidRPr="00221C89">
        <w:rPr>
          <w:rFonts w:ascii="Times New Roman" w:hAnsi="Times New Roman" w:cs="Times New Roman"/>
          <w:sz w:val="24"/>
          <w:szCs w:val="24"/>
        </w:rPr>
        <w:t>.</w:t>
      </w:r>
      <w:bookmarkEnd w:id="9"/>
    </w:p>
    <w:p w14:paraId="2D76AD44" w14:textId="77777777" w:rsidR="00B10778" w:rsidRPr="00221C89" w:rsidRDefault="00B10778" w:rsidP="00B10778">
      <w:pPr>
        <w:tabs>
          <w:tab w:val="left" w:pos="720"/>
        </w:tabs>
        <w:spacing w:after="0" w:line="240" w:lineRule="auto"/>
        <w:jc w:val="both"/>
        <w:rPr>
          <w:rFonts w:ascii="Times New Roman" w:hAnsi="Times New Roman" w:cs="Times New Roman"/>
          <w:sz w:val="24"/>
          <w:szCs w:val="24"/>
        </w:rPr>
      </w:pPr>
    </w:p>
    <w:p w14:paraId="60360D40" w14:textId="6BBCD1C8" w:rsidR="00C42740" w:rsidRPr="00221C89" w:rsidRDefault="00F31666" w:rsidP="00F31666">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741EB2" w:rsidRPr="00221C89">
        <w:rPr>
          <w:rFonts w:ascii="Times New Roman" w:hAnsi="Times New Roman" w:cs="Times New Roman"/>
          <w:sz w:val="24"/>
          <w:szCs w:val="24"/>
        </w:rPr>
        <w:t xml:space="preserve">CPLR 4519 </w:t>
      </w:r>
      <w:r w:rsidR="00C42740" w:rsidRPr="00221C89">
        <w:rPr>
          <w:rFonts w:ascii="Times New Roman" w:hAnsi="Times New Roman" w:cs="Times New Roman"/>
          <w:sz w:val="24"/>
          <w:szCs w:val="24"/>
        </w:rPr>
        <w:t xml:space="preserve">has been held to apply in an application for a preliminary injunction in which the court decides a party’s likelihood of success on the merits </w:t>
      </w:r>
      <w:r w:rsidR="001B0B04" w:rsidRPr="00221C89">
        <w:rPr>
          <w:rFonts w:ascii="Times New Roman" w:hAnsi="Times New Roman" w:cs="Times New Roman"/>
          <w:sz w:val="24"/>
          <w:szCs w:val="24"/>
        </w:rPr>
        <w:t>(</w:t>
      </w:r>
      <w:r w:rsidR="00C42740" w:rsidRPr="00221C89">
        <w:rPr>
          <w:rFonts w:ascii="Times New Roman" w:hAnsi="Times New Roman" w:cs="Times New Roman"/>
          <w:i/>
          <w:iCs/>
          <w:sz w:val="24"/>
          <w:szCs w:val="24"/>
        </w:rPr>
        <w:t>Matter of</w:t>
      </w:r>
      <w:r w:rsidR="00C42740" w:rsidRPr="00221C89">
        <w:rPr>
          <w:rFonts w:ascii="Times New Roman" w:hAnsi="Times New Roman" w:cs="Times New Roman"/>
          <w:sz w:val="24"/>
          <w:szCs w:val="24"/>
        </w:rPr>
        <w:t xml:space="preserve"> </w:t>
      </w:r>
      <w:r w:rsidR="00C42740" w:rsidRPr="00221C89">
        <w:rPr>
          <w:rFonts w:ascii="Times New Roman" w:hAnsi="Times New Roman" w:cs="Times New Roman"/>
          <w:i/>
          <w:iCs/>
          <w:sz w:val="24"/>
          <w:szCs w:val="24"/>
        </w:rPr>
        <w:t>Tschernia</w:t>
      </w:r>
      <w:r w:rsidR="0033104C" w:rsidRPr="00221C89">
        <w:rPr>
          <w:rFonts w:ascii="Times New Roman" w:hAnsi="Times New Roman" w:cs="Times New Roman"/>
          <w:sz w:val="24"/>
          <w:szCs w:val="24"/>
        </w:rPr>
        <w:t xml:space="preserve">, </w:t>
      </w:r>
      <w:r w:rsidR="00C42740" w:rsidRPr="00221C89">
        <w:rPr>
          <w:rFonts w:ascii="Times New Roman" w:hAnsi="Times New Roman" w:cs="Times New Roman"/>
          <w:sz w:val="24"/>
          <w:szCs w:val="24"/>
        </w:rPr>
        <w:t>18 Misc3d 1114</w:t>
      </w:r>
      <w:r w:rsidR="0033104C" w:rsidRPr="00221C89">
        <w:rPr>
          <w:rFonts w:ascii="Times New Roman" w:hAnsi="Times New Roman" w:cs="Times New Roman"/>
          <w:sz w:val="24"/>
          <w:szCs w:val="24"/>
        </w:rPr>
        <w:t>[</w:t>
      </w:r>
      <w:r w:rsidR="00C42740" w:rsidRPr="00221C89">
        <w:rPr>
          <w:rFonts w:ascii="Times New Roman" w:hAnsi="Times New Roman" w:cs="Times New Roman"/>
          <w:sz w:val="24"/>
          <w:szCs w:val="24"/>
        </w:rPr>
        <w:t>A</w:t>
      </w:r>
      <w:r w:rsidR="0033104C" w:rsidRPr="00221C89">
        <w:rPr>
          <w:rFonts w:ascii="Times New Roman" w:hAnsi="Times New Roman" w:cs="Times New Roman"/>
          <w:sz w:val="24"/>
          <w:szCs w:val="24"/>
        </w:rPr>
        <w:t>], 2007 NY Slip Op 52510[U]</w:t>
      </w:r>
      <w:r w:rsidR="00C42740" w:rsidRPr="00221C89">
        <w:rPr>
          <w:rFonts w:ascii="Times New Roman" w:hAnsi="Times New Roman" w:cs="Times New Roman"/>
          <w:sz w:val="24"/>
          <w:szCs w:val="24"/>
        </w:rPr>
        <w:t xml:space="preserve"> [Sur Ct, Nassau County 2007]</w:t>
      </w:r>
      <w:r w:rsidR="001B0B04" w:rsidRPr="00221C89">
        <w:rPr>
          <w:rFonts w:ascii="Times New Roman" w:hAnsi="Times New Roman" w:cs="Times New Roman"/>
          <w:sz w:val="24"/>
          <w:szCs w:val="24"/>
        </w:rPr>
        <w:t xml:space="preserve">). </w:t>
      </w:r>
    </w:p>
    <w:p w14:paraId="406782BB" w14:textId="77777777" w:rsidR="00B10778" w:rsidRPr="00221C89" w:rsidRDefault="00B10778" w:rsidP="00F31666">
      <w:pPr>
        <w:spacing w:after="0" w:line="240" w:lineRule="auto"/>
        <w:jc w:val="both"/>
        <w:rPr>
          <w:rFonts w:ascii="Times New Roman" w:hAnsi="Times New Roman" w:cs="Times New Roman"/>
          <w:sz w:val="24"/>
          <w:szCs w:val="24"/>
        </w:rPr>
      </w:pPr>
    </w:p>
    <w:p w14:paraId="77A428EC" w14:textId="36ACB7A5" w:rsidR="0080524E" w:rsidRPr="00221C89" w:rsidRDefault="00F31666" w:rsidP="00F31666">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6801AE" w:rsidRPr="00221C89">
        <w:rPr>
          <w:rFonts w:ascii="Times New Roman" w:hAnsi="Times New Roman" w:cs="Times New Roman"/>
          <w:sz w:val="24"/>
          <w:szCs w:val="24"/>
        </w:rPr>
        <w:t>The affidavit of an interested person, incompetent to testify under the statute</w:t>
      </w:r>
      <w:r w:rsidR="00474865" w:rsidRPr="00221C89">
        <w:rPr>
          <w:rFonts w:ascii="Times New Roman" w:hAnsi="Times New Roman" w:cs="Times New Roman"/>
          <w:sz w:val="24"/>
          <w:szCs w:val="24"/>
        </w:rPr>
        <w:t>,</w:t>
      </w:r>
      <w:r w:rsidR="00021564" w:rsidRPr="00221C89">
        <w:rPr>
          <w:rFonts w:ascii="Times New Roman" w:hAnsi="Times New Roman" w:cs="Times New Roman"/>
          <w:sz w:val="24"/>
          <w:szCs w:val="24"/>
        </w:rPr>
        <w:t xml:space="preserve"> may not </w:t>
      </w:r>
      <w:r w:rsidR="006801AE" w:rsidRPr="00221C89">
        <w:rPr>
          <w:rFonts w:ascii="Times New Roman" w:hAnsi="Times New Roman" w:cs="Times New Roman"/>
          <w:sz w:val="24"/>
          <w:szCs w:val="24"/>
        </w:rPr>
        <w:t xml:space="preserve">be used to support a motion for summary judgment, but it </w:t>
      </w:r>
      <w:r w:rsidR="000170DC" w:rsidRPr="00221C89">
        <w:rPr>
          <w:rFonts w:ascii="Times New Roman" w:hAnsi="Times New Roman" w:cs="Times New Roman"/>
          <w:sz w:val="24"/>
          <w:szCs w:val="24"/>
        </w:rPr>
        <w:t xml:space="preserve">may </w:t>
      </w:r>
      <w:r w:rsidR="006801AE" w:rsidRPr="00221C89">
        <w:rPr>
          <w:rFonts w:ascii="Times New Roman" w:hAnsi="Times New Roman" w:cs="Times New Roman"/>
          <w:sz w:val="24"/>
          <w:szCs w:val="24"/>
        </w:rPr>
        <w:t xml:space="preserve">be used  to defeat such a motion by raising an issue of fact </w:t>
      </w:r>
      <w:r w:rsidR="001B0B04" w:rsidRPr="00221C89">
        <w:rPr>
          <w:rFonts w:ascii="Times New Roman" w:hAnsi="Times New Roman" w:cs="Times New Roman"/>
          <w:sz w:val="24"/>
          <w:szCs w:val="24"/>
        </w:rPr>
        <w:t>(</w:t>
      </w:r>
      <w:r w:rsidR="006801AE" w:rsidRPr="00221C89">
        <w:rPr>
          <w:rFonts w:ascii="Times New Roman" w:hAnsi="Times New Roman" w:cs="Times New Roman"/>
          <w:i/>
          <w:iCs/>
          <w:sz w:val="24"/>
          <w:szCs w:val="24"/>
        </w:rPr>
        <w:t>Phillips v Kantor &amp; Co</w:t>
      </w:r>
      <w:r w:rsidR="006801AE" w:rsidRPr="00221C89">
        <w:rPr>
          <w:rFonts w:ascii="Times New Roman" w:hAnsi="Times New Roman" w:cs="Times New Roman"/>
          <w:sz w:val="24"/>
          <w:szCs w:val="24"/>
        </w:rPr>
        <w:t>.</w:t>
      </w:r>
      <w:r w:rsidR="0033104C"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31 NY2d 307 [1972]</w:t>
      </w:r>
      <w:r w:rsidR="001B0B04" w:rsidRPr="00221C89">
        <w:rPr>
          <w:rFonts w:ascii="Times New Roman" w:hAnsi="Times New Roman" w:cs="Times New Roman"/>
          <w:sz w:val="24"/>
          <w:szCs w:val="24"/>
        </w:rPr>
        <w:t>)</w:t>
      </w:r>
      <w:r w:rsidR="001F3B95"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w:t>
      </w:r>
    </w:p>
    <w:p w14:paraId="021ACC9A" w14:textId="77777777" w:rsidR="00B10778" w:rsidRPr="00221C89" w:rsidRDefault="00B10778" w:rsidP="00F31666">
      <w:pPr>
        <w:spacing w:after="0" w:line="240" w:lineRule="auto"/>
        <w:jc w:val="both"/>
        <w:rPr>
          <w:rFonts w:ascii="Times New Roman" w:hAnsi="Times New Roman" w:cs="Times New Roman"/>
          <w:sz w:val="24"/>
          <w:szCs w:val="24"/>
        </w:rPr>
      </w:pPr>
    </w:p>
    <w:p w14:paraId="17C5C24A" w14:textId="5927D34F" w:rsidR="00C852C5" w:rsidRPr="00221C89" w:rsidRDefault="00A44973" w:rsidP="00CE66C6">
      <w:pPr>
        <w:spacing w:after="0" w:line="240" w:lineRule="auto"/>
        <w:jc w:val="both"/>
        <w:rPr>
          <w:rFonts w:ascii="Times New Roman" w:hAnsi="Times New Roman" w:cs="Times New Roman"/>
          <w:b/>
          <w:bCs/>
          <w:sz w:val="24"/>
          <w:szCs w:val="24"/>
        </w:rPr>
      </w:pPr>
      <w:bookmarkStart w:id="10" w:name="_Hlk57986716"/>
      <w:r w:rsidRPr="00221C89">
        <w:rPr>
          <w:rFonts w:ascii="Times New Roman" w:hAnsi="Times New Roman" w:cs="Times New Roman"/>
          <w:b/>
          <w:bCs/>
          <w:sz w:val="24"/>
          <w:szCs w:val="24"/>
        </w:rPr>
        <w:t>The witness w</w:t>
      </w:r>
      <w:r w:rsidR="00C852C5" w:rsidRPr="00221C89">
        <w:rPr>
          <w:rFonts w:ascii="Times New Roman" w:hAnsi="Times New Roman" w:cs="Times New Roman"/>
          <w:b/>
          <w:bCs/>
          <w:sz w:val="24"/>
          <w:szCs w:val="24"/>
        </w:rPr>
        <w:t>hose testimony the rule precludes</w:t>
      </w:r>
    </w:p>
    <w:bookmarkEnd w:id="10"/>
    <w:p w14:paraId="67E273B6" w14:textId="77777777" w:rsidR="00B10778" w:rsidRPr="00221C89" w:rsidRDefault="00B10778" w:rsidP="00CE66C6">
      <w:pPr>
        <w:spacing w:after="0" w:line="240" w:lineRule="auto"/>
        <w:jc w:val="both"/>
        <w:rPr>
          <w:rFonts w:ascii="Times New Roman" w:hAnsi="Times New Roman" w:cs="Times New Roman"/>
          <w:b/>
          <w:bCs/>
          <w:sz w:val="24"/>
          <w:szCs w:val="24"/>
        </w:rPr>
      </w:pPr>
    </w:p>
    <w:p w14:paraId="018A1FA2" w14:textId="517F8E15" w:rsidR="006801AE" w:rsidRPr="00221C89" w:rsidRDefault="00F31666" w:rsidP="00F31666">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376E32" w:rsidRPr="00221C89">
        <w:rPr>
          <w:rFonts w:ascii="Times New Roman" w:hAnsi="Times New Roman" w:cs="Times New Roman"/>
          <w:sz w:val="24"/>
          <w:szCs w:val="24"/>
        </w:rPr>
        <w:t xml:space="preserve">By </w:t>
      </w:r>
      <w:r w:rsidR="006A0E93" w:rsidRPr="00221C89">
        <w:rPr>
          <w:rFonts w:ascii="Times New Roman" w:hAnsi="Times New Roman" w:cs="Times New Roman"/>
          <w:sz w:val="24"/>
          <w:szCs w:val="24"/>
        </w:rPr>
        <w:t>CPLR 4519</w:t>
      </w:r>
      <w:r w:rsidR="00376E32" w:rsidRPr="00221C89">
        <w:rPr>
          <w:rFonts w:ascii="Times New Roman" w:hAnsi="Times New Roman" w:cs="Times New Roman"/>
          <w:sz w:val="24"/>
          <w:szCs w:val="24"/>
        </w:rPr>
        <w:t xml:space="preserve">, </w:t>
      </w:r>
      <w:r w:rsidR="00645359" w:rsidRPr="00221C89">
        <w:rPr>
          <w:rFonts w:ascii="Times New Roman" w:hAnsi="Times New Roman" w:cs="Times New Roman"/>
          <w:sz w:val="24"/>
          <w:szCs w:val="24"/>
        </w:rPr>
        <w:t xml:space="preserve">as recited in subdivision (1) of the rule, </w:t>
      </w:r>
      <w:r w:rsidR="006801AE" w:rsidRPr="00221C89">
        <w:rPr>
          <w:rFonts w:ascii="Times New Roman" w:hAnsi="Times New Roman" w:cs="Times New Roman"/>
          <w:sz w:val="24"/>
          <w:szCs w:val="24"/>
        </w:rPr>
        <w:t>“a party or a person interested in the event</w:t>
      </w:r>
      <w:r w:rsidR="0033104C"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or a person from, through or  under whom such a party or interested person derives his </w:t>
      </w:r>
      <w:r w:rsidR="00EC36E9" w:rsidRPr="00221C89">
        <w:rPr>
          <w:rFonts w:ascii="Times New Roman" w:hAnsi="Times New Roman" w:cs="Times New Roman"/>
          <w:sz w:val="24"/>
          <w:szCs w:val="24"/>
        </w:rPr>
        <w:t>[</w:t>
      </w:r>
      <w:r w:rsidR="006801AE" w:rsidRPr="00221C89">
        <w:rPr>
          <w:rFonts w:ascii="Times New Roman" w:hAnsi="Times New Roman" w:cs="Times New Roman"/>
          <w:sz w:val="24"/>
          <w:szCs w:val="24"/>
        </w:rPr>
        <w:t>or her</w:t>
      </w:r>
      <w:r w:rsidR="00EC373D"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interest or title  by assignment or otherwise</w:t>
      </w:r>
      <w:r w:rsidR="0033104C"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shall not be examined as a witness in his </w:t>
      </w:r>
      <w:r w:rsidR="00EC36E9" w:rsidRPr="00221C89">
        <w:rPr>
          <w:rFonts w:ascii="Times New Roman" w:hAnsi="Times New Roman" w:cs="Times New Roman"/>
          <w:sz w:val="24"/>
          <w:szCs w:val="24"/>
        </w:rPr>
        <w:t xml:space="preserve">[or her] </w:t>
      </w:r>
      <w:r w:rsidR="006801AE" w:rsidRPr="00221C89">
        <w:rPr>
          <w:rFonts w:ascii="Times New Roman" w:hAnsi="Times New Roman" w:cs="Times New Roman"/>
          <w:sz w:val="24"/>
          <w:szCs w:val="24"/>
        </w:rPr>
        <w:t>own behalf or interest</w:t>
      </w:r>
      <w:r w:rsidR="0033104C"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or in behalf of the party succeeding to his</w:t>
      </w:r>
      <w:r w:rsidR="00FC5FB3" w:rsidRPr="00221C89">
        <w:rPr>
          <w:rFonts w:ascii="Times New Roman" w:hAnsi="Times New Roman" w:cs="Times New Roman"/>
          <w:sz w:val="24"/>
          <w:szCs w:val="24"/>
        </w:rPr>
        <w:t xml:space="preserve"> [or her]</w:t>
      </w:r>
      <w:r w:rsidR="006801AE" w:rsidRPr="00221C89">
        <w:rPr>
          <w:rFonts w:ascii="Times New Roman" w:hAnsi="Times New Roman" w:cs="Times New Roman"/>
          <w:sz w:val="24"/>
          <w:szCs w:val="24"/>
        </w:rPr>
        <w:t xml:space="preserve"> title or interest</w:t>
      </w:r>
      <w:r w:rsidR="00A4608B" w:rsidRPr="00221C89">
        <w:rPr>
          <w:rFonts w:ascii="Times New Roman" w:hAnsi="Times New Roman" w:cs="Times New Roman"/>
          <w:sz w:val="24"/>
          <w:szCs w:val="24"/>
        </w:rPr>
        <w:t>.”</w:t>
      </w:r>
    </w:p>
    <w:p w14:paraId="7E002969" w14:textId="77777777" w:rsidR="00B10778" w:rsidRPr="00221C89" w:rsidRDefault="00B10778" w:rsidP="00F31666">
      <w:pPr>
        <w:spacing w:after="0" w:line="240" w:lineRule="auto"/>
        <w:jc w:val="both"/>
        <w:rPr>
          <w:rFonts w:ascii="Times New Roman" w:hAnsi="Times New Roman" w:cs="Times New Roman"/>
          <w:sz w:val="24"/>
          <w:szCs w:val="24"/>
        </w:rPr>
      </w:pPr>
    </w:p>
    <w:p w14:paraId="2AEC286D" w14:textId="01684CB6" w:rsidR="006801AE" w:rsidRPr="00221C89" w:rsidRDefault="00F31666" w:rsidP="00F31666">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lastRenderedPageBreak/>
        <w:tab/>
      </w:r>
      <w:r w:rsidR="0027447D" w:rsidRPr="00221C89">
        <w:rPr>
          <w:rFonts w:ascii="Times New Roman" w:hAnsi="Times New Roman" w:cs="Times New Roman"/>
          <w:sz w:val="24"/>
          <w:szCs w:val="24"/>
        </w:rPr>
        <w:t>The Court of Appeals has explained that the “</w:t>
      </w:r>
      <w:r w:rsidR="006801AE" w:rsidRPr="00221C89">
        <w:rPr>
          <w:rFonts w:ascii="Times New Roman" w:hAnsi="Times New Roman" w:cs="Times New Roman"/>
          <w:sz w:val="24"/>
          <w:szCs w:val="24"/>
        </w:rPr>
        <w:t>true test of the interest of a witness is</w:t>
      </w:r>
      <w:r w:rsidR="0033104C"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that he will either gain or lose by </w:t>
      </w:r>
      <w:r w:rsidR="0033104C" w:rsidRPr="00221C89">
        <w:rPr>
          <w:rFonts w:ascii="Times New Roman" w:hAnsi="Times New Roman" w:cs="Times New Roman"/>
          <w:sz w:val="24"/>
          <w:szCs w:val="24"/>
        </w:rPr>
        <w:t>the</w:t>
      </w:r>
      <w:r w:rsidR="006801AE" w:rsidRPr="00221C89">
        <w:rPr>
          <w:rFonts w:ascii="Times New Roman" w:hAnsi="Times New Roman" w:cs="Times New Roman"/>
          <w:sz w:val="24"/>
          <w:szCs w:val="24"/>
        </w:rPr>
        <w:t xml:space="preserve"> direct legal operation and effect of the judgment, or that the record will be legal evidence for or against him in some other action. It must be a present, certain and vested interest</w:t>
      </w:r>
      <w:r w:rsidR="0033104C"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and not an interest uncertain, remote</w:t>
      </w:r>
      <w:r w:rsidR="0033104C"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or contingent” </w:t>
      </w:r>
      <w:r w:rsidR="00CD6B60" w:rsidRPr="00221C89">
        <w:rPr>
          <w:rFonts w:ascii="Times New Roman" w:hAnsi="Times New Roman" w:cs="Times New Roman"/>
          <w:sz w:val="24"/>
          <w:szCs w:val="24"/>
        </w:rPr>
        <w:t>(</w:t>
      </w:r>
      <w:r w:rsidR="006801AE" w:rsidRPr="00221C89">
        <w:rPr>
          <w:rFonts w:ascii="Times New Roman" w:hAnsi="Times New Roman" w:cs="Times New Roman"/>
          <w:i/>
          <w:iCs/>
          <w:sz w:val="24"/>
          <w:szCs w:val="24"/>
        </w:rPr>
        <w:t>Hobart v Hobart</w:t>
      </w:r>
      <w:r w:rsidR="006801AE" w:rsidRPr="00221C89">
        <w:rPr>
          <w:rFonts w:ascii="Times New Roman" w:hAnsi="Times New Roman" w:cs="Times New Roman"/>
          <w:sz w:val="24"/>
          <w:szCs w:val="24"/>
        </w:rPr>
        <w:t>, 62 NY</w:t>
      </w:r>
      <w:r w:rsidR="00376E32"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80,</w:t>
      </w:r>
      <w:r w:rsidR="00376E32"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83</w:t>
      </w:r>
      <w:r w:rsidR="00376E32"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[187</w:t>
      </w:r>
      <w:r w:rsidR="0033104C" w:rsidRPr="00221C89">
        <w:rPr>
          <w:rFonts w:ascii="Times New Roman" w:hAnsi="Times New Roman" w:cs="Times New Roman"/>
          <w:sz w:val="24"/>
          <w:szCs w:val="24"/>
        </w:rPr>
        <w:t>5</w:t>
      </w:r>
      <w:r w:rsidR="006801AE" w:rsidRPr="00221C89">
        <w:rPr>
          <w:rFonts w:ascii="Times New Roman" w:hAnsi="Times New Roman" w:cs="Times New Roman"/>
          <w:sz w:val="24"/>
          <w:szCs w:val="24"/>
        </w:rPr>
        <w:t>]</w:t>
      </w:r>
      <w:r w:rsidR="00CD6B60" w:rsidRPr="00221C89">
        <w:rPr>
          <w:rFonts w:ascii="Times New Roman" w:hAnsi="Times New Roman" w:cs="Times New Roman"/>
          <w:sz w:val="24"/>
          <w:szCs w:val="24"/>
        </w:rPr>
        <w:t>)</w:t>
      </w:r>
      <w:r w:rsidR="00376E32"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w:t>
      </w:r>
      <w:r w:rsidR="00907122" w:rsidRPr="00221C89">
        <w:rPr>
          <w:rFonts w:ascii="Times New Roman" w:hAnsi="Times New Roman" w:cs="Times New Roman"/>
          <w:sz w:val="24"/>
          <w:szCs w:val="24"/>
        </w:rPr>
        <w:t>F</w:t>
      </w:r>
      <w:r w:rsidR="00E578F8" w:rsidRPr="00221C89">
        <w:rPr>
          <w:rFonts w:ascii="Times New Roman" w:hAnsi="Times New Roman" w:cs="Times New Roman"/>
          <w:sz w:val="24"/>
          <w:szCs w:val="24"/>
        </w:rPr>
        <w:t>or example, just before testifying, an interested wit</w:t>
      </w:r>
      <w:r w:rsidR="005E3442" w:rsidRPr="00221C89">
        <w:rPr>
          <w:rFonts w:ascii="Times New Roman" w:hAnsi="Times New Roman" w:cs="Times New Roman"/>
          <w:sz w:val="24"/>
          <w:szCs w:val="24"/>
        </w:rPr>
        <w:t xml:space="preserve">ness who was then incompetent to testify became </w:t>
      </w:r>
      <w:r w:rsidR="00E66F28" w:rsidRPr="00221C89">
        <w:rPr>
          <w:rFonts w:ascii="Times New Roman" w:hAnsi="Times New Roman" w:cs="Times New Roman"/>
          <w:sz w:val="24"/>
          <w:szCs w:val="24"/>
        </w:rPr>
        <w:t>disinterested and competent by transferring to his sister stock</w:t>
      </w:r>
      <w:r w:rsidR="006F2469" w:rsidRPr="00221C89">
        <w:rPr>
          <w:rFonts w:ascii="Times New Roman" w:hAnsi="Times New Roman" w:cs="Times New Roman"/>
          <w:sz w:val="24"/>
          <w:szCs w:val="24"/>
        </w:rPr>
        <w:t xml:space="preserve"> that had created his interest.  He no longer had a “present” interest in the pro</w:t>
      </w:r>
      <w:r w:rsidR="007708DC" w:rsidRPr="00221C89">
        <w:rPr>
          <w:rFonts w:ascii="Times New Roman" w:hAnsi="Times New Roman" w:cs="Times New Roman"/>
          <w:sz w:val="24"/>
          <w:szCs w:val="24"/>
        </w:rPr>
        <w:t>ceeding</w:t>
      </w:r>
      <w:r w:rsidR="00C260BB" w:rsidRPr="00221C89">
        <w:rPr>
          <w:rFonts w:ascii="Times New Roman" w:hAnsi="Times New Roman" w:cs="Times New Roman"/>
          <w:sz w:val="24"/>
          <w:szCs w:val="24"/>
        </w:rPr>
        <w:t xml:space="preserve"> </w:t>
      </w:r>
      <w:r w:rsidR="007708DC" w:rsidRPr="00221C89">
        <w:rPr>
          <w:rFonts w:ascii="Times New Roman" w:hAnsi="Times New Roman" w:cs="Times New Roman"/>
          <w:sz w:val="24"/>
          <w:szCs w:val="24"/>
        </w:rPr>
        <w:t>(</w:t>
      </w:r>
      <w:r w:rsidR="007708DC" w:rsidRPr="00221C89">
        <w:rPr>
          <w:rFonts w:ascii="Times New Roman" w:hAnsi="Times New Roman" w:cs="Times New Roman"/>
          <w:i/>
          <w:sz w:val="24"/>
          <w:szCs w:val="24"/>
        </w:rPr>
        <w:t>Friedri</w:t>
      </w:r>
      <w:r w:rsidR="00AF2BFD" w:rsidRPr="00221C89">
        <w:rPr>
          <w:rFonts w:ascii="Times New Roman" w:hAnsi="Times New Roman" w:cs="Times New Roman"/>
          <w:i/>
          <w:sz w:val="24"/>
          <w:szCs w:val="24"/>
        </w:rPr>
        <w:t>c</w:t>
      </w:r>
      <w:r w:rsidR="0033104C" w:rsidRPr="00221C89">
        <w:rPr>
          <w:rFonts w:ascii="Times New Roman" w:hAnsi="Times New Roman" w:cs="Times New Roman"/>
          <w:i/>
          <w:sz w:val="24"/>
          <w:szCs w:val="24"/>
        </w:rPr>
        <w:t>h</w:t>
      </w:r>
      <w:r w:rsidR="00AF2BFD" w:rsidRPr="00221C89">
        <w:rPr>
          <w:rFonts w:ascii="Times New Roman" w:hAnsi="Times New Roman" w:cs="Times New Roman"/>
          <w:i/>
          <w:sz w:val="24"/>
          <w:szCs w:val="24"/>
        </w:rPr>
        <w:t xml:space="preserve"> v Martin</w:t>
      </w:r>
      <w:r w:rsidR="00AF2BFD" w:rsidRPr="00221C89">
        <w:rPr>
          <w:rFonts w:ascii="Times New Roman" w:hAnsi="Times New Roman" w:cs="Times New Roman"/>
          <w:sz w:val="24"/>
          <w:szCs w:val="24"/>
        </w:rPr>
        <w:t>, 294 NY 588 [1945</w:t>
      </w:r>
      <w:r w:rsidR="00922510" w:rsidRPr="00221C89">
        <w:rPr>
          <w:rFonts w:ascii="Times New Roman" w:hAnsi="Times New Roman" w:cs="Times New Roman"/>
          <w:sz w:val="24"/>
          <w:szCs w:val="24"/>
        </w:rPr>
        <w:t>]</w:t>
      </w:r>
      <w:r w:rsidR="00AD7A88" w:rsidRPr="00221C89">
        <w:rPr>
          <w:rFonts w:ascii="Times New Roman" w:hAnsi="Times New Roman" w:cs="Times New Roman"/>
          <w:sz w:val="24"/>
          <w:szCs w:val="24"/>
        </w:rPr>
        <w:t>)</w:t>
      </w:r>
      <w:r w:rsidR="00C260BB" w:rsidRPr="00221C89">
        <w:rPr>
          <w:rFonts w:ascii="Times New Roman" w:hAnsi="Times New Roman" w:cs="Times New Roman"/>
          <w:sz w:val="24"/>
          <w:szCs w:val="24"/>
        </w:rPr>
        <w:t xml:space="preserve">. </w:t>
      </w:r>
      <w:r w:rsidR="00922510" w:rsidRPr="00221C89">
        <w:rPr>
          <w:rFonts w:ascii="Times New Roman" w:hAnsi="Times New Roman" w:cs="Times New Roman"/>
          <w:sz w:val="24"/>
          <w:szCs w:val="24"/>
        </w:rPr>
        <w:t xml:space="preserve"> It</w:t>
      </w:r>
      <w:r w:rsidR="00574466" w:rsidRPr="00221C89">
        <w:rPr>
          <w:rFonts w:ascii="Times New Roman" w:hAnsi="Times New Roman" w:cs="Times New Roman"/>
          <w:sz w:val="24"/>
          <w:szCs w:val="24"/>
        </w:rPr>
        <w:t xml:space="preserve"> has been held that the interest must be financial </w:t>
      </w:r>
      <w:r w:rsidR="00932FD0" w:rsidRPr="00221C89">
        <w:rPr>
          <w:rFonts w:ascii="Times New Roman" w:hAnsi="Times New Roman" w:cs="Times New Roman"/>
          <w:sz w:val="24"/>
          <w:szCs w:val="24"/>
        </w:rPr>
        <w:t>(</w:t>
      </w:r>
      <w:r w:rsidR="00574466" w:rsidRPr="00221C89">
        <w:rPr>
          <w:rFonts w:ascii="Times New Roman" w:hAnsi="Times New Roman" w:cs="Times New Roman"/>
          <w:i/>
          <w:iCs/>
          <w:sz w:val="24"/>
          <w:szCs w:val="24"/>
        </w:rPr>
        <w:t>Tworkowski v Tworkowski</w:t>
      </w:r>
      <w:r w:rsidR="00574466" w:rsidRPr="00221C89">
        <w:rPr>
          <w:rFonts w:ascii="Times New Roman" w:hAnsi="Times New Roman" w:cs="Times New Roman"/>
          <w:iCs/>
          <w:sz w:val="24"/>
          <w:szCs w:val="24"/>
        </w:rPr>
        <w:t>,</w:t>
      </w:r>
      <w:r w:rsidR="00574466" w:rsidRPr="00221C89">
        <w:rPr>
          <w:rFonts w:ascii="Times New Roman" w:hAnsi="Times New Roman" w:cs="Times New Roman"/>
          <w:sz w:val="24"/>
          <w:szCs w:val="24"/>
        </w:rPr>
        <w:t xml:space="preserve"> 181 Misc 2d 1038 [Sup Ct, Kings County 1999]</w:t>
      </w:r>
      <w:r w:rsidR="00932FD0" w:rsidRPr="00221C89">
        <w:rPr>
          <w:rFonts w:ascii="Times New Roman" w:hAnsi="Times New Roman" w:cs="Times New Roman"/>
          <w:sz w:val="24"/>
          <w:szCs w:val="24"/>
        </w:rPr>
        <w:t>)</w:t>
      </w:r>
      <w:r w:rsidR="00574466" w:rsidRPr="00221C89">
        <w:rPr>
          <w:rFonts w:ascii="Times New Roman" w:hAnsi="Times New Roman" w:cs="Times New Roman"/>
          <w:sz w:val="24"/>
          <w:szCs w:val="24"/>
        </w:rPr>
        <w:t>.</w:t>
      </w:r>
    </w:p>
    <w:p w14:paraId="322294F8" w14:textId="77777777" w:rsidR="00B10778" w:rsidRPr="00221C89" w:rsidRDefault="00B10778" w:rsidP="00F31666">
      <w:pPr>
        <w:spacing w:after="0" w:line="240" w:lineRule="auto"/>
        <w:jc w:val="both"/>
        <w:rPr>
          <w:rFonts w:ascii="Times New Roman" w:hAnsi="Times New Roman" w:cs="Times New Roman"/>
          <w:sz w:val="24"/>
          <w:szCs w:val="24"/>
        </w:rPr>
      </w:pPr>
    </w:p>
    <w:p w14:paraId="2F1104CC" w14:textId="66656A87" w:rsidR="007E5699" w:rsidRPr="00221C89" w:rsidRDefault="00F31666" w:rsidP="00F31666">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6801AE" w:rsidRPr="00221C89">
        <w:rPr>
          <w:rFonts w:ascii="Times New Roman" w:hAnsi="Times New Roman" w:cs="Times New Roman"/>
          <w:sz w:val="24"/>
          <w:szCs w:val="24"/>
        </w:rPr>
        <w:t xml:space="preserve">Generally, the executor </w:t>
      </w:r>
      <w:r w:rsidR="00843138" w:rsidRPr="00221C89">
        <w:rPr>
          <w:rFonts w:ascii="Times New Roman" w:hAnsi="Times New Roman" w:cs="Times New Roman"/>
          <w:sz w:val="24"/>
          <w:szCs w:val="24"/>
        </w:rPr>
        <w:t xml:space="preserve">of the estate </w:t>
      </w:r>
      <w:r w:rsidR="006801AE" w:rsidRPr="00221C89">
        <w:rPr>
          <w:rFonts w:ascii="Times New Roman" w:hAnsi="Times New Roman" w:cs="Times New Roman"/>
          <w:sz w:val="24"/>
          <w:szCs w:val="24"/>
        </w:rPr>
        <w:t xml:space="preserve">is not disqualified from testifying under the Dead </w:t>
      </w:r>
      <w:r w:rsidR="00FE6946" w:rsidRPr="00221C89">
        <w:rPr>
          <w:rFonts w:ascii="Times New Roman" w:hAnsi="Times New Roman" w:cs="Times New Roman"/>
          <w:sz w:val="24"/>
          <w:szCs w:val="24"/>
        </w:rPr>
        <w:t>M</w:t>
      </w:r>
      <w:r w:rsidR="006801AE" w:rsidRPr="00221C89">
        <w:rPr>
          <w:rFonts w:ascii="Times New Roman" w:hAnsi="Times New Roman" w:cs="Times New Roman"/>
          <w:sz w:val="24"/>
          <w:szCs w:val="24"/>
        </w:rPr>
        <w:t xml:space="preserve">an’s </w:t>
      </w:r>
      <w:r w:rsidR="00A61DF0" w:rsidRPr="00221C89">
        <w:rPr>
          <w:rFonts w:ascii="Times New Roman" w:hAnsi="Times New Roman" w:cs="Times New Roman"/>
          <w:sz w:val="24"/>
          <w:szCs w:val="24"/>
        </w:rPr>
        <w:t>S</w:t>
      </w:r>
      <w:r w:rsidR="006801AE" w:rsidRPr="00221C89">
        <w:rPr>
          <w:rFonts w:ascii="Times New Roman" w:hAnsi="Times New Roman" w:cs="Times New Roman"/>
          <w:sz w:val="24"/>
          <w:szCs w:val="24"/>
        </w:rPr>
        <w:t xml:space="preserve">tatute. An executor’s commissions are fixed by statute and the fact that </w:t>
      </w:r>
      <w:r w:rsidR="00391B07" w:rsidRPr="00221C89">
        <w:rPr>
          <w:rFonts w:ascii="Times New Roman" w:hAnsi="Times New Roman" w:cs="Times New Roman"/>
          <w:sz w:val="24"/>
          <w:szCs w:val="24"/>
        </w:rPr>
        <w:t xml:space="preserve">the </w:t>
      </w:r>
      <w:r w:rsidR="006801AE" w:rsidRPr="00221C89">
        <w:rPr>
          <w:rFonts w:ascii="Times New Roman" w:hAnsi="Times New Roman" w:cs="Times New Roman"/>
          <w:sz w:val="24"/>
          <w:szCs w:val="24"/>
        </w:rPr>
        <w:t xml:space="preserve">executor will receive them does not make him financially interested in the outcome </w:t>
      </w:r>
      <w:r w:rsidR="008B4CA3" w:rsidRPr="00221C89">
        <w:rPr>
          <w:rFonts w:ascii="Times New Roman" w:hAnsi="Times New Roman" w:cs="Times New Roman"/>
          <w:sz w:val="24"/>
          <w:szCs w:val="24"/>
        </w:rPr>
        <w:t>(</w:t>
      </w:r>
      <w:r w:rsidR="006C292F" w:rsidRPr="00221C89">
        <w:rPr>
          <w:rFonts w:ascii="Times New Roman" w:hAnsi="Times New Roman" w:cs="Times New Roman"/>
          <w:i/>
          <w:iCs/>
          <w:sz w:val="24"/>
          <w:szCs w:val="24"/>
        </w:rPr>
        <w:t>Matter of</w:t>
      </w:r>
      <w:r w:rsidR="00AD7A88" w:rsidRPr="00221C89">
        <w:rPr>
          <w:rFonts w:ascii="Times New Roman" w:hAnsi="Times New Roman" w:cs="Times New Roman"/>
          <w:i/>
          <w:iCs/>
          <w:sz w:val="24"/>
          <w:szCs w:val="24"/>
        </w:rPr>
        <w:t xml:space="preserve"> </w:t>
      </w:r>
      <w:r w:rsidR="006801AE" w:rsidRPr="00221C89">
        <w:rPr>
          <w:rFonts w:ascii="Times New Roman" w:hAnsi="Times New Roman" w:cs="Times New Roman"/>
          <w:i/>
          <w:iCs/>
          <w:sz w:val="24"/>
          <w:szCs w:val="24"/>
        </w:rPr>
        <w:t>Wilson</w:t>
      </w:r>
      <w:r w:rsidR="006801AE" w:rsidRPr="00221C89">
        <w:rPr>
          <w:rFonts w:ascii="Times New Roman" w:hAnsi="Times New Roman" w:cs="Times New Roman"/>
          <w:sz w:val="24"/>
          <w:szCs w:val="24"/>
        </w:rPr>
        <w:t>,</w:t>
      </w:r>
      <w:r w:rsidR="006C292F"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103 NY 374</w:t>
      </w:r>
      <w:r w:rsidR="006C292F"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[1</w:t>
      </w:r>
      <w:r w:rsidR="00AD7A88" w:rsidRPr="00221C89">
        <w:rPr>
          <w:rFonts w:ascii="Times New Roman" w:hAnsi="Times New Roman" w:cs="Times New Roman"/>
          <w:sz w:val="24"/>
          <w:szCs w:val="24"/>
        </w:rPr>
        <w:t>8</w:t>
      </w:r>
      <w:r w:rsidR="006801AE" w:rsidRPr="00221C89">
        <w:rPr>
          <w:rFonts w:ascii="Times New Roman" w:hAnsi="Times New Roman" w:cs="Times New Roman"/>
          <w:sz w:val="24"/>
          <w:szCs w:val="24"/>
        </w:rPr>
        <w:t>86]</w:t>
      </w:r>
      <w:r w:rsidR="008B4CA3" w:rsidRPr="00221C89">
        <w:rPr>
          <w:rFonts w:ascii="Times New Roman" w:hAnsi="Times New Roman" w:cs="Times New Roman"/>
          <w:sz w:val="24"/>
          <w:szCs w:val="24"/>
        </w:rPr>
        <w:t>)</w:t>
      </w:r>
      <w:r w:rsidR="00962FAC"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 </w:t>
      </w:r>
      <w:r w:rsidR="0046282A" w:rsidRPr="00221C89">
        <w:rPr>
          <w:rFonts w:ascii="Times New Roman" w:hAnsi="Times New Roman" w:cs="Times New Roman"/>
          <w:sz w:val="24"/>
          <w:szCs w:val="24"/>
        </w:rPr>
        <w:t xml:space="preserve">If </w:t>
      </w:r>
      <w:r w:rsidR="006801AE" w:rsidRPr="00221C89">
        <w:rPr>
          <w:rFonts w:ascii="Times New Roman" w:hAnsi="Times New Roman" w:cs="Times New Roman"/>
          <w:sz w:val="24"/>
          <w:szCs w:val="24"/>
        </w:rPr>
        <w:t>there is</w:t>
      </w:r>
      <w:r w:rsidR="0046282A" w:rsidRPr="00221C89">
        <w:rPr>
          <w:rFonts w:ascii="Times New Roman" w:hAnsi="Times New Roman" w:cs="Times New Roman"/>
          <w:sz w:val="24"/>
          <w:szCs w:val="24"/>
        </w:rPr>
        <w:t>, however,</w:t>
      </w:r>
      <w:r w:rsidR="006801AE" w:rsidRPr="00221C89">
        <w:rPr>
          <w:rFonts w:ascii="Times New Roman" w:hAnsi="Times New Roman" w:cs="Times New Roman"/>
          <w:sz w:val="24"/>
          <w:szCs w:val="24"/>
        </w:rPr>
        <w:t xml:space="preserve"> a bequest to the </w:t>
      </w:r>
      <w:r w:rsidR="004F1B7B" w:rsidRPr="00221C89">
        <w:rPr>
          <w:rFonts w:ascii="Times New Roman" w:hAnsi="Times New Roman" w:cs="Times New Roman"/>
          <w:sz w:val="24"/>
          <w:szCs w:val="24"/>
        </w:rPr>
        <w:t>e</w:t>
      </w:r>
      <w:r w:rsidR="006801AE" w:rsidRPr="00221C89">
        <w:rPr>
          <w:rFonts w:ascii="Times New Roman" w:hAnsi="Times New Roman" w:cs="Times New Roman"/>
          <w:sz w:val="24"/>
          <w:szCs w:val="24"/>
        </w:rPr>
        <w:t>xecutor in the will</w:t>
      </w:r>
      <w:r w:rsidR="00D951B8"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or if he or she has a claim against the estate</w:t>
      </w:r>
      <w:r w:rsidR="00D951B8"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the executor will be considered an interested party and barred from testifying</w:t>
      </w:r>
      <w:r w:rsidR="00AD7A88" w:rsidRPr="00221C89">
        <w:rPr>
          <w:rFonts w:ascii="Times New Roman" w:hAnsi="Times New Roman" w:cs="Times New Roman"/>
          <w:sz w:val="24"/>
          <w:szCs w:val="24"/>
        </w:rPr>
        <w:t xml:space="preserve"> </w:t>
      </w:r>
      <w:r w:rsidR="00543921" w:rsidRPr="00221C89">
        <w:rPr>
          <w:rFonts w:ascii="Times New Roman" w:hAnsi="Times New Roman" w:cs="Times New Roman"/>
          <w:sz w:val="24"/>
          <w:szCs w:val="24"/>
        </w:rPr>
        <w:t>(</w:t>
      </w:r>
      <w:r w:rsidR="009B3D85" w:rsidRPr="00221C89">
        <w:rPr>
          <w:rFonts w:ascii="Times New Roman" w:hAnsi="Times New Roman" w:cs="Times New Roman"/>
          <w:i/>
          <w:iCs/>
          <w:sz w:val="24"/>
          <w:szCs w:val="24"/>
        </w:rPr>
        <w:t>Matter of</w:t>
      </w:r>
      <w:r w:rsidR="006801AE" w:rsidRPr="00221C89">
        <w:rPr>
          <w:rFonts w:ascii="Times New Roman" w:hAnsi="Times New Roman" w:cs="Times New Roman"/>
          <w:i/>
          <w:iCs/>
          <w:sz w:val="24"/>
          <w:szCs w:val="24"/>
        </w:rPr>
        <w:t xml:space="preserve"> Green</w:t>
      </w:r>
      <w:r w:rsidR="006801AE" w:rsidRPr="00221C89">
        <w:rPr>
          <w:rFonts w:ascii="Times New Roman" w:hAnsi="Times New Roman" w:cs="Times New Roman"/>
          <w:iCs/>
          <w:sz w:val="24"/>
          <w:szCs w:val="24"/>
        </w:rPr>
        <w:t>,</w:t>
      </w:r>
      <w:r w:rsidR="006801AE" w:rsidRPr="00221C89">
        <w:rPr>
          <w:rFonts w:ascii="Times New Roman" w:hAnsi="Times New Roman" w:cs="Times New Roman"/>
          <w:sz w:val="24"/>
          <w:szCs w:val="24"/>
        </w:rPr>
        <w:t xml:space="preserve"> 247 A</w:t>
      </w:r>
      <w:r w:rsidR="0033104C" w:rsidRPr="00221C89">
        <w:rPr>
          <w:rFonts w:ascii="Times New Roman" w:hAnsi="Times New Roman" w:cs="Times New Roman"/>
          <w:sz w:val="24"/>
          <w:szCs w:val="24"/>
        </w:rPr>
        <w:t xml:space="preserve">pp </w:t>
      </w:r>
      <w:r w:rsidR="006801AE" w:rsidRPr="00221C89">
        <w:rPr>
          <w:rFonts w:ascii="Times New Roman" w:hAnsi="Times New Roman" w:cs="Times New Roman"/>
          <w:sz w:val="24"/>
          <w:szCs w:val="24"/>
        </w:rPr>
        <w:t>D</w:t>
      </w:r>
      <w:r w:rsidR="0033104C" w:rsidRPr="00221C89">
        <w:rPr>
          <w:rFonts w:ascii="Times New Roman" w:hAnsi="Times New Roman" w:cs="Times New Roman"/>
          <w:sz w:val="24"/>
          <w:szCs w:val="24"/>
        </w:rPr>
        <w:t>iv</w:t>
      </w:r>
      <w:r w:rsidR="006801AE" w:rsidRPr="00221C89">
        <w:rPr>
          <w:rFonts w:ascii="Times New Roman" w:hAnsi="Times New Roman" w:cs="Times New Roman"/>
          <w:sz w:val="24"/>
          <w:szCs w:val="24"/>
        </w:rPr>
        <w:t xml:space="preserve"> 540 [4</w:t>
      </w:r>
      <w:r w:rsidR="0033104C" w:rsidRPr="00221C89">
        <w:rPr>
          <w:rFonts w:ascii="Times New Roman" w:hAnsi="Times New Roman" w:cs="Times New Roman"/>
          <w:sz w:val="24"/>
          <w:szCs w:val="24"/>
        </w:rPr>
        <w:t xml:space="preserve">th </w:t>
      </w:r>
      <w:r w:rsidR="006801AE" w:rsidRPr="00221C89">
        <w:rPr>
          <w:rFonts w:ascii="Times New Roman" w:hAnsi="Times New Roman" w:cs="Times New Roman"/>
          <w:sz w:val="24"/>
          <w:szCs w:val="24"/>
        </w:rPr>
        <w:t>Dept 1936])</w:t>
      </w:r>
      <w:r w:rsidR="00962FAC" w:rsidRPr="00221C89">
        <w:rPr>
          <w:rFonts w:ascii="Times New Roman" w:hAnsi="Times New Roman" w:cs="Times New Roman"/>
          <w:sz w:val="24"/>
          <w:szCs w:val="24"/>
        </w:rPr>
        <w:t>.</w:t>
      </w:r>
    </w:p>
    <w:p w14:paraId="0099C0BA" w14:textId="77777777" w:rsidR="00B10778" w:rsidRPr="00221C89" w:rsidRDefault="00B10778" w:rsidP="00F31666">
      <w:pPr>
        <w:spacing w:after="0" w:line="240" w:lineRule="auto"/>
        <w:jc w:val="both"/>
        <w:rPr>
          <w:rFonts w:ascii="Times New Roman" w:hAnsi="Times New Roman" w:cs="Times New Roman"/>
          <w:sz w:val="24"/>
          <w:szCs w:val="24"/>
        </w:rPr>
      </w:pPr>
    </w:p>
    <w:p w14:paraId="3BA30F0D" w14:textId="4389859D" w:rsidR="007662CA" w:rsidRPr="00221C89" w:rsidRDefault="006801AE" w:rsidP="00CE66C6">
      <w:pPr>
        <w:spacing w:after="0" w:line="240" w:lineRule="auto"/>
        <w:ind w:firstLine="720"/>
        <w:jc w:val="both"/>
        <w:rPr>
          <w:rFonts w:ascii="Times New Roman" w:hAnsi="Times New Roman" w:cs="Times New Roman"/>
          <w:sz w:val="24"/>
          <w:szCs w:val="24"/>
        </w:rPr>
      </w:pPr>
      <w:r w:rsidRPr="00221C89">
        <w:rPr>
          <w:rFonts w:ascii="Times New Roman" w:hAnsi="Times New Roman" w:cs="Times New Roman"/>
          <w:sz w:val="24"/>
          <w:szCs w:val="24"/>
        </w:rPr>
        <w:t xml:space="preserve">Relationship through blood or marriage to an interested party standing alone does not make the relative an interested party </w:t>
      </w:r>
      <w:r w:rsidR="00543921" w:rsidRPr="00221C89">
        <w:rPr>
          <w:rFonts w:ascii="Times New Roman" w:hAnsi="Times New Roman" w:cs="Times New Roman"/>
          <w:sz w:val="24"/>
          <w:szCs w:val="24"/>
        </w:rPr>
        <w:t>(</w:t>
      </w:r>
      <w:r w:rsidRPr="00221C89">
        <w:rPr>
          <w:rFonts w:ascii="Times New Roman" w:hAnsi="Times New Roman" w:cs="Times New Roman"/>
          <w:i/>
          <w:iCs/>
          <w:sz w:val="24"/>
          <w:szCs w:val="24"/>
        </w:rPr>
        <w:t>Laka v Krystek</w:t>
      </w:r>
      <w:r w:rsidR="006F65A3" w:rsidRPr="00221C89">
        <w:rPr>
          <w:rFonts w:ascii="Times New Roman" w:hAnsi="Times New Roman" w:cs="Times New Roman"/>
          <w:iCs/>
          <w:sz w:val="24"/>
          <w:szCs w:val="24"/>
        </w:rPr>
        <w:t>,</w:t>
      </w:r>
      <w:r w:rsidRPr="00221C89">
        <w:rPr>
          <w:rFonts w:ascii="Times New Roman" w:hAnsi="Times New Roman" w:cs="Times New Roman"/>
          <w:sz w:val="24"/>
          <w:szCs w:val="24"/>
        </w:rPr>
        <w:t xml:space="preserve"> 261 NY 126</w:t>
      </w:r>
      <w:r w:rsidR="006F65A3" w:rsidRPr="00221C89">
        <w:rPr>
          <w:rFonts w:ascii="Times New Roman" w:hAnsi="Times New Roman" w:cs="Times New Roman"/>
          <w:sz w:val="24"/>
          <w:szCs w:val="24"/>
        </w:rPr>
        <w:t xml:space="preserve"> </w:t>
      </w:r>
      <w:r w:rsidRPr="00221C89">
        <w:rPr>
          <w:rFonts w:ascii="Times New Roman" w:hAnsi="Times New Roman" w:cs="Times New Roman"/>
          <w:sz w:val="24"/>
          <w:szCs w:val="24"/>
        </w:rPr>
        <w:t>[1933]</w:t>
      </w:r>
      <w:r w:rsidR="00543921" w:rsidRPr="00221C89">
        <w:rPr>
          <w:rFonts w:ascii="Times New Roman" w:hAnsi="Times New Roman" w:cs="Times New Roman"/>
          <w:sz w:val="24"/>
          <w:szCs w:val="24"/>
        </w:rPr>
        <w:t>)</w:t>
      </w:r>
      <w:r w:rsidR="009B3D85" w:rsidRPr="00221C89">
        <w:rPr>
          <w:rFonts w:ascii="Times New Roman" w:hAnsi="Times New Roman" w:cs="Times New Roman"/>
          <w:sz w:val="24"/>
          <w:szCs w:val="24"/>
        </w:rPr>
        <w:t>.</w:t>
      </w:r>
    </w:p>
    <w:p w14:paraId="1A06ED54" w14:textId="77777777" w:rsidR="00B10778" w:rsidRPr="00221C89" w:rsidRDefault="00B10778" w:rsidP="00F31666">
      <w:pPr>
        <w:spacing w:after="0" w:line="240" w:lineRule="auto"/>
        <w:jc w:val="both"/>
        <w:rPr>
          <w:rFonts w:ascii="Times New Roman" w:hAnsi="Times New Roman" w:cs="Times New Roman"/>
          <w:sz w:val="24"/>
          <w:szCs w:val="24"/>
        </w:rPr>
      </w:pPr>
    </w:p>
    <w:p w14:paraId="40D79545" w14:textId="18066C3C" w:rsidR="006801AE" w:rsidRPr="00221C89" w:rsidRDefault="00F31666" w:rsidP="00F31666">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4A0C93" w:rsidRPr="00221C89">
        <w:rPr>
          <w:rFonts w:ascii="Times New Roman" w:hAnsi="Times New Roman" w:cs="Times New Roman"/>
          <w:sz w:val="24"/>
          <w:szCs w:val="24"/>
        </w:rPr>
        <w:t>A</w:t>
      </w:r>
      <w:r w:rsidR="00422658" w:rsidRPr="00221C89">
        <w:rPr>
          <w:rFonts w:ascii="Times New Roman" w:hAnsi="Times New Roman" w:cs="Times New Roman"/>
          <w:sz w:val="24"/>
          <w:szCs w:val="24"/>
        </w:rPr>
        <w:t xml:space="preserve">n </w:t>
      </w:r>
      <w:r w:rsidR="006801AE" w:rsidRPr="00221C89">
        <w:rPr>
          <w:rFonts w:ascii="Times New Roman" w:hAnsi="Times New Roman" w:cs="Times New Roman"/>
          <w:sz w:val="24"/>
          <w:szCs w:val="24"/>
        </w:rPr>
        <w:t xml:space="preserve">interested person or party may not be examined </w:t>
      </w:r>
      <w:r w:rsidR="00C260BB" w:rsidRPr="00221C89">
        <w:rPr>
          <w:rFonts w:ascii="Times New Roman" w:hAnsi="Times New Roman" w:cs="Times New Roman"/>
          <w:sz w:val="24"/>
          <w:szCs w:val="24"/>
        </w:rPr>
        <w:t>“</w:t>
      </w:r>
      <w:r w:rsidR="00632562" w:rsidRPr="00221C89">
        <w:rPr>
          <w:rFonts w:ascii="Times New Roman" w:hAnsi="Times New Roman" w:cs="Times New Roman"/>
          <w:sz w:val="24"/>
          <w:szCs w:val="24"/>
        </w:rPr>
        <w:t>as</w:t>
      </w:r>
      <w:r w:rsidR="006801AE" w:rsidRPr="00221C89">
        <w:rPr>
          <w:rFonts w:ascii="Times New Roman" w:hAnsi="Times New Roman" w:cs="Times New Roman"/>
          <w:b/>
          <w:bCs/>
          <w:sz w:val="24"/>
          <w:szCs w:val="24"/>
        </w:rPr>
        <w:t xml:space="preserve"> </w:t>
      </w:r>
      <w:r w:rsidR="006801AE" w:rsidRPr="00221C89">
        <w:rPr>
          <w:rFonts w:ascii="Times New Roman" w:hAnsi="Times New Roman" w:cs="Times New Roman"/>
          <w:sz w:val="24"/>
          <w:szCs w:val="24"/>
        </w:rPr>
        <w:t>a witness in his own behalf or interest</w:t>
      </w:r>
      <w:r w:rsidR="006F65A3"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or </w:t>
      </w:r>
      <w:r w:rsidR="006F65A3" w:rsidRPr="00221C89">
        <w:rPr>
          <w:rFonts w:ascii="Times New Roman" w:hAnsi="Times New Roman" w:cs="Times New Roman"/>
          <w:sz w:val="24"/>
          <w:szCs w:val="24"/>
        </w:rPr>
        <w:t>i</w:t>
      </w:r>
      <w:r w:rsidR="006801AE" w:rsidRPr="00221C89">
        <w:rPr>
          <w:rFonts w:ascii="Times New Roman" w:hAnsi="Times New Roman" w:cs="Times New Roman"/>
          <w:sz w:val="24"/>
          <w:szCs w:val="24"/>
        </w:rPr>
        <w:t xml:space="preserve">n behalf of the party succeeding to his title </w:t>
      </w:r>
      <w:r w:rsidR="00892D5B" w:rsidRPr="00221C89">
        <w:rPr>
          <w:rFonts w:ascii="Times New Roman" w:hAnsi="Times New Roman" w:cs="Times New Roman"/>
          <w:sz w:val="24"/>
          <w:szCs w:val="24"/>
        </w:rPr>
        <w:t xml:space="preserve">or </w:t>
      </w:r>
      <w:r w:rsidR="006801AE" w:rsidRPr="00221C89">
        <w:rPr>
          <w:rFonts w:ascii="Times New Roman" w:hAnsi="Times New Roman" w:cs="Times New Roman"/>
          <w:sz w:val="24"/>
          <w:szCs w:val="24"/>
        </w:rPr>
        <w:t>interest</w:t>
      </w:r>
      <w:r w:rsidR="00C260BB" w:rsidRPr="00221C89">
        <w:rPr>
          <w:rFonts w:ascii="Times New Roman" w:hAnsi="Times New Roman" w:cs="Times New Roman"/>
          <w:sz w:val="24"/>
          <w:szCs w:val="24"/>
        </w:rPr>
        <w:t>” (</w:t>
      </w:r>
      <w:r w:rsidR="00965ADB" w:rsidRPr="00221C89">
        <w:rPr>
          <w:rFonts w:ascii="Times New Roman" w:hAnsi="Times New Roman" w:cs="Times New Roman"/>
          <w:sz w:val="24"/>
          <w:szCs w:val="24"/>
        </w:rPr>
        <w:t>CPLR 4519</w:t>
      </w:r>
      <w:r w:rsidR="00C260BB" w:rsidRPr="00221C89">
        <w:rPr>
          <w:rFonts w:ascii="Times New Roman" w:hAnsi="Times New Roman" w:cs="Times New Roman"/>
          <w:sz w:val="24"/>
          <w:szCs w:val="24"/>
        </w:rPr>
        <w:t xml:space="preserve">; </w:t>
      </w:r>
      <w:r w:rsidR="006801AE" w:rsidRPr="00221C89">
        <w:rPr>
          <w:rFonts w:ascii="Times New Roman" w:hAnsi="Times New Roman" w:cs="Times New Roman"/>
          <w:i/>
          <w:iCs/>
          <w:sz w:val="24"/>
          <w:szCs w:val="24"/>
        </w:rPr>
        <w:t>Ro</w:t>
      </w:r>
      <w:r w:rsidR="001F3532" w:rsidRPr="00221C89">
        <w:rPr>
          <w:rFonts w:ascii="Times New Roman" w:hAnsi="Times New Roman" w:cs="Times New Roman"/>
          <w:i/>
          <w:iCs/>
          <w:sz w:val="24"/>
          <w:szCs w:val="24"/>
        </w:rPr>
        <w:t>sseau</w:t>
      </w:r>
      <w:r w:rsidR="006801AE" w:rsidRPr="00221C89">
        <w:rPr>
          <w:rFonts w:ascii="Times New Roman" w:hAnsi="Times New Roman" w:cs="Times New Roman"/>
          <w:i/>
          <w:iCs/>
          <w:sz w:val="24"/>
          <w:szCs w:val="24"/>
        </w:rPr>
        <w:t xml:space="preserve"> v Rous</w:t>
      </w:r>
      <w:r w:rsidR="002F513D" w:rsidRPr="00221C89">
        <w:rPr>
          <w:rFonts w:ascii="Times New Roman" w:hAnsi="Times New Roman" w:cs="Times New Roman"/>
          <w:sz w:val="24"/>
          <w:szCs w:val="24"/>
        </w:rPr>
        <w:t>s</w:t>
      </w:r>
      <w:r w:rsidR="00391B07" w:rsidRPr="00221C89">
        <w:rPr>
          <w:rFonts w:ascii="Times New Roman" w:hAnsi="Times New Roman" w:cs="Times New Roman"/>
          <w:sz w:val="24"/>
          <w:szCs w:val="24"/>
        </w:rPr>
        <w:t>,</w:t>
      </w:r>
      <w:r w:rsidR="009B3D85"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180 NY</w:t>
      </w:r>
      <w:r w:rsidR="00E53737" w:rsidRPr="00221C89">
        <w:rPr>
          <w:rFonts w:ascii="Times New Roman" w:hAnsi="Times New Roman" w:cs="Times New Roman"/>
          <w:sz w:val="24"/>
          <w:szCs w:val="24"/>
        </w:rPr>
        <w:t xml:space="preserve"> </w:t>
      </w:r>
      <w:r w:rsidR="002F513D" w:rsidRPr="00221C89">
        <w:rPr>
          <w:rFonts w:ascii="Times New Roman" w:hAnsi="Times New Roman" w:cs="Times New Roman"/>
          <w:sz w:val="24"/>
          <w:szCs w:val="24"/>
        </w:rPr>
        <w:t>1</w:t>
      </w:r>
      <w:r w:rsidR="006801AE" w:rsidRPr="00221C89">
        <w:rPr>
          <w:rFonts w:ascii="Times New Roman" w:hAnsi="Times New Roman" w:cs="Times New Roman"/>
          <w:sz w:val="24"/>
          <w:szCs w:val="24"/>
        </w:rPr>
        <w:t>16</w:t>
      </w:r>
      <w:r w:rsidR="00260E98" w:rsidRPr="00221C89">
        <w:rPr>
          <w:rFonts w:ascii="Times New Roman" w:hAnsi="Times New Roman" w:cs="Times New Roman"/>
          <w:sz w:val="24"/>
          <w:szCs w:val="24"/>
        </w:rPr>
        <w:t xml:space="preserve"> [1904]</w:t>
      </w:r>
      <w:r w:rsidR="004E7078" w:rsidRPr="00221C89">
        <w:rPr>
          <w:rFonts w:ascii="Times New Roman" w:hAnsi="Times New Roman" w:cs="Times New Roman"/>
          <w:sz w:val="24"/>
          <w:szCs w:val="24"/>
        </w:rPr>
        <w:t>)</w:t>
      </w:r>
      <w:r w:rsidR="007A7A9B" w:rsidRPr="00221C89">
        <w:rPr>
          <w:rFonts w:ascii="Times New Roman" w:hAnsi="Times New Roman" w:cs="Times New Roman"/>
          <w:sz w:val="24"/>
          <w:szCs w:val="24"/>
        </w:rPr>
        <w:t xml:space="preserve">. </w:t>
      </w:r>
      <w:r w:rsidR="00874E4D" w:rsidRPr="00221C89">
        <w:rPr>
          <w:rFonts w:ascii="Times New Roman" w:hAnsi="Times New Roman" w:cs="Times New Roman"/>
          <w:sz w:val="24"/>
          <w:szCs w:val="24"/>
        </w:rPr>
        <w:t xml:space="preserve">  </w:t>
      </w:r>
      <w:r w:rsidR="0059545D" w:rsidRPr="00221C89">
        <w:rPr>
          <w:rFonts w:ascii="Times New Roman" w:hAnsi="Times New Roman" w:cs="Times New Roman"/>
          <w:sz w:val="24"/>
          <w:szCs w:val="24"/>
        </w:rPr>
        <w:t>T</w:t>
      </w:r>
      <w:r w:rsidR="006801AE" w:rsidRPr="00221C89">
        <w:rPr>
          <w:rFonts w:ascii="Times New Roman" w:hAnsi="Times New Roman" w:cs="Times New Roman"/>
          <w:sz w:val="24"/>
          <w:szCs w:val="24"/>
        </w:rPr>
        <w:t>he witness may</w:t>
      </w:r>
      <w:r w:rsidR="003F6417"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testify</w:t>
      </w:r>
      <w:r w:rsidR="006F3976" w:rsidRPr="00221C89">
        <w:rPr>
          <w:rFonts w:ascii="Times New Roman" w:hAnsi="Times New Roman" w:cs="Times New Roman"/>
          <w:sz w:val="24"/>
          <w:szCs w:val="24"/>
        </w:rPr>
        <w:t>, however,</w:t>
      </w:r>
      <w:r w:rsidR="00623921"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against his or her own interest or successor</w:t>
      </w:r>
      <w:r w:rsidR="00F66EA1" w:rsidRPr="00221C89">
        <w:rPr>
          <w:rFonts w:ascii="Times New Roman" w:hAnsi="Times New Roman" w:cs="Times New Roman"/>
          <w:sz w:val="24"/>
          <w:szCs w:val="24"/>
        </w:rPr>
        <w:t>’s</w:t>
      </w:r>
      <w:r w:rsidR="00644642" w:rsidRPr="00221C89">
        <w:rPr>
          <w:rFonts w:ascii="Times New Roman" w:hAnsi="Times New Roman" w:cs="Times New Roman"/>
          <w:sz w:val="24"/>
          <w:szCs w:val="24"/>
        </w:rPr>
        <w:t xml:space="preserve"> interest</w:t>
      </w:r>
      <w:r w:rsidR="00CB2307" w:rsidRPr="00221C89">
        <w:rPr>
          <w:rFonts w:ascii="Times New Roman" w:hAnsi="Times New Roman" w:cs="Times New Roman"/>
          <w:sz w:val="24"/>
          <w:szCs w:val="24"/>
        </w:rPr>
        <w:t xml:space="preserve"> </w:t>
      </w:r>
      <w:r w:rsidR="004E7078" w:rsidRPr="00221C89">
        <w:rPr>
          <w:rFonts w:ascii="Times New Roman" w:hAnsi="Times New Roman" w:cs="Times New Roman"/>
          <w:sz w:val="24"/>
          <w:szCs w:val="24"/>
        </w:rPr>
        <w:t>(</w:t>
      </w:r>
      <w:r w:rsidR="006801AE" w:rsidRPr="00221C89">
        <w:rPr>
          <w:rFonts w:ascii="Times New Roman" w:hAnsi="Times New Roman" w:cs="Times New Roman"/>
          <w:i/>
          <w:iCs/>
          <w:sz w:val="24"/>
          <w:szCs w:val="24"/>
        </w:rPr>
        <w:t>Matter of Tremaine</w:t>
      </w:r>
      <w:r w:rsidR="006801AE" w:rsidRPr="00221C89">
        <w:rPr>
          <w:rFonts w:ascii="Times New Roman" w:hAnsi="Times New Roman" w:cs="Times New Roman"/>
          <w:iCs/>
          <w:sz w:val="24"/>
          <w:szCs w:val="24"/>
        </w:rPr>
        <w:t>,</w:t>
      </w:r>
      <w:r w:rsidR="006801AE" w:rsidRPr="00221C89">
        <w:rPr>
          <w:rFonts w:ascii="Times New Roman" w:hAnsi="Times New Roman" w:cs="Times New Roman"/>
          <w:sz w:val="24"/>
          <w:szCs w:val="24"/>
        </w:rPr>
        <w:t xml:space="preserve"> 156 AD2d</w:t>
      </w:r>
      <w:r w:rsidR="00E53737"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862</w:t>
      </w:r>
      <w:r w:rsidR="00106BA6"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[3d Dept 1989]</w:t>
      </w:r>
      <w:r w:rsidR="004E7078" w:rsidRPr="00221C89">
        <w:rPr>
          <w:rFonts w:ascii="Times New Roman" w:hAnsi="Times New Roman" w:cs="Times New Roman"/>
          <w:sz w:val="24"/>
          <w:szCs w:val="24"/>
        </w:rPr>
        <w:t>)</w:t>
      </w:r>
      <w:r w:rsidR="004F0588"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When respondent</w:t>
      </w:r>
      <w:r w:rsidR="002B1DC7" w:rsidRPr="00221C89">
        <w:rPr>
          <w:rFonts w:ascii="Times New Roman" w:hAnsi="Times New Roman" w:cs="Times New Roman"/>
          <w:sz w:val="24"/>
          <w:szCs w:val="24"/>
        </w:rPr>
        <w:t xml:space="preserve">s are </w:t>
      </w:r>
      <w:r w:rsidR="006801AE" w:rsidRPr="00221C89">
        <w:rPr>
          <w:rFonts w:ascii="Times New Roman" w:hAnsi="Times New Roman" w:cs="Times New Roman"/>
          <w:sz w:val="24"/>
          <w:szCs w:val="24"/>
        </w:rPr>
        <w:t xml:space="preserve">called by </w:t>
      </w:r>
      <w:r w:rsidR="00B42FC7" w:rsidRPr="00221C89">
        <w:rPr>
          <w:rFonts w:ascii="Times New Roman" w:hAnsi="Times New Roman" w:cs="Times New Roman"/>
          <w:sz w:val="24"/>
          <w:szCs w:val="24"/>
        </w:rPr>
        <w:t xml:space="preserve">their </w:t>
      </w:r>
      <w:r w:rsidR="006801AE" w:rsidRPr="00221C89">
        <w:rPr>
          <w:rFonts w:ascii="Times New Roman" w:hAnsi="Times New Roman" w:cs="Times New Roman"/>
          <w:sz w:val="24"/>
          <w:szCs w:val="24"/>
        </w:rPr>
        <w:t xml:space="preserve">adversary, </w:t>
      </w:r>
      <w:r w:rsidR="00BA3C66" w:rsidRPr="00221C89">
        <w:rPr>
          <w:rFonts w:ascii="Times New Roman" w:hAnsi="Times New Roman" w:cs="Times New Roman"/>
          <w:sz w:val="24"/>
          <w:szCs w:val="24"/>
        </w:rPr>
        <w:t xml:space="preserve">they are </w:t>
      </w:r>
      <w:r w:rsidR="006801AE" w:rsidRPr="00221C89">
        <w:rPr>
          <w:rFonts w:ascii="Times New Roman" w:hAnsi="Times New Roman" w:cs="Times New Roman"/>
          <w:sz w:val="24"/>
          <w:szCs w:val="24"/>
        </w:rPr>
        <w:t xml:space="preserve">not testifying </w:t>
      </w:r>
      <w:r w:rsidR="00BA7DA5" w:rsidRPr="00221C89">
        <w:rPr>
          <w:rFonts w:ascii="Times New Roman" w:hAnsi="Times New Roman" w:cs="Times New Roman"/>
          <w:sz w:val="24"/>
          <w:szCs w:val="24"/>
        </w:rPr>
        <w:t xml:space="preserve">in their </w:t>
      </w:r>
      <w:r w:rsidR="006801AE" w:rsidRPr="00221C89">
        <w:rPr>
          <w:rFonts w:ascii="Times New Roman" w:hAnsi="Times New Roman" w:cs="Times New Roman"/>
          <w:sz w:val="24"/>
          <w:szCs w:val="24"/>
        </w:rPr>
        <w:t xml:space="preserve">own interest and </w:t>
      </w:r>
      <w:r w:rsidR="00CB31A5" w:rsidRPr="00221C89">
        <w:rPr>
          <w:rFonts w:ascii="Times New Roman" w:hAnsi="Times New Roman" w:cs="Times New Roman"/>
          <w:sz w:val="24"/>
          <w:szCs w:val="24"/>
        </w:rPr>
        <w:t xml:space="preserve">their </w:t>
      </w:r>
      <w:r w:rsidR="006801AE" w:rsidRPr="00221C89">
        <w:rPr>
          <w:rFonts w:ascii="Times New Roman" w:hAnsi="Times New Roman" w:cs="Times New Roman"/>
          <w:sz w:val="24"/>
          <w:szCs w:val="24"/>
        </w:rPr>
        <w:t xml:space="preserve">testimony is not barred by the statute </w:t>
      </w:r>
      <w:r w:rsidR="00B20366" w:rsidRPr="00221C89">
        <w:rPr>
          <w:rFonts w:ascii="Times New Roman" w:hAnsi="Times New Roman" w:cs="Times New Roman"/>
          <w:sz w:val="24"/>
          <w:szCs w:val="24"/>
        </w:rPr>
        <w:t>(</w:t>
      </w:r>
      <w:r w:rsidR="006801AE" w:rsidRPr="00221C89">
        <w:rPr>
          <w:rFonts w:ascii="Times New Roman" w:hAnsi="Times New Roman" w:cs="Times New Roman"/>
          <w:i/>
          <w:iCs/>
          <w:sz w:val="24"/>
          <w:szCs w:val="24"/>
        </w:rPr>
        <w:t>Matter of Hauck</w:t>
      </w:r>
      <w:r w:rsidR="00BB563E"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NYL</w:t>
      </w:r>
      <w:r w:rsidR="006F65A3" w:rsidRPr="00221C89">
        <w:rPr>
          <w:rFonts w:ascii="Times New Roman" w:hAnsi="Times New Roman" w:cs="Times New Roman"/>
          <w:sz w:val="24"/>
          <w:szCs w:val="24"/>
        </w:rPr>
        <w:t>J</w:t>
      </w:r>
      <w:r w:rsidR="008E66F2" w:rsidRPr="00221C89">
        <w:rPr>
          <w:rFonts w:ascii="Times New Roman" w:hAnsi="Times New Roman" w:cs="Times New Roman"/>
          <w:sz w:val="24"/>
          <w:szCs w:val="24"/>
        </w:rPr>
        <w:t xml:space="preserve">, </w:t>
      </w:r>
      <w:r w:rsidR="00E94D3A" w:rsidRPr="00221C89">
        <w:rPr>
          <w:rFonts w:ascii="Times New Roman" w:hAnsi="Times New Roman" w:cs="Times New Roman"/>
          <w:sz w:val="24"/>
          <w:szCs w:val="24"/>
        </w:rPr>
        <w:t xml:space="preserve">Dec. 23, 1992 </w:t>
      </w:r>
      <w:r w:rsidR="008E66F2" w:rsidRPr="00221C89">
        <w:rPr>
          <w:rFonts w:ascii="Times New Roman" w:hAnsi="Times New Roman" w:cs="Times New Roman"/>
          <w:sz w:val="24"/>
          <w:szCs w:val="24"/>
        </w:rPr>
        <w:t>at</w:t>
      </w:r>
      <w:r w:rsidR="00654D9E"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25, col 3</w:t>
      </w:r>
      <w:r w:rsidR="00892D5B" w:rsidRPr="00221C89">
        <w:rPr>
          <w:rFonts w:ascii="Times New Roman" w:hAnsi="Times New Roman" w:cs="Times New Roman"/>
          <w:sz w:val="24"/>
          <w:szCs w:val="24"/>
        </w:rPr>
        <w:t xml:space="preserve"> </w:t>
      </w:r>
      <w:r w:rsidR="006F65A3" w:rsidRPr="00221C89">
        <w:rPr>
          <w:rFonts w:ascii="Times New Roman" w:hAnsi="Times New Roman" w:cs="Times New Roman"/>
          <w:sz w:val="24"/>
          <w:szCs w:val="24"/>
        </w:rPr>
        <w:t>[</w:t>
      </w:r>
      <w:r w:rsidR="006801AE" w:rsidRPr="00221C89">
        <w:rPr>
          <w:rFonts w:ascii="Times New Roman" w:hAnsi="Times New Roman" w:cs="Times New Roman"/>
          <w:sz w:val="24"/>
          <w:szCs w:val="24"/>
        </w:rPr>
        <w:t>Sur Ct</w:t>
      </w:r>
      <w:r w:rsidR="005712D9"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NY </w:t>
      </w:r>
      <w:r w:rsidR="00BB563E" w:rsidRPr="00221C89">
        <w:rPr>
          <w:rFonts w:ascii="Times New Roman" w:hAnsi="Times New Roman" w:cs="Times New Roman"/>
          <w:sz w:val="24"/>
          <w:szCs w:val="24"/>
        </w:rPr>
        <w:t>County</w:t>
      </w:r>
      <w:r w:rsidR="006F65A3"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w:t>
      </w:r>
      <w:r w:rsidR="006801AE" w:rsidRPr="00221C89">
        <w:rPr>
          <w:rFonts w:ascii="Times New Roman" w:hAnsi="Times New Roman" w:cs="Times New Roman"/>
          <w:i/>
          <w:iCs/>
          <w:sz w:val="24"/>
          <w:szCs w:val="24"/>
        </w:rPr>
        <w:t xml:space="preserve">affd </w:t>
      </w:r>
      <w:r w:rsidR="006801AE" w:rsidRPr="00221C89">
        <w:rPr>
          <w:rFonts w:ascii="Times New Roman" w:hAnsi="Times New Roman" w:cs="Times New Roman"/>
          <w:sz w:val="24"/>
          <w:szCs w:val="24"/>
        </w:rPr>
        <w:t>200</w:t>
      </w:r>
      <w:r w:rsidR="00385F24"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AD2d 405 </w:t>
      </w:r>
      <w:r w:rsidR="00F22C36" w:rsidRPr="00221C89">
        <w:rPr>
          <w:rFonts w:ascii="Times New Roman" w:hAnsi="Times New Roman" w:cs="Times New Roman"/>
          <w:sz w:val="24"/>
          <w:szCs w:val="24"/>
        </w:rPr>
        <w:t>[</w:t>
      </w:r>
      <w:r w:rsidR="006801AE" w:rsidRPr="00221C89">
        <w:rPr>
          <w:rFonts w:ascii="Times New Roman" w:hAnsi="Times New Roman" w:cs="Times New Roman"/>
          <w:sz w:val="24"/>
          <w:szCs w:val="24"/>
        </w:rPr>
        <w:t>1</w:t>
      </w:r>
      <w:r w:rsidR="006F65A3" w:rsidRPr="00221C89">
        <w:rPr>
          <w:rFonts w:ascii="Times New Roman" w:hAnsi="Times New Roman" w:cs="Times New Roman"/>
          <w:sz w:val="24"/>
          <w:szCs w:val="24"/>
        </w:rPr>
        <w:t>st</w:t>
      </w:r>
      <w:r w:rsidR="006801AE" w:rsidRPr="00221C89">
        <w:rPr>
          <w:rFonts w:ascii="Times New Roman" w:hAnsi="Times New Roman" w:cs="Times New Roman"/>
          <w:sz w:val="24"/>
          <w:szCs w:val="24"/>
        </w:rPr>
        <w:t xml:space="preserve"> Dept 1994</w:t>
      </w:r>
      <w:r w:rsidR="00F22C36" w:rsidRPr="00221C89">
        <w:rPr>
          <w:rFonts w:ascii="Times New Roman" w:hAnsi="Times New Roman" w:cs="Times New Roman"/>
          <w:sz w:val="24"/>
          <w:szCs w:val="24"/>
        </w:rPr>
        <w:t>]</w:t>
      </w:r>
      <w:r w:rsidR="00B20366" w:rsidRPr="00221C89">
        <w:rPr>
          <w:rFonts w:ascii="Times New Roman" w:hAnsi="Times New Roman" w:cs="Times New Roman"/>
          <w:sz w:val="24"/>
          <w:szCs w:val="24"/>
        </w:rPr>
        <w:t>)</w:t>
      </w:r>
      <w:r w:rsidR="009B0347"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The predecessor in interest of the interested party is also barred from testifying by this section.  </w:t>
      </w:r>
      <w:r w:rsidR="00F22C36" w:rsidRPr="00221C89">
        <w:rPr>
          <w:rFonts w:ascii="Times New Roman" w:hAnsi="Times New Roman" w:cs="Times New Roman"/>
          <w:sz w:val="24"/>
          <w:szCs w:val="24"/>
        </w:rPr>
        <w:t>(</w:t>
      </w:r>
      <w:r w:rsidR="006801AE" w:rsidRPr="00221C89">
        <w:rPr>
          <w:rFonts w:ascii="Times New Roman" w:hAnsi="Times New Roman" w:cs="Times New Roman"/>
          <w:i/>
          <w:iCs/>
          <w:sz w:val="24"/>
          <w:szCs w:val="24"/>
        </w:rPr>
        <w:t>See Abbott v Doughan</w:t>
      </w:r>
      <w:r w:rsidR="006801AE" w:rsidRPr="00221C89">
        <w:rPr>
          <w:rFonts w:ascii="Times New Roman" w:hAnsi="Times New Roman" w:cs="Times New Roman"/>
          <w:sz w:val="24"/>
          <w:szCs w:val="24"/>
        </w:rPr>
        <w:t>, 204 NY 223 [1912]</w:t>
      </w:r>
      <w:r w:rsidR="004E3441" w:rsidRPr="00221C89">
        <w:rPr>
          <w:rFonts w:ascii="Times New Roman" w:hAnsi="Times New Roman" w:cs="Times New Roman"/>
          <w:sz w:val="24"/>
          <w:szCs w:val="24"/>
        </w:rPr>
        <w:t xml:space="preserve"> f</w:t>
      </w:r>
      <w:r w:rsidR="006801AE" w:rsidRPr="00221C89">
        <w:rPr>
          <w:rFonts w:ascii="Times New Roman" w:hAnsi="Times New Roman" w:cs="Times New Roman"/>
          <w:sz w:val="24"/>
          <w:szCs w:val="24"/>
        </w:rPr>
        <w:t>or a discussion of the rationale behind this provision</w:t>
      </w:r>
      <w:r w:rsidR="006F65A3" w:rsidRPr="00221C89">
        <w:rPr>
          <w:rFonts w:ascii="Times New Roman" w:hAnsi="Times New Roman" w:cs="Times New Roman"/>
          <w:sz w:val="24"/>
          <w:szCs w:val="24"/>
        </w:rPr>
        <w:t>.</w:t>
      </w:r>
      <w:r w:rsidR="00016FB4" w:rsidRPr="00221C89">
        <w:rPr>
          <w:rFonts w:ascii="Times New Roman" w:hAnsi="Times New Roman" w:cs="Times New Roman"/>
          <w:sz w:val="24"/>
          <w:szCs w:val="24"/>
        </w:rPr>
        <w:t>)</w:t>
      </w:r>
    </w:p>
    <w:p w14:paraId="13B488C2" w14:textId="77777777" w:rsidR="00B10778" w:rsidRPr="00221C89" w:rsidRDefault="00B10778" w:rsidP="00F31666">
      <w:pPr>
        <w:spacing w:after="0" w:line="240" w:lineRule="auto"/>
        <w:jc w:val="both"/>
        <w:rPr>
          <w:rFonts w:ascii="Times New Roman" w:hAnsi="Times New Roman" w:cs="Times New Roman"/>
          <w:sz w:val="24"/>
          <w:szCs w:val="24"/>
        </w:rPr>
      </w:pPr>
    </w:p>
    <w:p w14:paraId="6D049D79" w14:textId="0FEF35E6" w:rsidR="007662CA" w:rsidRPr="00221C89" w:rsidRDefault="004548D4" w:rsidP="00CE66C6">
      <w:pPr>
        <w:spacing w:after="0" w:line="240" w:lineRule="auto"/>
        <w:jc w:val="both"/>
        <w:rPr>
          <w:rFonts w:ascii="Times New Roman" w:hAnsi="Times New Roman" w:cs="Times New Roman"/>
          <w:b/>
          <w:bCs/>
          <w:sz w:val="24"/>
          <w:szCs w:val="24"/>
        </w:rPr>
      </w:pPr>
      <w:r w:rsidRPr="00221C89">
        <w:rPr>
          <w:rFonts w:ascii="Times New Roman" w:hAnsi="Times New Roman" w:cs="Times New Roman"/>
          <w:b/>
          <w:bCs/>
          <w:sz w:val="24"/>
          <w:szCs w:val="24"/>
        </w:rPr>
        <w:t>The party or person the witness is precluded from testifying against</w:t>
      </w:r>
    </w:p>
    <w:p w14:paraId="66F36D9A" w14:textId="77777777" w:rsidR="00B10778" w:rsidRPr="00221C89" w:rsidRDefault="00B10778" w:rsidP="00CE66C6">
      <w:pPr>
        <w:spacing w:after="0" w:line="240" w:lineRule="auto"/>
        <w:jc w:val="both"/>
        <w:rPr>
          <w:rFonts w:ascii="Times New Roman" w:hAnsi="Times New Roman" w:cs="Times New Roman"/>
          <w:b/>
          <w:bCs/>
          <w:sz w:val="24"/>
          <w:szCs w:val="24"/>
        </w:rPr>
      </w:pPr>
    </w:p>
    <w:p w14:paraId="524B829B" w14:textId="46102ADF" w:rsidR="006801AE" w:rsidRPr="00221C89" w:rsidRDefault="00F31666" w:rsidP="00F31666">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6801AE" w:rsidRPr="00221C89">
        <w:rPr>
          <w:rFonts w:ascii="Times New Roman" w:hAnsi="Times New Roman" w:cs="Times New Roman"/>
          <w:sz w:val="24"/>
          <w:szCs w:val="24"/>
        </w:rPr>
        <w:t>The interested person or party may not  be called to testify in his or her own behalf or interest “against the executor, administrator or survivor of a dece</w:t>
      </w:r>
      <w:r w:rsidR="00285130" w:rsidRPr="00221C89">
        <w:rPr>
          <w:rFonts w:ascii="Times New Roman" w:hAnsi="Times New Roman" w:cs="Times New Roman"/>
          <w:sz w:val="24"/>
          <w:szCs w:val="24"/>
        </w:rPr>
        <w:t>ased person</w:t>
      </w:r>
      <w:r w:rsidR="006801AE" w:rsidRPr="00221C89">
        <w:rPr>
          <w:rFonts w:ascii="Times New Roman" w:hAnsi="Times New Roman" w:cs="Times New Roman"/>
          <w:sz w:val="24"/>
          <w:szCs w:val="24"/>
        </w:rPr>
        <w:t xml:space="preserve"> or the committee of a mentally ill person, or a person deriving </w:t>
      </w:r>
      <w:r w:rsidR="00161B82" w:rsidRPr="00221C89">
        <w:rPr>
          <w:rFonts w:ascii="Times New Roman" w:hAnsi="Times New Roman" w:cs="Times New Roman"/>
          <w:sz w:val="24"/>
          <w:szCs w:val="24"/>
        </w:rPr>
        <w:t xml:space="preserve">his [or her] </w:t>
      </w:r>
      <w:r w:rsidR="006801AE" w:rsidRPr="00221C89">
        <w:rPr>
          <w:rFonts w:ascii="Times New Roman" w:hAnsi="Times New Roman" w:cs="Times New Roman"/>
          <w:sz w:val="24"/>
          <w:szCs w:val="24"/>
        </w:rPr>
        <w:t xml:space="preserve"> title or interest from, through or under a deceased person or mentally ill person</w:t>
      </w:r>
      <w:r w:rsidR="00285130"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by assignment or otherwise</w:t>
      </w:r>
      <w:r w:rsidR="000E0EF3" w:rsidRPr="00221C89">
        <w:rPr>
          <w:rFonts w:ascii="Times New Roman" w:hAnsi="Times New Roman" w:cs="Times New Roman"/>
          <w:sz w:val="24"/>
          <w:szCs w:val="24"/>
        </w:rPr>
        <w:t xml:space="preserve">” </w:t>
      </w:r>
      <w:r w:rsidR="00285130" w:rsidRPr="00221C89">
        <w:rPr>
          <w:rFonts w:ascii="Times New Roman" w:hAnsi="Times New Roman" w:cs="Times New Roman"/>
          <w:sz w:val="24"/>
          <w:szCs w:val="24"/>
        </w:rPr>
        <w:t>(</w:t>
      </w:r>
      <w:r w:rsidR="00C9078B" w:rsidRPr="00221C89">
        <w:rPr>
          <w:rFonts w:ascii="Times New Roman" w:hAnsi="Times New Roman" w:cs="Times New Roman"/>
          <w:sz w:val="24"/>
          <w:szCs w:val="24"/>
        </w:rPr>
        <w:t xml:space="preserve">CPLR 4519 </w:t>
      </w:r>
      <w:r w:rsidR="00CF7FF8" w:rsidRPr="00221C89">
        <w:rPr>
          <w:rFonts w:ascii="Times New Roman" w:hAnsi="Times New Roman" w:cs="Times New Roman"/>
          <w:sz w:val="24"/>
          <w:szCs w:val="24"/>
        </w:rPr>
        <w:t>[</w:t>
      </w:r>
      <w:r w:rsidR="00364292" w:rsidRPr="00221C89">
        <w:rPr>
          <w:rFonts w:ascii="Times New Roman" w:hAnsi="Times New Roman" w:cs="Times New Roman"/>
          <w:sz w:val="24"/>
          <w:szCs w:val="24"/>
        </w:rPr>
        <w:t xml:space="preserve">Guide to NY Evid </w:t>
      </w:r>
      <w:r w:rsidR="00CF7FF8" w:rsidRPr="00221C89">
        <w:rPr>
          <w:rFonts w:ascii="Times New Roman" w:hAnsi="Times New Roman" w:cs="Times New Roman"/>
          <w:sz w:val="24"/>
          <w:szCs w:val="24"/>
        </w:rPr>
        <w:t>rule 6.02</w:t>
      </w:r>
      <w:r w:rsidR="00364292" w:rsidRPr="00221C89">
        <w:rPr>
          <w:rFonts w:ascii="Times New Roman" w:hAnsi="Times New Roman" w:cs="Times New Roman"/>
          <w:sz w:val="24"/>
          <w:szCs w:val="24"/>
        </w:rPr>
        <w:t>.1</w:t>
      </w:r>
      <w:r w:rsidR="00CF7FF8" w:rsidRPr="00221C89">
        <w:rPr>
          <w:rFonts w:ascii="Times New Roman" w:hAnsi="Times New Roman" w:cs="Times New Roman"/>
          <w:sz w:val="24"/>
          <w:szCs w:val="24"/>
        </w:rPr>
        <w:t xml:space="preserve"> (1)]</w:t>
      </w:r>
      <w:r w:rsidR="00285130" w:rsidRPr="00221C89">
        <w:rPr>
          <w:rFonts w:ascii="Times New Roman" w:hAnsi="Times New Roman" w:cs="Times New Roman"/>
          <w:sz w:val="24"/>
          <w:szCs w:val="24"/>
        </w:rPr>
        <w:t>)</w:t>
      </w:r>
      <w:r w:rsidR="00CF7FF8" w:rsidRPr="00221C89">
        <w:rPr>
          <w:rFonts w:ascii="Times New Roman" w:hAnsi="Times New Roman" w:cs="Times New Roman"/>
          <w:sz w:val="24"/>
          <w:szCs w:val="24"/>
        </w:rPr>
        <w:t>.</w:t>
      </w:r>
      <w:r w:rsidR="00CF7FF8" w:rsidRPr="00221C89">
        <w:rPr>
          <w:rFonts w:ascii="Times New Roman" w:hAnsi="Times New Roman" w:cs="Times New Roman"/>
          <w:b/>
          <w:bCs/>
          <w:sz w:val="24"/>
          <w:szCs w:val="24"/>
        </w:rPr>
        <w:t xml:space="preserve"> </w:t>
      </w:r>
      <w:r w:rsidR="006801AE" w:rsidRPr="00221C89">
        <w:rPr>
          <w:rFonts w:ascii="Times New Roman" w:hAnsi="Times New Roman" w:cs="Times New Roman"/>
          <w:sz w:val="24"/>
          <w:szCs w:val="24"/>
        </w:rPr>
        <w:t>These individuals are often referred to as the “protected party</w:t>
      </w:r>
      <w:r w:rsidR="00C9078B"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They have standing to raise the objection </w:t>
      </w:r>
      <w:r w:rsidR="00161F07" w:rsidRPr="00221C89">
        <w:rPr>
          <w:rFonts w:ascii="Times New Roman" w:hAnsi="Times New Roman" w:cs="Times New Roman"/>
          <w:sz w:val="24"/>
          <w:szCs w:val="24"/>
        </w:rPr>
        <w:t>(</w:t>
      </w:r>
      <w:r w:rsidR="006801AE" w:rsidRPr="00221C89">
        <w:rPr>
          <w:rFonts w:ascii="Times New Roman" w:hAnsi="Times New Roman" w:cs="Times New Roman"/>
          <w:sz w:val="24"/>
          <w:szCs w:val="24"/>
        </w:rPr>
        <w:t>and also the ability to waive it</w:t>
      </w:r>
      <w:r w:rsidR="00565309" w:rsidRPr="00221C89">
        <w:rPr>
          <w:rFonts w:ascii="Times New Roman" w:hAnsi="Times New Roman" w:cs="Times New Roman"/>
          <w:sz w:val="24"/>
          <w:szCs w:val="24"/>
        </w:rPr>
        <w:t>)</w:t>
      </w:r>
      <w:r w:rsidR="006801AE" w:rsidRPr="00221C89">
        <w:rPr>
          <w:rFonts w:ascii="Times New Roman" w:hAnsi="Times New Roman" w:cs="Times New Roman"/>
          <w:sz w:val="24"/>
          <w:szCs w:val="24"/>
        </w:rPr>
        <w:t>.</w:t>
      </w:r>
      <w:r w:rsidR="00063523" w:rsidRPr="00221C89">
        <w:rPr>
          <w:rFonts w:ascii="Times New Roman" w:hAnsi="Times New Roman" w:cs="Times New Roman"/>
          <w:sz w:val="24"/>
          <w:szCs w:val="24"/>
        </w:rPr>
        <w:t xml:space="preserve"> </w:t>
      </w:r>
      <w:r w:rsidR="00E94D3A" w:rsidRPr="00221C89">
        <w:rPr>
          <w:rFonts w:ascii="Times New Roman" w:hAnsi="Times New Roman" w:cs="Times New Roman"/>
          <w:sz w:val="24"/>
          <w:szCs w:val="24"/>
        </w:rPr>
        <w:t>(</w:t>
      </w:r>
      <w:r w:rsidR="00063523" w:rsidRPr="00221C89">
        <w:rPr>
          <w:rFonts w:ascii="Times New Roman" w:hAnsi="Times New Roman" w:cs="Times New Roman"/>
          <w:i/>
          <w:sz w:val="24"/>
          <w:szCs w:val="24"/>
        </w:rPr>
        <w:t>See</w:t>
      </w:r>
      <w:r w:rsidR="00063523" w:rsidRPr="00221C89">
        <w:rPr>
          <w:rFonts w:ascii="Times New Roman" w:hAnsi="Times New Roman" w:cs="Times New Roman"/>
          <w:sz w:val="24"/>
          <w:szCs w:val="24"/>
        </w:rPr>
        <w:t xml:space="preserve"> section on waiver.</w:t>
      </w:r>
      <w:r w:rsidR="00E94D3A" w:rsidRPr="00221C89">
        <w:rPr>
          <w:rFonts w:ascii="Times New Roman" w:hAnsi="Times New Roman" w:cs="Times New Roman"/>
          <w:sz w:val="24"/>
          <w:szCs w:val="24"/>
        </w:rPr>
        <w:t>)</w:t>
      </w:r>
    </w:p>
    <w:p w14:paraId="2F74F6DC" w14:textId="77777777" w:rsidR="00B10778" w:rsidRPr="00221C89" w:rsidRDefault="00B10778" w:rsidP="00F31666">
      <w:pPr>
        <w:spacing w:after="0" w:line="240" w:lineRule="auto"/>
        <w:jc w:val="both"/>
        <w:rPr>
          <w:rFonts w:ascii="Times New Roman" w:hAnsi="Times New Roman" w:cs="Times New Roman"/>
          <w:sz w:val="24"/>
          <w:szCs w:val="24"/>
        </w:rPr>
      </w:pPr>
    </w:p>
    <w:p w14:paraId="68E9BB85" w14:textId="2742CCE3" w:rsidR="00A50960" w:rsidRPr="00221C89" w:rsidRDefault="00F31666" w:rsidP="00F31666">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6801AE" w:rsidRPr="00221C89">
        <w:rPr>
          <w:rFonts w:ascii="Times New Roman" w:hAnsi="Times New Roman" w:cs="Times New Roman"/>
          <w:sz w:val="24"/>
          <w:szCs w:val="24"/>
        </w:rPr>
        <w:t xml:space="preserve">The decedent </w:t>
      </w:r>
      <w:r w:rsidR="00A157A3" w:rsidRPr="00221C89">
        <w:rPr>
          <w:rFonts w:ascii="Times New Roman" w:hAnsi="Times New Roman" w:cs="Times New Roman"/>
          <w:sz w:val="24"/>
          <w:szCs w:val="24"/>
        </w:rPr>
        <w:t xml:space="preserve">normally </w:t>
      </w:r>
      <w:r w:rsidR="006801AE" w:rsidRPr="00221C89">
        <w:rPr>
          <w:rFonts w:ascii="Times New Roman" w:hAnsi="Times New Roman" w:cs="Times New Roman"/>
          <w:sz w:val="24"/>
          <w:szCs w:val="24"/>
        </w:rPr>
        <w:t>is easily identified</w:t>
      </w:r>
      <w:r w:rsidR="00A157A3"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but </w:t>
      </w:r>
      <w:r w:rsidR="005C3062" w:rsidRPr="00221C89">
        <w:rPr>
          <w:rFonts w:ascii="Times New Roman" w:hAnsi="Times New Roman" w:cs="Times New Roman"/>
          <w:sz w:val="24"/>
          <w:szCs w:val="24"/>
        </w:rPr>
        <w:t>a missing party</w:t>
      </w:r>
      <w:r w:rsidR="00C01320" w:rsidRPr="00221C89">
        <w:rPr>
          <w:rFonts w:ascii="Times New Roman" w:hAnsi="Times New Roman" w:cs="Times New Roman"/>
          <w:sz w:val="24"/>
          <w:szCs w:val="24"/>
        </w:rPr>
        <w:t xml:space="preserve"> not </w:t>
      </w:r>
      <w:r w:rsidR="00C9530A" w:rsidRPr="00221C89">
        <w:rPr>
          <w:rFonts w:ascii="Times New Roman" w:hAnsi="Times New Roman" w:cs="Times New Roman"/>
          <w:sz w:val="24"/>
          <w:szCs w:val="24"/>
        </w:rPr>
        <w:t>yet determined to be dead</w:t>
      </w:r>
      <w:r w:rsidR="005C3062"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may not be protected under the statute </w:t>
      </w:r>
      <w:r w:rsidR="00163620" w:rsidRPr="00221C89">
        <w:rPr>
          <w:rFonts w:ascii="Times New Roman" w:hAnsi="Times New Roman" w:cs="Times New Roman"/>
          <w:sz w:val="24"/>
          <w:szCs w:val="24"/>
        </w:rPr>
        <w:t>(</w:t>
      </w:r>
      <w:r w:rsidR="006801AE" w:rsidRPr="00221C89">
        <w:rPr>
          <w:rFonts w:ascii="Times New Roman" w:hAnsi="Times New Roman" w:cs="Times New Roman"/>
          <w:i/>
          <w:iCs/>
          <w:sz w:val="24"/>
          <w:szCs w:val="24"/>
        </w:rPr>
        <w:t>Jacobs v Stark</w:t>
      </w:r>
      <w:r w:rsidR="00163620" w:rsidRPr="00221C89">
        <w:rPr>
          <w:rFonts w:ascii="Times New Roman" w:hAnsi="Times New Roman" w:cs="Times New Roman"/>
          <w:iCs/>
          <w:sz w:val="24"/>
          <w:szCs w:val="24"/>
        </w:rPr>
        <w:t>,</w:t>
      </w:r>
      <w:r w:rsidR="006801AE" w:rsidRPr="00221C89">
        <w:rPr>
          <w:rFonts w:ascii="Times New Roman" w:hAnsi="Times New Roman" w:cs="Times New Roman"/>
          <w:sz w:val="24"/>
          <w:szCs w:val="24"/>
        </w:rPr>
        <w:t xml:space="preserve"> 83</w:t>
      </w:r>
      <w:r w:rsidR="00163620"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lastRenderedPageBreak/>
        <w:t>Misc 2d 605</w:t>
      </w:r>
      <w:r w:rsidR="006D4E29" w:rsidRPr="00221C89">
        <w:rPr>
          <w:rFonts w:ascii="Times New Roman" w:hAnsi="Times New Roman" w:cs="Times New Roman"/>
          <w:sz w:val="24"/>
          <w:szCs w:val="24"/>
        </w:rPr>
        <w:t>, 608</w:t>
      </w:r>
      <w:r w:rsidR="006801AE" w:rsidRPr="00221C89">
        <w:rPr>
          <w:rFonts w:ascii="Times New Roman" w:hAnsi="Times New Roman" w:cs="Times New Roman"/>
          <w:sz w:val="24"/>
          <w:szCs w:val="24"/>
        </w:rPr>
        <w:t xml:space="preserve"> [Civ Ct</w:t>
      </w:r>
      <w:r w:rsidR="00D04625" w:rsidRPr="00221C89">
        <w:rPr>
          <w:rFonts w:ascii="Times New Roman" w:hAnsi="Times New Roman" w:cs="Times New Roman"/>
          <w:sz w:val="24"/>
          <w:szCs w:val="24"/>
        </w:rPr>
        <w:t>, N</w:t>
      </w:r>
      <w:r w:rsidR="00285130" w:rsidRPr="00221C89">
        <w:rPr>
          <w:rFonts w:ascii="Times New Roman" w:hAnsi="Times New Roman" w:cs="Times New Roman"/>
          <w:sz w:val="24"/>
          <w:szCs w:val="24"/>
        </w:rPr>
        <w:t>Y</w:t>
      </w:r>
      <w:r w:rsidR="00D04625" w:rsidRPr="00221C89">
        <w:rPr>
          <w:rFonts w:ascii="Times New Roman" w:hAnsi="Times New Roman" w:cs="Times New Roman"/>
          <w:sz w:val="24"/>
          <w:szCs w:val="24"/>
        </w:rPr>
        <w:t xml:space="preserve"> County</w:t>
      </w:r>
      <w:r w:rsidR="006801AE" w:rsidRPr="00221C89">
        <w:rPr>
          <w:rFonts w:ascii="Times New Roman" w:hAnsi="Times New Roman" w:cs="Times New Roman"/>
          <w:sz w:val="24"/>
          <w:szCs w:val="24"/>
        </w:rPr>
        <w:t xml:space="preserve"> 197</w:t>
      </w:r>
      <w:r w:rsidR="00A50960" w:rsidRPr="00221C89">
        <w:rPr>
          <w:rFonts w:ascii="Times New Roman" w:hAnsi="Times New Roman" w:cs="Times New Roman"/>
          <w:sz w:val="24"/>
          <w:szCs w:val="24"/>
        </w:rPr>
        <w:t>5</w:t>
      </w:r>
      <w:r w:rsidR="006801AE" w:rsidRPr="00221C89">
        <w:rPr>
          <w:rFonts w:ascii="Times New Roman" w:hAnsi="Times New Roman" w:cs="Times New Roman"/>
          <w:sz w:val="24"/>
          <w:szCs w:val="24"/>
        </w:rPr>
        <w:t>]</w:t>
      </w:r>
      <w:r w:rsidR="001D103F" w:rsidRPr="00221C89">
        <w:rPr>
          <w:rFonts w:ascii="Times New Roman" w:hAnsi="Times New Roman" w:cs="Times New Roman"/>
          <w:sz w:val="24"/>
          <w:szCs w:val="24"/>
        </w:rPr>
        <w:t xml:space="preserve"> [</w:t>
      </w:r>
      <w:r w:rsidR="006D4E29" w:rsidRPr="00221C89">
        <w:rPr>
          <w:rFonts w:ascii="Times New Roman" w:hAnsi="Times New Roman" w:cs="Times New Roman"/>
          <w:sz w:val="24"/>
          <w:szCs w:val="24"/>
        </w:rPr>
        <w:t xml:space="preserve">“the granting of temporary administration to conserve the estate of an absentee is an insufficient adjudication of death to satisfy application of the unambiguous exclusionary statutory rule of </w:t>
      </w:r>
      <w:r w:rsidR="00A50960" w:rsidRPr="00221C89">
        <w:rPr>
          <w:rFonts w:ascii="Times New Roman" w:hAnsi="Times New Roman" w:cs="Times New Roman"/>
          <w:sz w:val="24"/>
          <w:szCs w:val="24"/>
        </w:rPr>
        <w:t>CPLR 4519”</w:t>
      </w:r>
      <w:r w:rsidR="00E94D3A" w:rsidRPr="00221C89">
        <w:rPr>
          <w:rFonts w:ascii="Times New Roman" w:hAnsi="Times New Roman" w:cs="Times New Roman"/>
          <w:sz w:val="24"/>
          <w:szCs w:val="24"/>
        </w:rPr>
        <w:t>]</w:t>
      </w:r>
      <w:r w:rsidR="00A50960" w:rsidRPr="00221C89">
        <w:rPr>
          <w:rFonts w:ascii="Times New Roman" w:hAnsi="Times New Roman" w:cs="Times New Roman"/>
          <w:sz w:val="24"/>
          <w:szCs w:val="24"/>
        </w:rPr>
        <w:t>).</w:t>
      </w:r>
    </w:p>
    <w:p w14:paraId="6DB863FA" w14:textId="77777777" w:rsidR="00B10778" w:rsidRPr="00221C89" w:rsidRDefault="00B10778" w:rsidP="00F31666">
      <w:pPr>
        <w:spacing w:after="0" w:line="240" w:lineRule="auto"/>
        <w:jc w:val="both"/>
        <w:rPr>
          <w:rFonts w:ascii="Times New Roman" w:hAnsi="Times New Roman" w:cs="Times New Roman"/>
          <w:sz w:val="24"/>
          <w:szCs w:val="24"/>
        </w:rPr>
      </w:pPr>
    </w:p>
    <w:p w14:paraId="23DD2883" w14:textId="086AE0A0" w:rsidR="0080038C" w:rsidRPr="00221C89" w:rsidRDefault="00F31666" w:rsidP="00F31666">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530479" w:rsidRPr="00221C89">
        <w:rPr>
          <w:rFonts w:ascii="Times New Roman" w:hAnsi="Times New Roman" w:cs="Times New Roman"/>
          <w:sz w:val="24"/>
          <w:szCs w:val="24"/>
        </w:rPr>
        <w:t xml:space="preserve">By the statute, a witness must </w:t>
      </w:r>
      <w:r w:rsidR="00593A79" w:rsidRPr="00221C89">
        <w:rPr>
          <w:rFonts w:ascii="Times New Roman" w:hAnsi="Times New Roman" w:cs="Times New Roman"/>
          <w:sz w:val="24"/>
          <w:szCs w:val="24"/>
        </w:rPr>
        <w:t>testify</w:t>
      </w:r>
      <w:r w:rsidR="00530479" w:rsidRPr="00221C89">
        <w:rPr>
          <w:rFonts w:ascii="Times New Roman" w:hAnsi="Times New Roman" w:cs="Times New Roman"/>
          <w:sz w:val="24"/>
          <w:szCs w:val="24"/>
        </w:rPr>
        <w:t xml:space="preserve"> against an individual specified in the statute</w:t>
      </w:r>
      <w:r w:rsidR="003634BF" w:rsidRPr="00221C89">
        <w:rPr>
          <w:rFonts w:ascii="Times New Roman" w:hAnsi="Times New Roman" w:cs="Times New Roman"/>
          <w:sz w:val="24"/>
          <w:szCs w:val="24"/>
        </w:rPr>
        <w:t xml:space="preserve"> for </w:t>
      </w:r>
      <w:r w:rsidR="00161B82" w:rsidRPr="00221C89">
        <w:rPr>
          <w:rFonts w:ascii="Times New Roman" w:hAnsi="Times New Roman" w:cs="Times New Roman"/>
          <w:sz w:val="24"/>
          <w:szCs w:val="24"/>
        </w:rPr>
        <w:t>the witness’s</w:t>
      </w:r>
      <w:r w:rsidR="003634BF" w:rsidRPr="00221C89">
        <w:rPr>
          <w:rFonts w:ascii="Times New Roman" w:hAnsi="Times New Roman" w:cs="Times New Roman"/>
          <w:sz w:val="24"/>
          <w:szCs w:val="24"/>
        </w:rPr>
        <w:t xml:space="preserve"> testimony </w:t>
      </w:r>
      <w:r w:rsidR="00517BC7" w:rsidRPr="00221C89">
        <w:rPr>
          <w:rFonts w:ascii="Times New Roman" w:hAnsi="Times New Roman" w:cs="Times New Roman"/>
          <w:sz w:val="24"/>
          <w:szCs w:val="24"/>
        </w:rPr>
        <w:t>to be barred.</w:t>
      </w:r>
      <w:r w:rsidR="00530479" w:rsidRPr="00221C89">
        <w:rPr>
          <w:rFonts w:ascii="Times New Roman" w:hAnsi="Times New Roman" w:cs="Times New Roman"/>
          <w:sz w:val="24"/>
          <w:szCs w:val="24"/>
        </w:rPr>
        <w:t xml:space="preserve"> </w:t>
      </w:r>
      <w:r w:rsidR="00230512" w:rsidRPr="00221C89">
        <w:rPr>
          <w:rFonts w:ascii="Times New Roman" w:hAnsi="Times New Roman" w:cs="Times New Roman"/>
          <w:sz w:val="24"/>
          <w:szCs w:val="24"/>
        </w:rPr>
        <w:t xml:space="preserve"> As a result, for example, </w:t>
      </w:r>
      <w:r w:rsidR="006801AE" w:rsidRPr="00221C89">
        <w:rPr>
          <w:rFonts w:ascii="Times New Roman" w:hAnsi="Times New Roman" w:cs="Times New Roman"/>
          <w:sz w:val="24"/>
          <w:szCs w:val="24"/>
        </w:rPr>
        <w:t>an attorney testifying in his own behalf in an attorney discipline hearing was not prohibited from testifying about his deceased client</w:t>
      </w:r>
      <w:r w:rsidR="002A6312" w:rsidRPr="00221C89">
        <w:rPr>
          <w:rFonts w:ascii="Times New Roman" w:hAnsi="Times New Roman" w:cs="Times New Roman"/>
          <w:sz w:val="24"/>
          <w:szCs w:val="24"/>
        </w:rPr>
        <w:t>’</w:t>
      </w:r>
      <w:r w:rsidR="006801AE" w:rsidRPr="00221C89">
        <w:rPr>
          <w:rFonts w:ascii="Times New Roman" w:hAnsi="Times New Roman" w:cs="Times New Roman"/>
          <w:sz w:val="24"/>
          <w:szCs w:val="24"/>
        </w:rPr>
        <w:t>s instructions</w:t>
      </w:r>
      <w:r w:rsidR="009F44CC" w:rsidRPr="00221C89">
        <w:rPr>
          <w:rFonts w:ascii="Times New Roman" w:hAnsi="Times New Roman" w:cs="Times New Roman"/>
          <w:sz w:val="24"/>
          <w:szCs w:val="24"/>
        </w:rPr>
        <w:t xml:space="preserve"> to retain the monies remaining in the attorney’s escrow account from the sale of her property, as payment f</w:t>
      </w:r>
      <w:r w:rsidR="00FE076C" w:rsidRPr="00221C89">
        <w:rPr>
          <w:rFonts w:ascii="Times New Roman" w:hAnsi="Times New Roman" w:cs="Times New Roman"/>
          <w:sz w:val="24"/>
          <w:szCs w:val="24"/>
        </w:rPr>
        <w:t>or legal services</w:t>
      </w:r>
      <w:r w:rsidR="000A267E"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because he was not testifying against the executor, </w:t>
      </w:r>
      <w:r w:rsidR="00601970" w:rsidRPr="00221C89">
        <w:rPr>
          <w:rFonts w:ascii="Times New Roman" w:hAnsi="Times New Roman" w:cs="Times New Roman"/>
          <w:sz w:val="24"/>
          <w:szCs w:val="24"/>
        </w:rPr>
        <w:t>administrator,</w:t>
      </w:r>
      <w:r w:rsidR="006801AE" w:rsidRPr="00221C89">
        <w:rPr>
          <w:rFonts w:ascii="Times New Roman" w:hAnsi="Times New Roman" w:cs="Times New Roman"/>
          <w:sz w:val="24"/>
          <w:szCs w:val="24"/>
        </w:rPr>
        <w:t xml:space="preserve"> or survivor of his client </w:t>
      </w:r>
      <w:r w:rsidR="00F10307" w:rsidRPr="00221C89">
        <w:rPr>
          <w:rFonts w:ascii="Times New Roman" w:hAnsi="Times New Roman" w:cs="Times New Roman"/>
          <w:sz w:val="24"/>
          <w:szCs w:val="24"/>
        </w:rPr>
        <w:t>(</w:t>
      </w:r>
      <w:r w:rsidR="004B09DC" w:rsidRPr="00221C89">
        <w:rPr>
          <w:rFonts w:ascii="Times New Roman" w:hAnsi="Times New Roman" w:cs="Times New Roman"/>
          <w:i/>
          <w:iCs/>
          <w:sz w:val="24"/>
          <w:szCs w:val="24"/>
        </w:rPr>
        <w:t>Matter of</w:t>
      </w:r>
      <w:r w:rsidR="006801AE" w:rsidRPr="00221C89">
        <w:rPr>
          <w:rFonts w:ascii="Times New Roman" w:hAnsi="Times New Roman" w:cs="Times New Roman"/>
          <w:i/>
          <w:iCs/>
          <w:sz w:val="24"/>
          <w:szCs w:val="24"/>
        </w:rPr>
        <w:t xml:space="preserve"> Zalk</w:t>
      </w:r>
      <w:r w:rsidR="004B09DC"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10 NY 3d 669</w:t>
      </w:r>
      <w:r w:rsidR="007319F5" w:rsidRPr="00221C89">
        <w:rPr>
          <w:rFonts w:ascii="Times New Roman" w:hAnsi="Times New Roman" w:cs="Times New Roman"/>
          <w:sz w:val="24"/>
          <w:szCs w:val="24"/>
        </w:rPr>
        <w:t xml:space="preserve"> [2008]</w:t>
      </w:r>
      <w:r w:rsidR="00F10307" w:rsidRPr="00221C89">
        <w:rPr>
          <w:rFonts w:ascii="Times New Roman" w:hAnsi="Times New Roman" w:cs="Times New Roman"/>
          <w:sz w:val="24"/>
          <w:szCs w:val="24"/>
        </w:rPr>
        <w:t>)</w:t>
      </w:r>
      <w:r w:rsidR="006801AE" w:rsidRPr="00221C89">
        <w:rPr>
          <w:rFonts w:ascii="Times New Roman" w:hAnsi="Times New Roman" w:cs="Times New Roman"/>
          <w:sz w:val="24"/>
          <w:szCs w:val="24"/>
        </w:rPr>
        <w:t>.</w:t>
      </w:r>
      <w:r w:rsidR="004B09DC"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In so ruling, the </w:t>
      </w:r>
      <w:r w:rsidR="000F008D" w:rsidRPr="00221C89">
        <w:rPr>
          <w:rFonts w:ascii="Times New Roman" w:hAnsi="Times New Roman" w:cs="Times New Roman"/>
          <w:sz w:val="24"/>
          <w:szCs w:val="24"/>
        </w:rPr>
        <w:t>C</w:t>
      </w:r>
      <w:r w:rsidR="006801AE" w:rsidRPr="00221C89">
        <w:rPr>
          <w:rFonts w:ascii="Times New Roman" w:hAnsi="Times New Roman" w:cs="Times New Roman"/>
          <w:sz w:val="24"/>
          <w:szCs w:val="24"/>
        </w:rPr>
        <w:t xml:space="preserve">ourt </w:t>
      </w:r>
      <w:r w:rsidR="008159B6" w:rsidRPr="00221C89">
        <w:rPr>
          <w:rFonts w:ascii="Times New Roman" w:hAnsi="Times New Roman" w:cs="Times New Roman"/>
          <w:sz w:val="24"/>
          <w:szCs w:val="24"/>
        </w:rPr>
        <w:t xml:space="preserve">rejected </w:t>
      </w:r>
      <w:r w:rsidR="006801AE" w:rsidRPr="00221C89">
        <w:rPr>
          <w:rFonts w:ascii="Times New Roman" w:hAnsi="Times New Roman" w:cs="Times New Roman"/>
          <w:sz w:val="24"/>
          <w:szCs w:val="24"/>
        </w:rPr>
        <w:t>the holding of the Appellate Division that the attorney’s testimony was against the</w:t>
      </w:r>
      <w:r w:rsidR="00F33190" w:rsidRPr="00221C89">
        <w:rPr>
          <w:rFonts w:ascii="Times New Roman" w:hAnsi="Times New Roman" w:cs="Times New Roman"/>
          <w:sz w:val="24"/>
          <w:szCs w:val="24"/>
        </w:rPr>
        <w:t xml:space="preserve"> </w:t>
      </w:r>
      <w:r w:rsidR="001E6FFB" w:rsidRPr="00221C89">
        <w:rPr>
          <w:rFonts w:ascii="Times New Roman" w:hAnsi="Times New Roman" w:cs="Times New Roman"/>
          <w:sz w:val="24"/>
          <w:szCs w:val="24"/>
        </w:rPr>
        <w:t xml:space="preserve">decedent’s </w:t>
      </w:r>
      <w:r w:rsidR="008159B6" w:rsidRPr="00221C89">
        <w:rPr>
          <w:rFonts w:ascii="Times New Roman" w:hAnsi="Times New Roman" w:cs="Times New Roman"/>
          <w:sz w:val="24"/>
          <w:szCs w:val="24"/>
        </w:rPr>
        <w:t xml:space="preserve">surviving </w:t>
      </w:r>
      <w:r w:rsidR="006801AE" w:rsidRPr="00221C89">
        <w:rPr>
          <w:rFonts w:ascii="Times New Roman" w:hAnsi="Times New Roman" w:cs="Times New Roman"/>
          <w:sz w:val="24"/>
          <w:szCs w:val="24"/>
        </w:rPr>
        <w:t xml:space="preserve">daughters </w:t>
      </w:r>
      <w:r w:rsidR="00BA7940" w:rsidRPr="00221C89">
        <w:rPr>
          <w:rFonts w:ascii="Times New Roman" w:hAnsi="Times New Roman" w:cs="Times New Roman"/>
          <w:sz w:val="24"/>
          <w:szCs w:val="24"/>
        </w:rPr>
        <w:t>because</w:t>
      </w:r>
      <w:r w:rsidR="00E14D4D" w:rsidRPr="00221C89">
        <w:rPr>
          <w:rFonts w:ascii="Times New Roman" w:hAnsi="Times New Roman" w:cs="Times New Roman"/>
          <w:sz w:val="24"/>
          <w:szCs w:val="24"/>
        </w:rPr>
        <w:t xml:space="preserve"> </w:t>
      </w:r>
      <w:r w:rsidR="00BA7940" w:rsidRPr="00221C89">
        <w:rPr>
          <w:rFonts w:ascii="Times New Roman" w:hAnsi="Times New Roman" w:cs="Times New Roman"/>
          <w:sz w:val="24"/>
          <w:szCs w:val="24"/>
        </w:rPr>
        <w:t>they stood to be deprived of the monies in the escrow account</w:t>
      </w:r>
      <w:r w:rsidR="007319F5" w:rsidRPr="00221C89">
        <w:rPr>
          <w:rFonts w:ascii="Times New Roman" w:hAnsi="Times New Roman" w:cs="Times New Roman"/>
          <w:sz w:val="24"/>
          <w:szCs w:val="24"/>
        </w:rPr>
        <w:t xml:space="preserve"> </w:t>
      </w:r>
      <w:r w:rsidR="00F10307" w:rsidRPr="00221C89">
        <w:rPr>
          <w:rFonts w:ascii="Times New Roman" w:hAnsi="Times New Roman" w:cs="Times New Roman"/>
          <w:iCs/>
          <w:sz w:val="24"/>
          <w:szCs w:val="24"/>
        </w:rPr>
        <w:t>(</w:t>
      </w:r>
      <w:r w:rsidR="00F10307" w:rsidRPr="00221C89">
        <w:rPr>
          <w:rFonts w:ascii="Times New Roman" w:hAnsi="Times New Roman" w:cs="Times New Roman"/>
          <w:i/>
          <w:iCs/>
          <w:sz w:val="24"/>
          <w:szCs w:val="24"/>
        </w:rPr>
        <w:t>M</w:t>
      </w:r>
      <w:r w:rsidR="00125516" w:rsidRPr="00221C89">
        <w:rPr>
          <w:rFonts w:ascii="Times New Roman" w:hAnsi="Times New Roman" w:cs="Times New Roman"/>
          <w:i/>
          <w:iCs/>
          <w:sz w:val="24"/>
          <w:szCs w:val="24"/>
        </w:rPr>
        <w:t>atter of</w:t>
      </w:r>
      <w:r w:rsidR="006801AE" w:rsidRPr="00221C89">
        <w:rPr>
          <w:rFonts w:ascii="Times New Roman" w:hAnsi="Times New Roman" w:cs="Times New Roman"/>
          <w:i/>
          <w:iCs/>
          <w:sz w:val="24"/>
          <w:szCs w:val="24"/>
        </w:rPr>
        <w:t xml:space="preserve"> Zalk</w:t>
      </w:r>
      <w:r w:rsidR="006801AE" w:rsidRPr="00221C89">
        <w:rPr>
          <w:rFonts w:ascii="Times New Roman" w:hAnsi="Times New Roman" w:cs="Times New Roman"/>
          <w:iCs/>
          <w:sz w:val="24"/>
          <w:szCs w:val="24"/>
        </w:rPr>
        <w:t>,</w:t>
      </w:r>
      <w:r w:rsidR="000F5F42" w:rsidRPr="00221C89">
        <w:rPr>
          <w:rFonts w:ascii="Times New Roman" w:hAnsi="Times New Roman" w:cs="Times New Roman"/>
          <w:sz w:val="24"/>
          <w:szCs w:val="24"/>
        </w:rPr>
        <w:t xml:space="preserve"> </w:t>
      </w:r>
      <w:r w:rsidR="00125516" w:rsidRPr="00221C89">
        <w:rPr>
          <w:rFonts w:ascii="Times New Roman" w:hAnsi="Times New Roman" w:cs="Times New Roman"/>
          <w:sz w:val="24"/>
          <w:szCs w:val="24"/>
        </w:rPr>
        <w:t>45 A</w:t>
      </w:r>
      <w:r w:rsidR="007319F5" w:rsidRPr="00221C89">
        <w:rPr>
          <w:rFonts w:ascii="Times New Roman" w:hAnsi="Times New Roman" w:cs="Times New Roman"/>
          <w:sz w:val="24"/>
          <w:szCs w:val="24"/>
        </w:rPr>
        <w:t>D</w:t>
      </w:r>
      <w:r w:rsidR="00125516" w:rsidRPr="00221C89">
        <w:rPr>
          <w:rFonts w:ascii="Times New Roman" w:hAnsi="Times New Roman" w:cs="Times New Roman"/>
          <w:sz w:val="24"/>
          <w:szCs w:val="24"/>
        </w:rPr>
        <w:t xml:space="preserve">3d 42 </w:t>
      </w:r>
      <w:r w:rsidR="006801AE" w:rsidRPr="00221C89">
        <w:rPr>
          <w:rFonts w:ascii="Times New Roman" w:hAnsi="Times New Roman" w:cs="Times New Roman"/>
          <w:sz w:val="24"/>
          <w:szCs w:val="24"/>
        </w:rPr>
        <w:t>[1</w:t>
      </w:r>
      <w:r w:rsidR="007319F5" w:rsidRPr="00221C89">
        <w:rPr>
          <w:rFonts w:ascii="Times New Roman" w:hAnsi="Times New Roman" w:cs="Times New Roman"/>
          <w:sz w:val="24"/>
          <w:szCs w:val="24"/>
        </w:rPr>
        <w:t>st</w:t>
      </w:r>
      <w:r w:rsidR="006801AE" w:rsidRPr="00221C89">
        <w:rPr>
          <w:rFonts w:ascii="Times New Roman" w:hAnsi="Times New Roman" w:cs="Times New Roman"/>
          <w:sz w:val="24"/>
          <w:szCs w:val="24"/>
        </w:rPr>
        <w:t xml:space="preserve"> Dept 2007</w:t>
      </w:r>
      <w:r w:rsidR="00125516" w:rsidRPr="00221C89">
        <w:rPr>
          <w:rFonts w:ascii="Times New Roman" w:hAnsi="Times New Roman" w:cs="Times New Roman"/>
          <w:sz w:val="24"/>
          <w:szCs w:val="24"/>
        </w:rPr>
        <w:t>]).</w:t>
      </w:r>
    </w:p>
    <w:p w14:paraId="04F5B91B" w14:textId="77777777" w:rsidR="00B10778" w:rsidRPr="00221C89" w:rsidRDefault="00B10778" w:rsidP="00F31666">
      <w:pPr>
        <w:spacing w:after="0" w:line="240" w:lineRule="auto"/>
        <w:jc w:val="both"/>
        <w:rPr>
          <w:rFonts w:ascii="Times New Roman" w:eastAsia="Times New Roman" w:hAnsi="Times New Roman" w:cs="Times New Roman"/>
          <w:sz w:val="24"/>
          <w:szCs w:val="24"/>
          <w:shd w:val="clear" w:color="auto" w:fill="FFFFFF"/>
        </w:rPr>
      </w:pPr>
    </w:p>
    <w:p w14:paraId="2D4E1DBF" w14:textId="020397EA" w:rsidR="006801AE" w:rsidRPr="00221C89" w:rsidRDefault="00F31666" w:rsidP="00F31666">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6801AE" w:rsidRPr="00221C89">
        <w:rPr>
          <w:rFonts w:ascii="Times New Roman" w:hAnsi="Times New Roman" w:cs="Times New Roman"/>
          <w:sz w:val="24"/>
          <w:szCs w:val="24"/>
        </w:rPr>
        <w:t xml:space="preserve">Historically, the Dead Man’s </w:t>
      </w:r>
      <w:r w:rsidR="007319F5" w:rsidRPr="00221C89">
        <w:rPr>
          <w:rFonts w:ascii="Times New Roman" w:hAnsi="Times New Roman" w:cs="Times New Roman"/>
          <w:sz w:val="24"/>
          <w:szCs w:val="24"/>
        </w:rPr>
        <w:t>S</w:t>
      </w:r>
      <w:r w:rsidR="006801AE" w:rsidRPr="00221C89">
        <w:rPr>
          <w:rFonts w:ascii="Times New Roman" w:hAnsi="Times New Roman" w:cs="Times New Roman"/>
          <w:sz w:val="24"/>
          <w:szCs w:val="24"/>
        </w:rPr>
        <w:t xml:space="preserve">tatute protected a person who had been declared by a court to be a </w:t>
      </w:r>
      <w:r w:rsidR="00EA61C1" w:rsidRPr="00221C89">
        <w:rPr>
          <w:rFonts w:ascii="Times New Roman" w:hAnsi="Times New Roman" w:cs="Times New Roman"/>
          <w:sz w:val="24"/>
          <w:szCs w:val="24"/>
        </w:rPr>
        <w:t>“</w:t>
      </w:r>
      <w:r w:rsidR="006801AE" w:rsidRPr="00221C89">
        <w:rPr>
          <w:rFonts w:ascii="Times New Roman" w:hAnsi="Times New Roman" w:cs="Times New Roman"/>
          <w:sz w:val="24"/>
          <w:szCs w:val="24"/>
        </w:rPr>
        <w:t>lunatic</w:t>
      </w:r>
      <w:r w:rsidR="00EA61C1"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and for whom the court had appointed a committee.  In </w:t>
      </w:r>
      <w:r w:rsidR="006801AE" w:rsidRPr="00221C89">
        <w:rPr>
          <w:rFonts w:ascii="Times New Roman" w:hAnsi="Times New Roman" w:cs="Times New Roman"/>
          <w:i/>
          <w:iCs/>
          <w:sz w:val="24"/>
          <w:szCs w:val="24"/>
        </w:rPr>
        <w:t>Clark v Dada</w:t>
      </w:r>
      <w:r w:rsidR="006801AE" w:rsidRPr="00221C89">
        <w:rPr>
          <w:rFonts w:ascii="Times New Roman" w:hAnsi="Times New Roman" w:cs="Times New Roman"/>
          <w:sz w:val="24"/>
          <w:szCs w:val="24"/>
        </w:rPr>
        <w:t xml:space="preserve"> </w:t>
      </w:r>
      <w:r w:rsidR="007319F5" w:rsidRPr="00221C89">
        <w:rPr>
          <w:rFonts w:ascii="Times New Roman" w:hAnsi="Times New Roman" w:cs="Times New Roman"/>
          <w:sz w:val="24"/>
          <w:szCs w:val="24"/>
        </w:rPr>
        <w:t>(</w:t>
      </w:r>
      <w:r w:rsidR="006801AE" w:rsidRPr="00221C89">
        <w:rPr>
          <w:rFonts w:ascii="Times New Roman" w:hAnsi="Times New Roman" w:cs="Times New Roman"/>
          <w:sz w:val="24"/>
          <w:szCs w:val="24"/>
        </w:rPr>
        <w:t>183 A</w:t>
      </w:r>
      <w:r w:rsidR="007319F5" w:rsidRPr="00221C89">
        <w:rPr>
          <w:rFonts w:ascii="Times New Roman" w:hAnsi="Times New Roman" w:cs="Times New Roman"/>
          <w:sz w:val="24"/>
          <w:szCs w:val="24"/>
        </w:rPr>
        <w:t xml:space="preserve">pp </w:t>
      </w:r>
      <w:r w:rsidR="006801AE" w:rsidRPr="00221C89">
        <w:rPr>
          <w:rFonts w:ascii="Times New Roman" w:hAnsi="Times New Roman" w:cs="Times New Roman"/>
          <w:sz w:val="24"/>
          <w:szCs w:val="24"/>
        </w:rPr>
        <w:t>D</w:t>
      </w:r>
      <w:r w:rsidR="007319F5" w:rsidRPr="00221C89">
        <w:rPr>
          <w:rFonts w:ascii="Times New Roman" w:hAnsi="Times New Roman" w:cs="Times New Roman"/>
          <w:sz w:val="24"/>
          <w:szCs w:val="24"/>
        </w:rPr>
        <w:t>iv</w:t>
      </w:r>
      <w:r w:rsidR="006801AE" w:rsidRPr="00221C89">
        <w:rPr>
          <w:rFonts w:ascii="Times New Roman" w:hAnsi="Times New Roman" w:cs="Times New Roman"/>
          <w:sz w:val="24"/>
          <w:szCs w:val="24"/>
        </w:rPr>
        <w:t xml:space="preserve"> 253, 26</w:t>
      </w:r>
      <w:r w:rsidR="00BB378E" w:rsidRPr="00221C89">
        <w:rPr>
          <w:rFonts w:ascii="Times New Roman" w:hAnsi="Times New Roman" w:cs="Times New Roman"/>
          <w:sz w:val="24"/>
          <w:szCs w:val="24"/>
        </w:rPr>
        <w:t xml:space="preserve">2 </w:t>
      </w:r>
      <w:r w:rsidR="006801AE" w:rsidRPr="00221C89">
        <w:rPr>
          <w:rFonts w:ascii="Times New Roman" w:hAnsi="Times New Roman" w:cs="Times New Roman"/>
          <w:sz w:val="24"/>
          <w:szCs w:val="24"/>
        </w:rPr>
        <w:t>[4</w:t>
      </w:r>
      <w:r w:rsidR="007319F5" w:rsidRPr="00221C89">
        <w:rPr>
          <w:rFonts w:ascii="Times New Roman" w:hAnsi="Times New Roman" w:cs="Times New Roman"/>
          <w:sz w:val="24"/>
          <w:szCs w:val="24"/>
        </w:rPr>
        <w:t>th</w:t>
      </w:r>
      <w:r w:rsidR="006801AE" w:rsidRPr="00221C89">
        <w:rPr>
          <w:rFonts w:ascii="Times New Roman" w:hAnsi="Times New Roman" w:cs="Times New Roman"/>
          <w:sz w:val="24"/>
          <w:szCs w:val="24"/>
        </w:rPr>
        <w:t xml:space="preserve"> Dept 1918]</w:t>
      </w:r>
      <w:r w:rsidR="007319F5"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the Appellate Division held that a person for whom a committee had not been appointed was not </w:t>
      </w:r>
      <w:r w:rsidR="007319F5" w:rsidRPr="00221C89">
        <w:rPr>
          <w:rFonts w:ascii="Times New Roman" w:hAnsi="Times New Roman" w:cs="Times New Roman"/>
          <w:sz w:val="24"/>
          <w:szCs w:val="24"/>
        </w:rPr>
        <w:t>p</w:t>
      </w:r>
      <w:r w:rsidR="006801AE" w:rsidRPr="00221C89">
        <w:rPr>
          <w:rFonts w:ascii="Times New Roman" w:hAnsi="Times New Roman" w:cs="Times New Roman"/>
          <w:sz w:val="24"/>
          <w:szCs w:val="24"/>
        </w:rPr>
        <w:t>rotected from the testimony of an interested party even though he had been adjudged insane by a county judge and committed to a hospital for treatment.</w:t>
      </w:r>
      <w:r w:rsidR="007319F5"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 The </w:t>
      </w:r>
      <w:r w:rsidR="007319F5" w:rsidRPr="00221C89">
        <w:rPr>
          <w:rFonts w:ascii="Times New Roman" w:hAnsi="Times New Roman" w:cs="Times New Roman"/>
          <w:sz w:val="24"/>
          <w:szCs w:val="24"/>
        </w:rPr>
        <w:t>C</w:t>
      </w:r>
      <w:r w:rsidR="006801AE" w:rsidRPr="00221C89">
        <w:rPr>
          <w:rFonts w:ascii="Times New Roman" w:hAnsi="Times New Roman" w:cs="Times New Roman"/>
          <w:sz w:val="24"/>
          <w:szCs w:val="24"/>
        </w:rPr>
        <w:t>ourt discussed the many forms of mental illness and note</w:t>
      </w:r>
      <w:r w:rsidR="00833F5D" w:rsidRPr="00221C89">
        <w:rPr>
          <w:rFonts w:ascii="Times New Roman" w:hAnsi="Times New Roman" w:cs="Times New Roman"/>
          <w:sz w:val="24"/>
          <w:szCs w:val="24"/>
        </w:rPr>
        <w:t>d</w:t>
      </w:r>
      <w:r w:rsidR="006801AE" w:rsidRPr="00221C89">
        <w:rPr>
          <w:rFonts w:ascii="Times New Roman" w:hAnsi="Times New Roman" w:cs="Times New Roman"/>
          <w:sz w:val="24"/>
          <w:szCs w:val="24"/>
        </w:rPr>
        <w:t xml:space="preserve"> that, unlike deceased persons, the lips of </w:t>
      </w:r>
      <w:r w:rsidR="00482F7A" w:rsidRPr="00221C89">
        <w:rPr>
          <w:rFonts w:ascii="Times New Roman" w:hAnsi="Times New Roman" w:cs="Times New Roman"/>
          <w:sz w:val="24"/>
          <w:szCs w:val="24"/>
        </w:rPr>
        <w:t xml:space="preserve">persons </w:t>
      </w:r>
      <w:r w:rsidR="006801AE" w:rsidRPr="00221C89">
        <w:rPr>
          <w:rFonts w:ascii="Times New Roman" w:hAnsi="Times New Roman" w:cs="Times New Roman"/>
          <w:sz w:val="24"/>
          <w:szCs w:val="24"/>
        </w:rPr>
        <w:t>committed to a hospital may not be forever sealed</w:t>
      </w:r>
      <w:r w:rsidR="00A36D45"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and they may be able to dispute testimony against them. There was one dissent</w:t>
      </w:r>
      <w:r w:rsidR="007F6860"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arguing that it had been established, at least presumptively, that the hospitalized person was a </w:t>
      </w:r>
      <w:r w:rsidR="00CD1A3A" w:rsidRPr="00221C89">
        <w:rPr>
          <w:rFonts w:ascii="Times New Roman" w:hAnsi="Times New Roman" w:cs="Times New Roman"/>
          <w:sz w:val="24"/>
          <w:szCs w:val="24"/>
        </w:rPr>
        <w:t>“</w:t>
      </w:r>
      <w:r w:rsidR="006801AE" w:rsidRPr="00221C89">
        <w:rPr>
          <w:rFonts w:ascii="Times New Roman" w:hAnsi="Times New Roman" w:cs="Times New Roman"/>
          <w:sz w:val="24"/>
          <w:szCs w:val="24"/>
        </w:rPr>
        <w:t>lunatic.</w:t>
      </w:r>
      <w:r w:rsidR="00CD1A3A"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While the majority’s solution (no committee, no protection) is draconian and no longer the law, it presages the difficulties future courts would </w:t>
      </w:r>
      <w:r w:rsidR="000E3699" w:rsidRPr="00221C89">
        <w:rPr>
          <w:rFonts w:ascii="Times New Roman" w:hAnsi="Times New Roman" w:cs="Times New Roman"/>
          <w:sz w:val="24"/>
          <w:szCs w:val="24"/>
        </w:rPr>
        <w:t>encounter</w:t>
      </w:r>
      <w:r w:rsidR="006801AE" w:rsidRPr="00221C89">
        <w:rPr>
          <w:rFonts w:ascii="Times New Roman" w:hAnsi="Times New Roman" w:cs="Times New Roman"/>
          <w:sz w:val="24"/>
          <w:szCs w:val="24"/>
        </w:rPr>
        <w:t xml:space="preserve"> in determining who is protected from testimony of an interested party by reason of mental illness.</w:t>
      </w:r>
    </w:p>
    <w:p w14:paraId="409D569E" w14:textId="77777777" w:rsidR="00B10778" w:rsidRPr="00221C89" w:rsidRDefault="00B10778" w:rsidP="00F31666">
      <w:pPr>
        <w:spacing w:after="0" w:line="240" w:lineRule="auto"/>
        <w:jc w:val="both"/>
        <w:rPr>
          <w:rFonts w:ascii="Times New Roman" w:hAnsi="Times New Roman" w:cs="Times New Roman"/>
          <w:sz w:val="24"/>
          <w:szCs w:val="24"/>
        </w:rPr>
      </w:pPr>
    </w:p>
    <w:p w14:paraId="7DF5893E" w14:textId="550738C3" w:rsidR="004F2B47" w:rsidRPr="00221C89" w:rsidRDefault="00F31666" w:rsidP="00F31666">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6801AE" w:rsidRPr="00221C89">
        <w:rPr>
          <w:rFonts w:ascii="Times New Roman" w:hAnsi="Times New Roman" w:cs="Times New Roman"/>
          <w:sz w:val="24"/>
          <w:szCs w:val="24"/>
        </w:rPr>
        <w:t xml:space="preserve">The term </w:t>
      </w:r>
      <w:r w:rsidR="006B2603" w:rsidRPr="00221C89">
        <w:rPr>
          <w:rFonts w:ascii="Times New Roman" w:hAnsi="Times New Roman" w:cs="Times New Roman"/>
          <w:sz w:val="24"/>
          <w:szCs w:val="24"/>
        </w:rPr>
        <w:t>“c</w:t>
      </w:r>
      <w:r w:rsidR="006801AE" w:rsidRPr="00221C89">
        <w:rPr>
          <w:rFonts w:ascii="Times New Roman" w:hAnsi="Times New Roman" w:cs="Times New Roman"/>
          <w:sz w:val="24"/>
          <w:szCs w:val="24"/>
        </w:rPr>
        <w:t xml:space="preserve">ommittee of a mentally ill person” remains in </w:t>
      </w:r>
      <w:r w:rsidR="006B2603" w:rsidRPr="00221C89">
        <w:rPr>
          <w:rFonts w:ascii="Times New Roman" w:hAnsi="Times New Roman" w:cs="Times New Roman"/>
          <w:sz w:val="24"/>
          <w:szCs w:val="24"/>
        </w:rPr>
        <w:t xml:space="preserve">the </w:t>
      </w:r>
      <w:r w:rsidR="006801AE" w:rsidRPr="00221C89">
        <w:rPr>
          <w:rFonts w:ascii="Times New Roman" w:hAnsi="Times New Roman" w:cs="Times New Roman"/>
          <w:sz w:val="24"/>
          <w:szCs w:val="24"/>
        </w:rPr>
        <w:t>Dead Man</w:t>
      </w:r>
      <w:r w:rsidR="006B2603" w:rsidRPr="00221C89">
        <w:rPr>
          <w:rFonts w:ascii="Times New Roman" w:hAnsi="Times New Roman" w:cs="Times New Roman"/>
          <w:sz w:val="24"/>
          <w:szCs w:val="24"/>
        </w:rPr>
        <w:t>’s</w:t>
      </w:r>
      <w:r w:rsidR="00AC786C" w:rsidRPr="00221C89">
        <w:rPr>
          <w:rFonts w:ascii="Times New Roman" w:hAnsi="Times New Roman" w:cs="Times New Roman"/>
          <w:sz w:val="24"/>
          <w:szCs w:val="24"/>
        </w:rPr>
        <w:t xml:space="preserve"> Statute</w:t>
      </w:r>
      <w:r w:rsidR="00364292"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although</w:t>
      </w:r>
      <w:r w:rsidR="00811F29" w:rsidRPr="00221C89">
        <w:rPr>
          <w:rFonts w:ascii="Times New Roman" w:hAnsi="Times New Roman" w:cs="Times New Roman"/>
          <w:sz w:val="24"/>
          <w:szCs w:val="24"/>
        </w:rPr>
        <w:t xml:space="preserve"> in</w:t>
      </w:r>
      <w:r w:rsidR="006801AE" w:rsidRPr="00221C89">
        <w:rPr>
          <w:rFonts w:ascii="Times New Roman" w:hAnsi="Times New Roman" w:cs="Times New Roman"/>
          <w:sz w:val="24"/>
          <w:szCs w:val="24"/>
        </w:rPr>
        <w:t xml:space="preserve"> 1993</w:t>
      </w:r>
      <w:r w:rsidR="003202E1" w:rsidRPr="00221C89">
        <w:rPr>
          <w:rFonts w:ascii="Times New Roman" w:hAnsi="Times New Roman" w:cs="Times New Roman"/>
          <w:sz w:val="24"/>
          <w:szCs w:val="24"/>
        </w:rPr>
        <w:t xml:space="preserve">, </w:t>
      </w:r>
      <w:r w:rsidR="00811F29" w:rsidRPr="00221C89">
        <w:rPr>
          <w:rFonts w:ascii="Times New Roman" w:hAnsi="Times New Roman" w:cs="Times New Roman"/>
          <w:sz w:val="24"/>
          <w:szCs w:val="24"/>
        </w:rPr>
        <w:t>with</w:t>
      </w:r>
      <w:r w:rsidR="00AF0937" w:rsidRPr="00221C89">
        <w:rPr>
          <w:rFonts w:ascii="Times New Roman" w:hAnsi="Times New Roman" w:cs="Times New Roman"/>
          <w:sz w:val="24"/>
          <w:szCs w:val="24"/>
        </w:rPr>
        <w:t xml:space="preserve"> the enactment of </w:t>
      </w:r>
      <w:r w:rsidR="007319F5" w:rsidRPr="00221C89">
        <w:rPr>
          <w:rFonts w:ascii="Times New Roman" w:hAnsi="Times New Roman" w:cs="Times New Roman"/>
          <w:sz w:val="24"/>
          <w:szCs w:val="24"/>
        </w:rPr>
        <w:t>a</w:t>
      </w:r>
      <w:r w:rsidR="00AF0937" w:rsidRPr="00221C89">
        <w:rPr>
          <w:rFonts w:ascii="Times New Roman" w:hAnsi="Times New Roman" w:cs="Times New Roman"/>
          <w:sz w:val="24"/>
          <w:szCs w:val="24"/>
        </w:rPr>
        <w:t xml:space="preserve">rticle 81 of the Mental Hygiene Law </w:t>
      </w:r>
      <w:r w:rsidR="00506339" w:rsidRPr="00221C89">
        <w:rPr>
          <w:rFonts w:ascii="Times New Roman" w:hAnsi="Times New Roman" w:cs="Times New Roman"/>
          <w:sz w:val="24"/>
          <w:szCs w:val="24"/>
        </w:rPr>
        <w:t>(</w:t>
      </w:r>
      <w:r w:rsidR="006801AE" w:rsidRPr="00221C89">
        <w:rPr>
          <w:rFonts w:ascii="Times New Roman" w:hAnsi="Times New Roman" w:cs="Times New Roman"/>
          <w:sz w:val="24"/>
          <w:szCs w:val="24"/>
        </w:rPr>
        <w:t>Proceeding</w:t>
      </w:r>
      <w:r w:rsidR="007319F5" w:rsidRPr="00221C89">
        <w:rPr>
          <w:rFonts w:ascii="Times New Roman" w:hAnsi="Times New Roman" w:cs="Times New Roman"/>
          <w:sz w:val="24"/>
          <w:szCs w:val="24"/>
        </w:rPr>
        <w:t>s</w:t>
      </w:r>
      <w:r w:rsidR="006801AE" w:rsidRPr="00221C89">
        <w:rPr>
          <w:rFonts w:ascii="Times New Roman" w:hAnsi="Times New Roman" w:cs="Times New Roman"/>
          <w:sz w:val="24"/>
          <w:szCs w:val="24"/>
        </w:rPr>
        <w:t xml:space="preserve"> for Appointment of a Guardian for </w:t>
      </w:r>
      <w:r w:rsidR="007319F5" w:rsidRPr="00221C89">
        <w:rPr>
          <w:rFonts w:ascii="Times New Roman" w:hAnsi="Times New Roman" w:cs="Times New Roman"/>
          <w:sz w:val="24"/>
          <w:szCs w:val="24"/>
        </w:rPr>
        <w:t>P</w:t>
      </w:r>
      <w:r w:rsidR="006801AE" w:rsidRPr="00221C89">
        <w:rPr>
          <w:rFonts w:ascii="Times New Roman" w:hAnsi="Times New Roman" w:cs="Times New Roman"/>
          <w:sz w:val="24"/>
          <w:szCs w:val="24"/>
        </w:rPr>
        <w:t xml:space="preserve">ersonal Needs </w:t>
      </w:r>
      <w:r w:rsidR="007319F5" w:rsidRPr="00221C89">
        <w:rPr>
          <w:rFonts w:ascii="Times New Roman" w:hAnsi="Times New Roman" w:cs="Times New Roman"/>
          <w:sz w:val="24"/>
          <w:szCs w:val="24"/>
        </w:rPr>
        <w:t>or</w:t>
      </w:r>
      <w:r w:rsidR="006801AE" w:rsidRPr="00221C89">
        <w:rPr>
          <w:rFonts w:ascii="Times New Roman" w:hAnsi="Times New Roman" w:cs="Times New Roman"/>
          <w:sz w:val="24"/>
          <w:szCs w:val="24"/>
        </w:rPr>
        <w:t xml:space="preserve"> Property</w:t>
      </w:r>
      <w:r w:rsidR="007319F5" w:rsidRPr="00221C89">
        <w:rPr>
          <w:rFonts w:ascii="Times New Roman" w:hAnsi="Times New Roman" w:cs="Times New Roman"/>
          <w:sz w:val="24"/>
          <w:szCs w:val="24"/>
        </w:rPr>
        <w:t xml:space="preserve"> Management</w:t>
      </w:r>
      <w:r w:rsidR="00506339" w:rsidRPr="00221C89">
        <w:rPr>
          <w:rFonts w:ascii="Times New Roman" w:hAnsi="Times New Roman" w:cs="Times New Roman"/>
          <w:sz w:val="24"/>
          <w:szCs w:val="24"/>
        </w:rPr>
        <w:t>)</w:t>
      </w:r>
      <w:r w:rsidR="00364292" w:rsidRPr="00221C89">
        <w:rPr>
          <w:rFonts w:ascii="Times New Roman" w:hAnsi="Times New Roman" w:cs="Times New Roman"/>
          <w:sz w:val="24"/>
          <w:szCs w:val="24"/>
        </w:rPr>
        <w:t>,</w:t>
      </w:r>
      <w:r w:rsidR="00203941" w:rsidRPr="00221C89">
        <w:rPr>
          <w:rFonts w:ascii="Times New Roman" w:hAnsi="Times New Roman" w:cs="Times New Roman"/>
          <w:sz w:val="24"/>
          <w:szCs w:val="24"/>
        </w:rPr>
        <w:t xml:space="preserve"> a </w:t>
      </w:r>
      <w:r w:rsidR="009A79FC" w:rsidRPr="00221C89">
        <w:rPr>
          <w:rFonts w:ascii="Times New Roman" w:hAnsi="Times New Roman" w:cs="Times New Roman"/>
          <w:sz w:val="24"/>
          <w:szCs w:val="24"/>
        </w:rPr>
        <w:t>“</w:t>
      </w:r>
      <w:r w:rsidR="00203941" w:rsidRPr="00221C89">
        <w:rPr>
          <w:rFonts w:ascii="Times New Roman" w:hAnsi="Times New Roman" w:cs="Times New Roman"/>
          <w:sz w:val="24"/>
          <w:szCs w:val="24"/>
        </w:rPr>
        <w:t>guardianship</w:t>
      </w:r>
      <w:r w:rsidR="009A79FC" w:rsidRPr="00221C89">
        <w:rPr>
          <w:rFonts w:ascii="Times New Roman" w:hAnsi="Times New Roman" w:cs="Times New Roman"/>
          <w:sz w:val="24"/>
          <w:szCs w:val="24"/>
        </w:rPr>
        <w:t xml:space="preserve"> system” </w:t>
      </w:r>
      <w:r w:rsidR="0031346C" w:rsidRPr="00221C89">
        <w:rPr>
          <w:rFonts w:ascii="Times New Roman" w:hAnsi="Times New Roman" w:cs="Times New Roman"/>
          <w:sz w:val="24"/>
          <w:szCs w:val="24"/>
        </w:rPr>
        <w:t>replaced</w:t>
      </w:r>
      <w:r w:rsidR="00326D5E" w:rsidRPr="00221C89">
        <w:rPr>
          <w:rFonts w:ascii="Times New Roman" w:hAnsi="Times New Roman" w:cs="Times New Roman"/>
          <w:sz w:val="24"/>
          <w:szCs w:val="24"/>
        </w:rPr>
        <w:t xml:space="preserve"> the la</w:t>
      </w:r>
      <w:r w:rsidR="001C1F48" w:rsidRPr="00221C89">
        <w:rPr>
          <w:rFonts w:ascii="Times New Roman" w:hAnsi="Times New Roman" w:cs="Times New Roman"/>
          <w:sz w:val="24"/>
          <w:szCs w:val="24"/>
        </w:rPr>
        <w:t>w establishing a “committee of a mentally ill person</w:t>
      </w:r>
      <w:r w:rsidR="00683B35" w:rsidRPr="00221C89">
        <w:rPr>
          <w:rFonts w:ascii="Times New Roman" w:hAnsi="Times New Roman" w:cs="Times New Roman"/>
          <w:sz w:val="24"/>
          <w:szCs w:val="24"/>
        </w:rPr>
        <w:t>.”</w:t>
      </w:r>
      <w:r w:rsidR="00364292"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In </w:t>
      </w:r>
      <w:r w:rsidR="007501A0" w:rsidRPr="00221C89">
        <w:rPr>
          <w:rFonts w:ascii="Times New Roman" w:hAnsi="Times New Roman" w:cs="Times New Roman"/>
          <w:sz w:val="24"/>
          <w:szCs w:val="24"/>
        </w:rPr>
        <w:t>its</w:t>
      </w:r>
      <w:r w:rsidR="006801AE" w:rsidRPr="00221C89">
        <w:rPr>
          <w:rFonts w:ascii="Times New Roman" w:hAnsi="Times New Roman" w:cs="Times New Roman"/>
          <w:sz w:val="24"/>
          <w:szCs w:val="24"/>
        </w:rPr>
        <w:t xml:space="preserve"> legislative findings</w:t>
      </w:r>
      <w:r w:rsidR="00281263" w:rsidRPr="00221C89">
        <w:rPr>
          <w:rFonts w:ascii="Times New Roman" w:hAnsi="Times New Roman" w:cs="Times New Roman"/>
          <w:sz w:val="24"/>
          <w:szCs w:val="24"/>
        </w:rPr>
        <w:t>,</w:t>
      </w:r>
      <w:r w:rsidR="00AF6ADC" w:rsidRPr="00221C89">
        <w:rPr>
          <w:rFonts w:ascii="Times New Roman" w:hAnsi="Times New Roman" w:cs="Times New Roman"/>
          <w:sz w:val="24"/>
          <w:szCs w:val="24"/>
        </w:rPr>
        <w:t xml:space="preserve"> </w:t>
      </w:r>
      <w:r w:rsidR="00281263" w:rsidRPr="00221C89">
        <w:rPr>
          <w:rFonts w:ascii="Times New Roman" w:hAnsi="Times New Roman" w:cs="Times New Roman"/>
          <w:sz w:val="24"/>
          <w:szCs w:val="24"/>
        </w:rPr>
        <w:t xml:space="preserve">the </w:t>
      </w:r>
      <w:r w:rsidR="007319F5" w:rsidRPr="00221C89">
        <w:rPr>
          <w:rFonts w:ascii="Times New Roman" w:hAnsi="Times New Roman" w:cs="Times New Roman"/>
          <w:sz w:val="24"/>
          <w:szCs w:val="24"/>
        </w:rPr>
        <w:t>l</w:t>
      </w:r>
      <w:r w:rsidR="00AF6ADC" w:rsidRPr="00221C89">
        <w:rPr>
          <w:rFonts w:ascii="Times New Roman" w:hAnsi="Times New Roman" w:cs="Times New Roman"/>
          <w:sz w:val="24"/>
          <w:szCs w:val="24"/>
        </w:rPr>
        <w:t xml:space="preserve">egislature found that a </w:t>
      </w:r>
      <w:r w:rsidR="00766B55" w:rsidRPr="00221C89">
        <w:rPr>
          <w:rFonts w:ascii="Times New Roman" w:hAnsi="Times New Roman" w:cs="Times New Roman"/>
          <w:sz w:val="24"/>
          <w:szCs w:val="24"/>
        </w:rPr>
        <w:t>“</w:t>
      </w:r>
      <w:r w:rsidR="006801AE" w:rsidRPr="00221C89">
        <w:rPr>
          <w:rFonts w:ascii="Times New Roman" w:hAnsi="Times New Roman" w:cs="Times New Roman"/>
          <w:sz w:val="24"/>
          <w:szCs w:val="24"/>
        </w:rPr>
        <w:t>committee</w:t>
      </w:r>
      <w:r w:rsidR="007319F5"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with its judicial finding of incompetenc</w:t>
      </w:r>
      <w:r w:rsidR="00364292" w:rsidRPr="00221C89">
        <w:rPr>
          <w:rFonts w:ascii="Times New Roman" w:hAnsi="Times New Roman" w:cs="Times New Roman"/>
          <w:sz w:val="24"/>
          <w:szCs w:val="24"/>
        </w:rPr>
        <w:t>e</w:t>
      </w:r>
      <w:r w:rsidR="006801AE" w:rsidRPr="00221C89">
        <w:rPr>
          <w:rFonts w:ascii="Times New Roman" w:hAnsi="Times New Roman" w:cs="Times New Roman"/>
          <w:sz w:val="24"/>
          <w:szCs w:val="24"/>
        </w:rPr>
        <w:t xml:space="preserve"> and the accompanying stigma and loss of civil rights</w:t>
      </w:r>
      <w:r w:rsidR="007319F5"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traditionally involves </w:t>
      </w:r>
      <w:r w:rsidR="007B7AB7" w:rsidRPr="00221C89">
        <w:rPr>
          <w:rFonts w:ascii="Times New Roman" w:hAnsi="Times New Roman" w:cs="Times New Roman"/>
          <w:sz w:val="24"/>
          <w:szCs w:val="24"/>
        </w:rPr>
        <w:t xml:space="preserve">a </w:t>
      </w:r>
      <w:r w:rsidR="006801AE" w:rsidRPr="00221C89">
        <w:rPr>
          <w:rFonts w:ascii="Times New Roman" w:hAnsi="Times New Roman" w:cs="Times New Roman"/>
          <w:sz w:val="24"/>
          <w:szCs w:val="24"/>
        </w:rPr>
        <w:t xml:space="preserve">deprivation that is often excessive and unnecessary” </w:t>
      </w:r>
      <w:r w:rsidR="000765CF" w:rsidRPr="00221C89">
        <w:rPr>
          <w:rFonts w:ascii="Times New Roman" w:hAnsi="Times New Roman" w:cs="Times New Roman"/>
          <w:sz w:val="24"/>
          <w:szCs w:val="24"/>
        </w:rPr>
        <w:t>(</w:t>
      </w:r>
      <w:r w:rsidR="00281263" w:rsidRPr="00221C89">
        <w:rPr>
          <w:rFonts w:ascii="Times New Roman" w:hAnsi="Times New Roman" w:cs="Times New Roman"/>
          <w:sz w:val="24"/>
          <w:szCs w:val="24"/>
        </w:rPr>
        <w:t>Mental Hygiene Law § 81.01</w:t>
      </w:r>
      <w:r w:rsidR="000765CF"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The goal of the </w:t>
      </w:r>
      <w:r w:rsidR="000765CF" w:rsidRPr="00221C89">
        <w:rPr>
          <w:rFonts w:ascii="Times New Roman" w:hAnsi="Times New Roman" w:cs="Times New Roman"/>
          <w:sz w:val="24"/>
          <w:szCs w:val="24"/>
        </w:rPr>
        <w:t>Mental Hygien</w:t>
      </w:r>
      <w:r w:rsidR="00214056" w:rsidRPr="00221C89">
        <w:rPr>
          <w:rFonts w:ascii="Times New Roman" w:hAnsi="Times New Roman" w:cs="Times New Roman"/>
          <w:sz w:val="24"/>
          <w:szCs w:val="24"/>
        </w:rPr>
        <w:t xml:space="preserve">e </w:t>
      </w:r>
      <w:r w:rsidR="00AA61BE" w:rsidRPr="00221C89">
        <w:rPr>
          <w:rFonts w:ascii="Times New Roman" w:hAnsi="Times New Roman" w:cs="Times New Roman"/>
          <w:sz w:val="24"/>
          <w:szCs w:val="24"/>
        </w:rPr>
        <w:t>L</w:t>
      </w:r>
      <w:r w:rsidR="00214056" w:rsidRPr="00221C89">
        <w:rPr>
          <w:rFonts w:ascii="Times New Roman" w:hAnsi="Times New Roman" w:cs="Times New Roman"/>
          <w:sz w:val="24"/>
          <w:szCs w:val="24"/>
        </w:rPr>
        <w:t>aw</w:t>
      </w:r>
      <w:r w:rsidR="005B1F00" w:rsidRPr="00221C89">
        <w:rPr>
          <w:rFonts w:ascii="Times New Roman" w:hAnsi="Times New Roman" w:cs="Times New Roman"/>
          <w:sz w:val="24"/>
          <w:szCs w:val="24"/>
        </w:rPr>
        <w:t xml:space="preserve"> </w:t>
      </w:r>
      <w:r w:rsidR="00871B4C" w:rsidRPr="00221C89">
        <w:rPr>
          <w:rFonts w:ascii="Times New Roman" w:hAnsi="Times New Roman" w:cs="Times New Roman"/>
          <w:sz w:val="24"/>
          <w:szCs w:val="24"/>
        </w:rPr>
        <w:t xml:space="preserve">is </w:t>
      </w:r>
      <w:r w:rsidR="006801AE" w:rsidRPr="00221C89">
        <w:rPr>
          <w:rFonts w:ascii="Times New Roman" w:hAnsi="Times New Roman" w:cs="Times New Roman"/>
          <w:sz w:val="24"/>
          <w:szCs w:val="24"/>
        </w:rPr>
        <w:t xml:space="preserve">to find the least restrictive form of intervention needed for the protection of the person for whom a guardian is sought. </w:t>
      </w:r>
      <w:r w:rsidR="000D6181"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For example,</w:t>
      </w:r>
      <w:r w:rsidR="000E72DF"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the order could restrict the guardian</w:t>
      </w:r>
      <w:r w:rsidR="00AA61BE"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to handling the financial affairs for the alleged incapacitated person. It is possible for the alleged incapacitated person to consent to the appointment of a guardian. There are several provisions for the appointment of a guardian, none of which necessarily require a finding of mental illness</w:t>
      </w:r>
      <w:r w:rsidR="000E72DF"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w:t>
      </w:r>
      <w:r w:rsidR="007319F5" w:rsidRPr="00221C89">
        <w:rPr>
          <w:rFonts w:ascii="Times New Roman" w:hAnsi="Times New Roman" w:cs="Times New Roman"/>
          <w:i/>
          <w:sz w:val="24"/>
          <w:szCs w:val="24"/>
        </w:rPr>
        <w:t>s</w:t>
      </w:r>
      <w:r w:rsidR="00994A1C" w:rsidRPr="00221C89">
        <w:rPr>
          <w:rFonts w:ascii="Times New Roman" w:hAnsi="Times New Roman" w:cs="Times New Roman"/>
          <w:i/>
          <w:iCs/>
          <w:sz w:val="24"/>
          <w:szCs w:val="24"/>
        </w:rPr>
        <w:t>ee</w:t>
      </w:r>
      <w:r w:rsidR="00994A1C"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SCPA </w:t>
      </w:r>
      <w:r w:rsidR="007319F5" w:rsidRPr="00221C89">
        <w:rPr>
          <w:rFonts w:ascii="Times New Roman" w:hAnsi="Times New Roman" w:cs="Times New Roman"/>
          <w:sz w:val="24"/>
          <w:szCs w:val="24"/>
        </w:rPr>
        <w:t>a</w:t>
      </w:r>
      <w:r w:rsidR="006801AE" w:rsidRPr="00221C89">
        <w:rPr>
          <w:rFonts w:ascii="Times New Roman" w:hAnsi="Times New Roman" w:cs="Times New Roman"/>
          <w:sz w:val="24"/>
          <w:szCs w:val="24"/>
        </w:rPr>
        <w:t>rt</w:t>
      </w:r>
      <w:r w:rsidR="005D5123" w:rsidRPr="00221C89">
        <w:rPr>
          <w:rFonts w:ascii="Times New Roman" w:hAnsi="Times New Roman" w:cs="Times New Roman"/>
          <w:sz w:val="24"/>
          <w:szCs w:val="24"/>
        </w:rPr>
        <w:t>s</w:t>
      </w:r>
      <w:r w:rsidR="006801AE" w:rsidRPr="00221C89">
        <w:rPr>
          <w:rFonts w:ascii="Times New Roman" w:hAnsi="Times New Roman" w:cs="Times New Roman"/>
          <w:sz w:val="24"/>
          <w:szCs w:val="24"/>
        </w:rPr>
        <w:t xml:space="preserve"> 17 </w:t>
      </w:r>
      <w:r w:rsidR="007E15ED" w:rsidRPr="00221C89">
        <w:rPr>
          <w:rFonts w:ascii="Times New Roman" w:hAnsi="Times New Roman" w:cs="Times New Roman"/>
          <w:sz w:val="24"/>
          <w:szCs w:val="24"/>
        </w:rPr>
        <w:t xml:space="preserve">[Guardians </w:t>
      </w:r>
      <w:r w:rsidR="007E15ED" w:rsidRPr="00221C89">
        <w:rPr>
          <w:rFonts w:ascii="Times New Roman" w:hAnsi="Times New Roman" w:cs="Times New Roman"/>
          <w:sz w:val="24"/>
          <w:szCs w:val="24"/>
        </w:rPr>
        <w:lastRenderedPageBreak/>
        <w:t>and Custodians]</w:t>
      </w:r>
      <w:r w:rsidR="007319F5"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17</w:t>
      </w:r>
      <w:r w:rsidR="007319F5"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A </w:t>
      </w:r>
      <w:r w:rsidR="0096325A" w:rsidRPr="00221C89">
        <w:rPr>
          <w:rFonts w:ascii="Times New Roman" w:hAnsi="Times New Roman" w:cs="Times New Roman"/>
          <w:sz w:val="24"/>
          <w:szCs w:val="24"/>
        </w:rPr>
        <w:t>[Guardians of Persons Who Are Intellectually Disabled and Developmentally Disabled]</w:t>
      </w:r>
      <w:r w:rsidR="007319F5" w:rsidRPr="00221C89">
        <w:rPr>
          <w:rFonts w:ascii="Times New Roman" w:hAnsi="Times New Roman" w:cs="Times New Roman"/>
          <w:sz w:val="24"/>
          <w:szCs w:val="24"/>
        </w:rPr>
        <w:t>;</w:t>
      </w:r>
      <w:r w:rsidR="007257F2" w:rsidRPr="00221C89">
        <w:rPr>
          <w:rFonts w:ascii="Times New Roman" w:hAnsi="Times New Roman" w:cs="Times New Roman"/>
          <w:sz w:val="24"/>
          <w:szCs w:val="24"/>
        </w:rPr>
        <w:t xml:space="preserve"> </w:t>
      </w:r>
      <w:r w:rsidR="007319F5" w:rsidRPr="00221C89">
        <w:rPr>
          <w:rFonts w:ascii="Times New Roman" w:hAnsi="Times New Roman" w:cs="Times New Roman"/>
          <w:i/>
          <w:sz w:val="24"/>
          <w:szCs w:val="24"/>
        </w:rPr>
        <w:t>s</w:t>
      </w:r>
      <w:r w:rsidR="0061743A" w:rsidRPr="00221C89">
        <w:rPr>
          <w:rFonts w:ascii="Times New Roman" w:hAnsi="Times New Roman" w:cs="Times New Roman"/>
          <w:i/>
          <w:sz w:val="24"/>
          <w:szCs w:val="24"/>
        </w:rPr>
        <w:t>ee</w:t>
      </w:r>
      <w:r w:rsidR="0061743A" w:rsidRPr="00221C89">
        <w:rPr>
          <w:rFonts w:ascii="Times New Roman" w:hAnsi="Times New Roman" w:cs="Times New Roman"/>
          <w:sz w:val="24"/>
          <w:szCs w:val="24"/>
        </w:rPr>
        <w:t xml:space="preserve"> </w:t>
      </w:r>
      <w:r w:rsidR="005D4A42" w:rsidRPr="00221C89">
        <w:rPr>
          <w:rFonts w:ascii="Times New Roman" w:hAnsi="Times New Roman" w:cs="Times New Roman"/>
          <w:sz w:val="24"/>
          <w:szCs w:val="24"/>
        </w:rPr>
        <w:t>CPLR</w:t>
      </w:r>
      <w:r w:rsidR="0070306A" w:rsidRPr="00221C89">
        <w:rPr>
          <w:rFonts w:ascii="Times New Roman" w:hAnsi="Times New Roman" w:cs="Times New Roman"/>
          <w:sz w:val="24"/>
          <w:szCs w:val="24"/>
        </w:rPr>
        <w:t xml:space="preserve"> 1202 </w:t>
      </w:r>
      <w:r w:rsidR="00FD0962" w:rsidRPr="00221C89">
        <w:rPr>
          <w:rFonts w:ascii="Times New Roman" w:hAnsi="Times New Roman" w:cs="Times New Roman"/>
          <w:sz w:val="24"/>
          <w:szCs w:val="24"/>
        </w:rPr>
        <w:t>[</w:t>
      </w:r>
      <w:r w:rsidR="007319F5" w:rsidRPr="00221C89">
        <w:rPr>
          <w:rFonts w:ascii="Times New Roman" w:hAnsi="Times New Roman" w:cs="Times New Roman"/>
          <w:sz w:val="24"/>
          <w:szCs w:val="24"/>
        </w:rPr>
        <w:t xml:space="preserve">Appointment of </w:t>
      </w:r>
      <w:r w:rsidR="007B7AB7" w:rsidRPr="00221C89">
        <w:rPr>
          <w:rFonts w:ascii="Times New Roman" w:hAnsi="Times New Roman" w:cs="Times New Roman"/>
          <w:sz w:val="24"/>
          <w:szCs w:val="24"/>
        </w:rPr>
        <w:t>G</w:t>
      </w:r>
      <w:r w:rsidR="0070306A" w:rsidRPr="00221C89">
        <w:rPr>
          <w:rFonts w:ascii="Times New Roman" w:hAnsi="Times New Roman" w:cs="Times New Roman"/>
          <w:sz w:val="24"/>
          <w:szCs w:val="24"/>
        </w:rPr>
        <w:t>uardian</w:t>
      </w:r>
      <w:r w:rsidR="00634886" w:rsidRPr="00221C89">
        <w:rPr>
          <w:rFonts w:ascii="Times New Roman" w:hAnsi="Times New Roman" w:cs="Times New Roman"/>
          <w:sz w:val="24"/>
          <w:szCs w:val="24"/>
        </w:rPr>
        <w:t xml:space="preserve"> </w:t>
      </w:r>
      <w:r w:rsidR="007B7AB7" w:rsidRPr="00221C89">
        <w:rPr>
          <w:rFonts w:ascii="Times New Roman" w:hAnsi="Times New Roman" w:cs="Times New Roman"/>
          <w:sz w:val="24"/>
          <w:szCs w:val="24"/>
        </w:rPr>
        <w:t>A</w:t>
      </w:r>
      <w:r w:rsidR="0070306A" w:rsidRPr="00221C89">
        <w:rPr>
          <w:rFonts w:ascii="Times New Roman" w:hAnsi="Times New Roman" w:cs="Times New Roman"/>
          <w:sz w:val="24"/>
          <w:szCs w:val="24"/>
        </w:rPr>
        <w:t>d Litem</w:t>
      </w:r>
      <w:r w:rsidR="00FD0962" w:rsidRPr="00221C89">
        <w:rPr>
          <w:rFonts w:ascii="Times New Roman" w:hAnsi="Times New Roman" w:cs="Times New Roman"/>
          <w:sz w:val="24"/>
          <w:szCs w:val="24"/>
        </w:rPr>
        <w:t>]</w:t>
      </w:r>
      <w:r w:rsidR="007319F5" w:rsidRPr="00221C89">
        <w:rPr>
          <w:rFonts w:ascii="Times New Roman" w:hAnsi="Times New Roman" w:cs="Times New Roman"/>
          <w:sz w:val="24"/>
          <w:szCs w:val="24"/>
        </w:rPr>
        <w:t>)</w:t>
      </w:r>
      <w:r w:rsidR="00634886"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w:t>
      </w:r>
    </w:p>
    <w:p w14:paraId="6F4C3F46" w14:textId="77777777" w:rsidR="00B10778" w:rsidRPr="00221C89" w:rsidRDefault="00B10778" w:rsidP="00F31666">
      <w:pPr>
        <w:spacing w:after="0" w:line="240" w:lineRule="auto"/>
        <w:jc w:val="both"/>
        <w:rPr>
          <w:rFonts w:ascii="Times New Roman" w:hAnsi="Times New Roman" w:cs="Times New Roman"/>
          <w:b/>
          <w:bCs/>
          <w:sz w:val="24"/>
          <w:szCs w:val="24"/>
        </w:rPr>
      </w:pPr>
    </w:p>
    <w:p w14:paraId="405F535E" w14:textId="26B0459A" w:rsidR="00492B50" w:rsidRPr="00221C89" w:rsidRDefault="00F31666" w:rsidP="00F31666">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6801AE" w:rsidRPr="00221C89">
        <w:rPr>
          <w:rFonts w:ascii="Times New Roman" w:hAnsi="Times New Roman" w:cs="Times New Roman"/>
          <w:sz w:val="24"/>
          <w:szCs w:val="24"/>
        </w:rPr>
        <w:t xml:space="preserve">Thus, </w:t>
      </w:r>
      <w:r w:rsidR="006F2721" w:rsidRPr="00221C89">
        <w:rPr>
          <w:rFonts w:ascii="Times New Roman" w:hAnsi="Times New Roman" w:cs="Times New Roman"/>
          <w:sz w:val="24"/>
          <w:szCs w:val="24"/>
        </w:rPr>
        <w:t xml:space="preserve">an </w:t>
      </w:r>
      <w:r w:rsidR="006801AE" w:rsidRPr="00221C89">
        <w:rPr>
          <w:rFonts w:ascii="Times New Roman" w:hAnsi="Times New Roman" w:cs="Times New Roman"/>
          <w:sz w:val="24"/>
          <w:szCs w:val="24"/>
        </w:rPr>
        <w:t xml:space="preserve">objection </w:t>
      </w:r>
      <w:r w:rsidR="00261F3F" w:rsidRPr="00221C89">
        <w:rPr>
          <w:rFonts w:ascii="Times New Roman" w:hAnsi="Times New Roman" w:cs="Times New Roman"/>
          <w:sz w:val="24"/>
          <w:szCs w:val="24"/>
        </w:rPr>
        <w:t xml:space="preserve">pursuant to CPLR 4519 </w:t>
      </w:r>
      <w:r w:rsidR="00C01F3D" w:rsidRPr="00221C89">
        <w:rPr>
          <w:rFonts w:ascii="Times New Roman" w:hAnsi="Times New Roman" w:cs="Times New Roman"/>
          <w:sz w:val="24"/>
          <w:szCs w:val="24"/>
        </w:rPr>
        <w:t>brought</w:t>
      </w:r>
      <w:r w:rsidR="00B44246"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by an </w:t>
      </w:r>
      <w:r w:rsidR="009A31D1" w:rsidRPr="00221C89">
        <w:rPr>
          <w:rFonts w:ascii="Times New Roman" w:hAnsi="Times New Roman" w:cs="Times New Roman"/>
          <w:sz w:val="24"/>
          <w:szCs w:val="24"/>
        </w:rPr>
        <w:t>a</w:t>
      </w:r>
      <w:r w:rsidR="006801AE" w:rsidRPr="00221C89">
        <w:rPr>
          <w:rFonts w:ascii="Times New Roman" w:hAnsi="Times New Roman" w:cs="Times New Roman"/>
          <w:sz w:val="24"/>
          <w:szCs w:val="24"/>
        </w:rPr>
        <w:t>rticle 81 guardian or any guardian authorized by the law of this state may not end the inquiry into whether the incapacitated party is a protected party because of mental illness. Although the guardian should have standing to raise th</w:t>
      </w:r>
      <w:r w:rsidR="00621F62" w:rsidRPr="00221C89">
        <w:rPr>
          <w:rFonts w:ascii="Times New Roman" w:hAnsi="Times New Roman" w:cs="Times New Roman"/>
          <w:sz w:val="24"/>
          <w:szCs w:val="24"/>
        </w:rPr>
        <w:t>at</w:t>
      </w:r>
      <w:r w:rsidR="006801AE" w:rsidRPr="00221C89">
        <w:rPr>
          <w:rFonts w:ascii="Times New Roman" w:hAnsi="Times New Roman" w:cs="Times New Roman"/>
          <w:sz w:val="24"/>
          <w:szCs w:val="24"/>
        </w:rPr>
        <w:t xml:space="preserve"> objection</w:t>
      </w:r>
      <w:r w:rsidR="00261F3F"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the question of whether or not the person is mentally ill for purposes of CPLR 4519 may </w:t>
      </w:r>
      <w:r w:rsidR="00637A26" w:rsidRPr="00221C89">
        <w:rPr>
          <w:rFonts w:ascii="Times New Roman" w:hAnsi="Times New Roman" w:cs="Times New Roman"/>
          <w:bCs/>
          <w:i/>
          <w:sz w:val="24"/>
          <w:szCs w:val="24"/>
        </w:rPr>
        <w:t>yet</w:t>
      </w:r>
      <w:r w:rsidR="00637A26"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have to be resolved by the court</w:t>
      </w:r>
      <w:r w:rsidR="00621F62" w:rsidRPr="00221C89">
        <w:rPr>
          <w:rFonts w:ascii="Times New Roman" w:hAnsi="Times New Roman" w:cs="Times New Roman"/>
          <w:sz w:val="24"/>
          <w:szCs w:val="24"/>
        </w:rPr>
        <w:t xml:space="preserve"> in which the objection is raised.</w:t>
      </w:r>
      <w:r w:rsidR="00221C89"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 </w:t>
      </w:r>
      <w:r w:rsidR="00A97B56" w:rsidRPr="00221C89">
        <w:rPr>
          <w:rFonts w:ascii="Times New Roman" w:hAnsi="Times New Roman" w:cs="Times New Roman"/>
          <w:sz w:val="24"/>
          <w:szCs w:val="24"/>
        </w:rPr>
        <w:t>P</w:t>
      </w:r>
      <w:r w:rsidR="006801AE" w:rsidRPr="00221C89">
        <w:rPr>
          <w:rFonts w:ascii="Times New Roman" w:hAnsi="Times New Roman" w:cs="Times New Roman"/>
          <w:sz w:val="24"/>
          <w:szCs w:val="24"/>
        </w:rPr>
        <w:t>erson</w:t>
      </w:r>
      <w:r w:rsidR="00AB1D73" w:rsidRPr="00221C89">
        <w:rPr>
          <w:rFonts w:ascii="Times New Roman" w:hAnsi="Times New Roman" w:cs="Times New Roman"/>
          <w:sz w:val="24"/>
          <w:szCs w:val="24"/>
        </w:rPr>
        <w:t>s</w:t>
      </w:r>
      <w:r w:rsidR="006801AE" w:rsidRPr="00221C89">
        <w:rPr>
          <w:rFonts w:ascii="Times New Roman" w:hAnsi="Times New Roman" w:cs="Times New Roman"/>
          <w:sz w:val="24"/>
          <w:szCs w:val="24"/>
        </w:rPr>
        <w:t xml:space="preserve"> </w:t>
      </w:r>
      <w:r w:rsidR="00A97B56" w:rsidRPr="00221C89">
        <w:rPr>
          <w:rFonts w:ascii="Times New Roman" w:hAnsi="Times New Roman" w:cs="Times New Roman"/>
          <w:sz w:val="24"/>
          <w:szCs w:val="24"/>
        </w:rPr>
        <w:t xml:space="preserve">allegedly </w:t>
      </w:r>
      <w:r w:rsidR="004E0D0B" w:rsidRPr="00221C89">
        <w:rPr>
          <w:rFonts w:ascii="Times New Roman" w:hAnsi="Times New Roman" w:cs="Times New Roman"/>
          <w:sz w:val="24"/>
          <w:szCs w:val="24"/>
        </w:rPr>
        <w:t xml:space="preserve">with a mental illness </w:t>
      </w:r>
      <w:r w:rsidR="006535A9" w:rsidRPr="00221C89">
        <w:rPr>
          <w:rFonts w:ascii="Times New Roman" w:hAnsi="Times New Roman" w:cs="Times New Roman"/>
          <w:sz w:val="24"/>
          <w:szCs w:val="24"/>
        </w:rPr>
        <w:t xml:space="preserve">still </w:t>
      </w:r>
      <w:r w:rsidR="006801AE" w:rsidRPr="00221C89">
        <w:rPr>
          <w:rFonts w:ascii="Times New Roman" w:hAnsi="Times New Roman" w:cs="Times New Roman"/>
          <w:sz w:val="24"/>
          <w:szCs w:val="24"/>
        </w:rPr>
        <w:t xml:space="preserve">may be competent to testify rather than have </w:t>
      </w:r>
      <w:r w:rsidR="00AB1D73" w:rsidRPr="00221C89">
        <w:rPr>
          <w:rFonts w:ascii="Times New Roman" w:hAnsi="Times New Roman" w:cs="Times New Roman"/>
          <w:sz w:val="24"/>
          <w:szCs w:val="24"/>
        </w:rPr>
        <w:t>their</w:t>
      </w:r>
      <w:r w:rsidR="006801AE" w:rsidRPr="00221C89">
        <w:rPr>
          <w:rFonts w:ascii="Times New Roman" w:hAnsi="Times New Roman" w:cs="Times New Roman"/>
          <w:sz w:val="24"/>
          <w:szCs w:val="24"/>
        </w:rPr>
        <w:t xml:space="preserve"> lips sealed.</w:t>
      </w:r>
      <w:r w:rsidR="009A31D1" w:rsidRPr="00221C89">
        <w:rPr>
          <w:rFonts w:ascii="Times New Roman" w:hAnsi="Times New Roman" w:cs="Times New Roman"/>
          <w:sz w:val="24"/>
          <w:szCs w:val="24"/>
        </w:rPr>
        <w:t xml:space="preserve"> (</w:t>
      </w:r>
      <w:r w:rsidR="006801AE" w:rsidRPr="00221C89">
        <w:rPr>
          <w:rFonts w:ascii="Times New Roman" w:hAnsi="Times New Roman" w:cs="Times New Roman"/>
          <w:i/>
          <w:iCs/>
          <w:sz w:val="24"/>
          <w:szCs w:val="24"/>
        </w:rPr>
        <w:t>See</w:t>
      </w:r>
      <w:r w:rsidR="006801AE" w:rsidRPr="00221C89">
        <w:rPr>
          <w:rFonts w:ascii="Times New Roman" w:hAnsi="Times New Roman" w:cs="Times New Roman"/>
          <w:sz w:val="24"/>
          <w:szCs w:val="24"/>
        </w:rPr>
        <w:t xml:space="preserve"> </w:t>
      </w:r>
      <w:r w:rsidR="002453AC" w:rsidRPr="00221C89">
        <w:rPr>
          <w:rFonts w:ascii="Times New Roman" w:hAnsi="Times New Roman" w:cs="Times New Roman"/>
          <w:sz w:val="24"/>
          <w:szCs w:val="24"/>
        </w:rPr>
        <w:t>Guide to NY Evi</w:t>
      </w:r>
      <w:r w:rsidR="009A31D1" w:rsidRPr="00221C89">
        <w:rPr>
          <w:rFonts w:ascii="Times New Roman" w:hAnsi="Times New Roman" w:cs="Times New Roman"/>
          <w:sz w:val="24"/>
          <w:szCs w:val="24"/>
        </w:rPr>
        <w:t>d</w:t>
      </w:r>
      <w:r w:rsidR="002453AC" w:rsidRPr="00221C89">
        <w:rPr>
          <w:rFonts w:ascii="Times New Roman" w:hAnsi="Times New Roman" w:cs="Times New Roman"/>
          <w:sz w:val="24"/>
          <w:szCs w:val="24"/>
        </w:rPr>
        <w:t xml:space="preserve"> rule</w:t>
      </w:r>
      <w:r w:rsidR="006801AE" w:rsidRPr="00221C89">
        <w:rPr>
          <w:rFonts w:ascii="Times New Roman" w:hAnsi="Times New Roman" w:cs="Times New Roman"/>
          <w:sz w:val="24"/>
          <w:szCs w:val="24"/>
        </w:rPr>
        <w:t xml:space="preserve"> 6.01,</w:t>
      </w:r>
      <w:r w:rsidR="009A31D1" w:rsidRPr="00221C89">
        <w:rPr>
          <w:rFonts w:ascii="Times New Roman" w:hAnsi="Times New Roman" w:cs="Times New Roman"/>
          <w:sz w:val="24"/>
          <w:szCs w:val="24"/>
        </w:rPr>
        <w:t xml:space="preserve"> Note,</w:t>
      </w:r>
      <w:r w:rsidR="006801AE" w:rsidRPr="00221C89">
        <w:rPr>
          <w:rFonts w:ascii="Times New Roman" w:hAnsi="Times New Roman" w:cs="Times New Roman"/>
          <w:sz w:val="24"/>
          <w:szCs w:val="24"/>
        </w:rPr>
        <w:t xml:space="preserve"> second paragraph </w:t>
      </w:r>
      <w:r w:rsidR="006801AE" w:rsidRPr="00221C89">
        <w:rPr>
          <w:rFonts w:ascii="Times New Roman" w:hAnsi="Times New Roman" w:cs="Times New Roman"/>
          <w:i/>
          <w:sz w:val="24"/>
          <w:szCs w:val="24"/>
        </w:rPr>
        <w:t>et seq</w:t>
      </w:r>
      <w:r w:rsidR="00B44246" w:rsidRPr="00221C89">
        <w:rPr>
          <w:rFonts w:ascii="Times New Roman" w:hAnsi="Times New Roman" w:cs="Times New Roman"/>
          <w:i/>
          <w:sz w:val="24"/>
          <w:szCs w:val="24"/>
        </w:rPr>
        <w:t>.</w:t>
      </w:r>
      <w:r w:rsidR="009A31D1"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for discussion of mental illness and competency to testify</w:t>
      </w:r>
      <w:r w:rsidR="008926B9" w:rsidRPr="00221C89">
        <w:rPr>
          <w:rFonts w:ascii="Times New Roman" w:hAnsi="Times New Roman" w:cs="Times New Roman"/>
          <w:sz w:val="24"/>
          <w:szCs w:val="24"/>
        </w:rPr>
        <w:t xml:space="preserve">; </w:t>
      </w:r>
      <w:r w:rsidR="00E53A9C" w:rsidRPr="00221C89">
        <w:rPr>
          <w:rFonts w:ascii="Times New Roman" w:hAnsi="Times New Roman" w:cs="Times New Roman"/>
          <w:sz w:val="24"/>
          <w:szCs w:val="24"/>
        </w:rPr>
        <w:t xml:space="preserve">Jerome </w:t>
      </w:r>
      <w:r w:rsidR="00390B82" w:rsidRPr="00221C89">
        <w:rPr>
          <w:rFonts w:ascii="Times New Roman" w:hAnsi="Times New Roman" w:cs="Times New Roman"/>
          <w:sz w:val="24"/>
          <w:szCs w:val="24"/>
        </w:rPr>
        <w:t>Prince</w:t>
      </w:r>
      <w:r w:rsidR="00935681" w:rsidRPr="00221C89">
        <w:rPr>
          <w:rFonts w:ascii="Times New Roman" w:hAnsi="Times New Roman" w:cs="Times New Roman"/>
          <w:sz w:val="24"/>
          <w:szCs w:val="24"/>
        </w:rPr>
        <w:t>,</w:t>
      </w:r>
      <w:r w:rsidR="00390B82" w:rsidRPr="00221C89">
        <w:rPr>
          <w:rFonts w:ascii="Times New Roman" w:hAnsi="Times New Roman" w:cs="Times New Roman"/>
          <w:sz w:val="24"/>
          <w:szCs w:val="24"/>
        </w:rPr>
        <w:t xml:space="preserve"> Richardson on </w:t>
      </w:r>
      <w:r w:rsidR="008D3B68" w:rsidRPr="00221C89">
        <w:rPr>
          <w:rFonts w:ascii="Times New Roman" w:hAnsi="Times New Roman" w:cs="Times New Roman"/>
          <w:sz w:val="24"/>
          <w:szCs w:val="24"/>
        </w:rPr>
        <w:t>E</w:t>
      </w:r>
      <w:r w:rsidR="00390B82" w:rsidRPr="00221C89">
        <w:rPr>
          <w:rFonts w:ascii="Times New Roman" w:hAnsi="Times New Roman" w:cs="Times New Roman"/>
          <w:sz w:val="24"/>
          <w:szCs w:val="24"/>
        </w:rPr>
        <w:t>vidence</w:t>
      </w:r>
      <w:r w:rsidR="008D3B68" w:rsidRPr="00221C89">
        <w:rPr>
          <w:rFonts w:ascii="Times New Roman" w:hAnsi="Times New Roman" w:cs="Times New Roman"/>
          <w:sz w:val="24"/>
          <w:szCs w:val="24"/>
        </w:rPr>
        <w:t xml:space="preserve"> § 6</w:t>
      </w:r>
      <w:r w:rsidR="00F33FAA" w:rsidRPr="00221C89">
        <w:rPr>
          <w:rFonts w:ascii="Times New Roman" w:hAnsi="Times New Roman" w:cs="Times New Roman"/>
          <w:sz w:val="24"/>
          <w:szCs w:val="24"/>
        </w:rPr>
        <w:t xml:space="preserve">-126 </w:t>
      </w:r>
      <w:r w:rsidR="00E53A9C" w:rsidRPr="00221C89">
        <w:rPr>
          <w:rFonts w:ascii="Times New Roman" w:hAnsi="Times New Roman" w:cs="Times New Roman"/>
          <w:sz w:val="24"/>
          <w:szCs w:val="24"/>
        </w:rPr>
        <w:t xml:space="preserve">at 338 </w:t>
      </w:r>
      <w:r w:rsidR="00E94D3A" w:rsidRPr="00221C89">
        <w:rPr>
          <w:rFonts w:ascii="Times New Roman" w:hAnsi="Times New Roman" w:cs="Times New Roman"/>
          <w:sz w:val="24"/>
          <w:szCs w:val="24"/>
        </w:rPr>
        <w:t xml:space="preserve">[Farrell 11th ed 1995] </w:t>
      </w:r>
      <w:r w:rsidR="00F33FAA" w:rsidRPr="00221C89">
        <w:rPr>
          <w:rFonts w:ascii="Times New Roman" w:hAnsi="Times New Roman" w:cs="Times New Roman"/>
          <w:sz w:val="24"/>
          <w:szCs w:val="24"/>
        </w:rPr>
        <w:t>[</w:t>
      </w:r>
      <w:r w:rsidR="00390B82" w:rsidRPr="00221C89">
        <w:rPr>
          <w:rFonts w:ascii="Times New Roman" w:hAnsi="Times New Roman" w:cs="Times New Roman"/>
          <w:sz w:val="24"/>
          <w:szCs w:val="24"/>
        </w:rPr>
        <w:t>“The question</w:t>
      </w:r>
      <w:r w:rsidR="00F33FAA" w:rsidRPr="00221C89">
        <w:rPr>
          <w:rFonts w:ascii="Times New Roman" w:hAnsi="Times New Roman" w:cs="Times New Roman"/>
          <w:sz w:val="24"/>
          <w:szCs w:val="24"/>
        </w:rPr>
        <w:t xml:space="preserve"> (of the applicability of CPLR 4519)</w:t>
      </w:r>
      <w:r w:rsidR="00390B82" w:rsidRPr="00221C89">
        <w:rPr>
          <w:rFonts w:ascii="Times New Roman" w:hAnsi="Times New Roman" w:cs="Times New Roman"/>
          <w:sz w:val="24"/>
          <w:szCs w:val="24"/>
        </w:rPr>
        <w:t xml:space="preserve"> is further complicated by the fact that mental illness does not</w:t>
      </w:r>
      <w:r w:rsidR="00E53A9C" w:rsidRPr="00221C89">
        <w:rPr>
          <w:rFonts w:ascii="Times New Roman" w:hAnsi="Times New Roman" w:cs="Times New Roman"/>
          <w:sz w:val="24"/>
          <w:szCs w:val="24"/>
        </w:rPr>
        <w:t>,</w:t>
      </w:r>
      <w:r w:rsidR="00390B82" w:rsidRPr="00221C89">
        <w:rPr>
          <w:rFonts w:ascii="Times New Roman" w:hAnsi="Times New Roman" w:cs="Times New Roman"/>
          <w:sz w:val="24"/>
          <w:szCs w:val="24"/>
        </w:rPr>
        <w:t xml:space="preserve"> </w:t>
      </w:r>
      <w:r w:rsidR="00390B82" w:rsidRPr="00221C89">
        <w:rPr>
          <w:rFonts w:ascii="Times New Roman" w:hAnsi="Times New Roman" w:cs="Times New Roman"/>
          <w:iCs/>
          <w:sz w:val="24"/>
          <w:szCs w:val="24"/>
        </w:rPr>
        <w:t>per se</w:t>
      </w:r>
      <w:r w:rsidR="00E53A9C" w:rsidRPr="00221C89">
        <w:rPr>
          <w:rFonts w:ascii="Times New Roman" w:hAnsi="Times New Roman" w:cs="Times New Roman"/>
          <w:sz w:val="24"/>
          <w:szCs w:val="24"/>
        </w:rPr>
        <w:t xml:space="preserve">, </w:t>
      </w:r>
      <w:r w:rsidR="00390B82" w:rsidRPr="00221C89">
        <w:rPr>
          <w:rFonts w:ascii="Times New Roman" w:hAnsi="Times New Roman" w:cs="Times New Roman"/>
          <w:sz w:val="24"/>
          <w:szCs w:val="24"/>
        </w:rPr>
        <w:t xml:space="preserve">render one incompetent as a witness.  </w:t>
      </w:r>
      <w:r w:rsidR="00390B82" w:rsidRPr="00221C89">
        <w:rPr>
          <w:rFonts w:ascii="Times New Roman" w:hAnsi="Times New Roman" w:cs="Times New Roman"/>
          <w:iCs/>
          <w:sz w:val="24"/>
          <w:szCs w:val="24"/>
        </w:rPr>
        <w:t>See</w:t>
      </w:r>
      <w:r w:rsidR="00390B82" w:rsidRPr="00221C89">
        <w:rPr>
          <w:rFonts w:ascii="Times New Roman" w:hAnsi="Times New Roman" w:cs="Times New Roman"/>
          <w:sz w:val="24"/>
          <w:szCs w:val="24"/>
        </w:rPr>
        <w:t xml:space="preserve"> </w:t>
      </w:r>
      <w:r w:rsidR="00E53A9C" w:rsidRPr="00221C89">
        <w:rPr>
          <w:rFonts w:ascii="Times New Roman" w:hAnsi="Times New Roman" w:cs="Times New Roman"/>
          <w:sz w:val="24"/>
          <w:szCs w:val="24"/>
        </w:rPr>
        <w:t xml:space="preserve">§ </w:t>
      </w:r>
      <w:r w:rsidR="00390B82" w:rsidRPr="00221C89">
        <w:rPr>
          <w:rFonts w:ascii="Times New Roman" w:hAnsi="Times New Roman" w:cs="Times New Roman"/>
          <w:sz w:val="24"/>
          <w:szCs w:val="24"/>
        </w:rPr>
        <w:t>6-105. Perhaps the applicability of the statute should depend upon the testimonial competenc</w:t>
      </w:r>
      <w:r w:rsidR="007B7AB7" w:rsidRPr="00221C89">
        <w:rPr>
          <w:rFonts w:ascii="Times New Roman" w:hAnsi="Times New Roman" w:cs="Times New Roman"/>
          <w:sz w:val="24"/>
          <w:szCs w:val="24"/>
        </w:rPr>
        <w:t>y</w:t>
      </w:r>
      <w:r w:rsidR="00390B82" w:rsidRPr="00221C89">
        <w:rPr>
          <w:rFonts w:ascii="Times New Roman" w:hAnsi="Times New Roman" w:cs="Times New Roman"/>
          <w:sz w:val="24"/>
          <w:szCs w:val="24"/>
        </w:rPr>
        <w:t xml:space="preserve"> of the </w:t>
      </w:r>
      <w:r w:rsidR="00187597">
        <w:rPr>
          <w:rFonts w:ascii="Times New Roman" w:hAnsi="Times New Roman" w:cs="Times New Roman"/>
          <w:sz w:val="24"/>
          <w:szCs w:val="24"/>
        </w:rPr>
        <w:t>mentally ill</w:t>
      </w:r>
      <w:r w:rsidR="00390B82" w:rsidRPr="00221C89">
        <w:rPr>
          <w:rFonts w:ascii="Times New Roman" w:hAnsi="Times New Roman" w:cs="Times New Roman"/>
          <w:sz w:val="24"/>
          <w:szCs w:val="24"/>
        </w:rPr>
        <w:t xml:space="preserve"> person.  If the </w:t>
      </w:r>
      <w:r w:rsidR="00187597">
        <w:rPr>
          <w:rFonts w:ascii="Times New Roman" w:hAnsi="Times New Roman" w:cs="Times New Roman"/>
          <w:sz w:val="24"/>
          <w:szCs w:val="24"/>
        </w:rPr>
        <w:t xml:space="preserve">mentally ill </w:t>
      </w:r>
      <w:r w:rsidR="00390B82" w:rsidRPr="00221C89">
        <w:rPr>
          <w:rFonts w:ascii="Times New Roman" w:hAnsi="Times New Roman" w:cs="Times New Roman"/>
          <w:sz w:val="24"/>
          <w:szCs w:val="24"/>
        </w:rPr>
        <w:t>person</w:t>
      </w:r>
      <w:r w:rsidR="004E0D0B" w:rsidRPr="00221C89">
        <w:rPr>
          <w:rFonts w:ascii="Times New Roman" w:hAnsi="Times New Roman" w:cs="Times New Roman"/>
          <w:sz w:val="24"/>
          <w:szCs w:val="24"/>
        </w:rPr>
        <w:t xml:space="preserve"> </w:t>
      </w:r>
      <w:r w:rsidR="00390B82" w:rsidRPr="00221C89">
        <w:rPr>
          <w:rFonts w:ascii="Times New Roman" w:hAnsi="Times New Roman" w:cs="Times New Roman"/>
          <w:sz w:val="24"/>
          <w:szCs w:val="24"/>
        </w:rPr>
        <w:t>is competent to testify, there is no need to invoke the rationale of the statute</w:t>
      </w:r>
      <w:r w:rsidR="00E53A9C" w:rsidRPr="00221C89">
        <w:rPr>
          <w:rFonts w:ascii="Times New Roman" w:hAnsi="Times New Roman" w:cs="Times New Roman"/>
          <w:sz w:val="24"/>
          <w:szCs w:val="24"/>
        </w:rPr>
        <w:t>,</w:t>
      </w:r>
      <w:r w:rsidR="00390B82" w:rsidRPr="00221C89">
        <w:rPr>
          <w:rFonts w:ascii="Times New Roman" w:hAnsi="Times New Roman" w:cs="Times New Roman"/>
          <w:sz w:val="24"/>
          <w:szCs w:val="24"/>
        </w:rPr>
        <w:t xml:space="preserve"> i.e.</w:t>
      </w:r>
      <w:r w:rsidR="00E53A9C" w:rsidRPr="00221C89">
        <w:rPr>
          <w:rFonts w:ascii="Times New Roman" w:hAnsi="Times New Roman" w:cs="Times New Roman"/>
          <w:sz w:val="24"/>
          <w:szCs w:val="24"/>
        </w:rPr>
        <w:t>,</w:t>
      </w:r>
      <w:r w:rsidR="00390B82" w:rsidRPr="00221C89">
        <w:rPr>
          <w:rFonts w:ascii="Times New Roman" w:hAnsi="Times New Roman" w:cs="Times New Roman"/>
          <w:sz w:val="24"/>
          <w:szCs w:val="24"/>
        </w:rPr>
        <w:t xml:space="preserve"> to create an equality of disadvantage by silencing one party when the other has been silenced by mental illness or death”</w:t>
      </w:r>
      <w:r w:rsidR="007E7648" w:rsidRPr="00221C89">
        <w:rPr>
          <w:rFonts w:ascii="Times New Roman" w:hAnsi="Times New Roman" w:cs="Times New Roman"/>
          <w:sz w:val="24"/>
          <w:szCs w:val="24"/>
        </w:rPr>
        <w:t>]</w:t>
      </w:r>
      <w:r w:rsidR="00E94D3A" w:rsidRPr="00221C89">
        <w:rPr>
          <w:rFonts w:ascii="Times New Roman" w:hAnsi="Times New Roman" w:cs="Times New Roman"/>
          <w:sz w:val="24"/>
          <w:szCs w:val="24"/>
        </w:rPr>
        <w:t>.</w:t>
      </w:r>
      <w:r w:rsidR="009A31D1" w:rsidRPr="00221C89">
        <w:rPr>
          <w:rFonts w:ascii="Times New Roman" w:hAnsi="Times New Roman" w:cs="Times New Roman"/>
          <w:sz w:val="24"/>
          <w:szCs w:val="24"/>
        </w:rPr>
        <w:t>)</w:t>
      </w:r>
      <w:r w:rsidR="00390B82" w:rsidRPr="00221C89">
        <w:rPr>
          <w:rFonts w:ascii="Times New Roman" w:hAnsi="Times New Roman" w:cs="Times New Roman"/>
          <w:sz w:val="24"/>
          <w:szCs w:val="24"/>
        </w:rPr>
        <w:t xml:space="preserve"> </w:t>
      </w:r>
    </w:p>
    <w:p w14:paraId="198B676B" w14:textId="77777777" w:rsidR="00B10778" w:rsidRPr="00221C89" w:rsidRDefault="00B10778" w:rsidP="00F31666">
      <w:pPr>
        <w:spacing w:after="0" w:line="240" w:lineRule="auto"/>
        <w:jc w:val="both"/>
        <w:rPr>
          <w:rFonts w:ascii="Times New Roman" w:hAnsi="Times New Roman" w:cs="Times New Roman"/>
          <w:sz w:val="24"/>
          <w:szCs w:val="24"/>
        </w:rPr>
      </w:pPr>
    </w:p>
    <w:p w14:paraId="59AC1645" w14:textId="2E0F4C09" w:rsidR="006801AE" w:rsidRPr="00221C89" w:rsidRDefault="00F31666" w:rsidP="00F31666">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6801AE" w:rsidRPr="00221C89">
        <w:rPr>
          <w:rFonts w:ascii="Times New Roman" w:hAnsi="Times New Roman" w:cs="Times New Roman"/>
          <w:sz w:val="24"/>
          <w:szCs w:val="24"/>
        </w:rPr>
        <w:t xml:space="preserve">In a case decided after the enactment of </w:t>
      </w:r>
      <w:r w:rsidR="0010054E" w:rsidRPr="00221C89">
        <w:rPr>
          <w:rFonts w:ascii="Times New Roman" w:hAnsi="Times New Roman" w:cs="Times New Roman"/>
          <w:sz w:val="24"/>
          <w:szCs w:val="24"/>
        </w:rPr>
        <w:t>a</w:t>
      </w:r>
      <w:r w:rsidR="006801AE" w:rsidRPr="00221C89">
        <w:rPr>
          <w:rFonts w:ascii="Times New Roman" w:hAnsi="Times New Roman" w:cs="Times New Roman"/>
          <w:sz w:val="24"/>
          <w:szCs w:val="24"/>
        </w:rPr>
        <w:t xml:space="preserve">rticle 81, </w:t>
      </w:r>
      <w:bookmarkStart w:id="11" w:name="_Hlk57197623"/>
      <w:r w:rsidR="006801AE" w:rsidRPr="00221C89">
        <w:rPr>
          <w:rFonts w:ascii="Times New Roman" w:hAnsi="Times New Roman" w:cs="Times New Roman"/>
          <w:i/>
          <w:iCs/>
          <w:sz w:val="24"/>
          <w:szCs w:val="24"/>
        </w:rPr>
        <w:t>Tworkowski v Tworkowski</w:t>
      </w:r>
      <w:r w:rsidR="00951E6F" w:rsidRPr="00221C89">
        <w:rPr>
          <w:rFonts w:ascii="Times New Roman" w:hAnsi="Times New Roman" w:cs="Times New Roman"/>
          <w:sz w:val="24"/>
          <w:szCs w:val="24"/>
        </w:rPr>
        <w:t xml:space="preserve"> </w:t>
      </w:r>
      <w:bookmarkEnd w:id="11"/>
      <w:r w:rsidR="00151522" w:rsidRPr="00221C89">
        <w:rPr>
          <w:rFonts w:ascii="Times New Roman" w:hAnsi="Times New Roman" w:cs="Times New Roman"/>
          <w:sz w:val="24"/>
          <w:szCs w:val="24"/>
        </w:rPr>
        <w:t>(</w:t>
      </w:r>
      <w:r w:rsidR="006801AE" w:rsidRPr="00221C89">
        <w:rPr>
          <w:rFonts w:ascii="Times New Roman" w:hAnsi="Times New Roman" w:cs="Times New Roman"/>
          <w:sz w:val="24"/>
          <w:szCs w:val="24"/>
        </w:rPr>
        <w:t>181 Misc 2d 1038 [Sup Ct, Kings County 1999]</w:t>
      </w:r>
      <w:r w:rsidR="00151522" w:rsidRPr="00221C89">
        <w:rPr>
          <w:rFonts w:ascii="Times New Roman" w:hAnsi="Times New Roman" w:cs="Times New Roman"/>
          <w:sz w:val="24"/>
          <w:szCs w:val="24"/>
        </w:rPr>
        <w:t>),</w:t>
      </w:r>
      <w:r w:rsidR="00766B55"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the court permitted co-guardians of the person and property appointed by</w:t>
      </w:r>
      <w:r w:rsidR="00B700DB"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Supreme Court</w:t>
      </w:r>
      <w:r w:rsidR="00062EA2"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to claim the protection of the </w:t>
      </w:r>
      <w:r w:rsidR="00062EA2" w:rsidRPr="00221C89">
        <w:rPr>
          <w:rFonts w:ascii="Times New Roman" w:hAnsi="Times New Roman" w:cs="Times New Roman"/>
          <w:sz w:val="24"/>
          <w:szCs w:val="24"/>
        </w:rPr>
        <w:t>D</w:t>
      </w:r>
      <w:r w:rsidR="006801AE" w:rsidRPr="00221C89">
        <w:rPr>
          <w:rFonts w:ascii="Times New Roman" w:hAnsi="Times New Roman" w:cs="Times New Roman"/>
          <w:sz w:val="24"/>
          <w:szCs w:val="24"/>
        </w:rPr>
        <w:t xml:space="preserve">ead </w:t>
      </w:r>
      <w:r w:rsidR="00062EA2" w:rsidRPr="00221C89">
        <w:rPr>
          <w:rFonts w:ascii="Times New Roman" w:hAnsi="Times New Roman" w:cs="Times New Roman"/>
          <w:sz w:val="24"/>
          <w:szCs w:val="24"/>
        </w:rPr>
        <w:t>M</w:t>
      </w:r>
      <w:r w:rsidR="006801AE" w:rsidRPr="00221C89">
        <w:rPr>
          <w:rFonts w:ascii="Times New Roman" w:hAnsi="Times New Roman" w:cs="Times New Roman"/>
          <w:sz w:val="24"/>
          <w:szCs w:val="24"/>
        </w:rPr>
        <w:t>an</w:t>
      </w:r>
      <w:r w:rsidR="00384D53" w:rsidRPr="00221C89">
        <w:rPr>
          <w:rFonts w:ascii="Times New Roman" w:hAnsi="Times New Roman" w:cs="Times New Roman"/>
          <w:sz w:val="24"/>
          <w:szCs w:val="24"/>
        </w:rPr>
        <w:t>’s</w:t>
      </w:r>
      <w:r w:rsidR="006801AE" w:rsidRPr="00221C89">
        <w:rPr>
          <w:rFonts w:ascii="Times New Roman" w:hAnsi="Times New Roman" w:cs="Times New Roman"/>
          <w:sz w:val="24"/>
          <w:szCs w:val="24"/>
        </w:rPr>
        <w:t xml:space="preserve"> </w:t>
      </w:r>
      <w:r w:rsidR="00062EA2" w:rsidRPr="00221C89">
        <w:rPr>
          <w:rFonts w:ascii="Times New Roman" w:hAnsi="Times New Roman" w:cs="Times New Roman"/>
          <w:sz w:val="24"/>
          <w:szCs w:val="24"/>
        </w:rPr>
        <w:t>S</w:t>
      </w:r>
      <w:r w:rsidR="006801AE" w:rsidRPr="00221C89">
        <w:rPr>
          <w:rFonts w:ascii="Times New Roman" w:hAnsi="Times New Roman" w:cs="Times New Roman"/>
          <w:sz w:val="24"/>
          <w:szCs w:val="24"/>
        </w:rPr>
        <w:t xml:space="preserve">tatute against </w:t>
      </w:r>
      <w:r w:rsidR="00176C86" w:rsidRPr="00221C89">
        <w:rPr>
          <w:rFonts w:ascii="Times New Roman" w:hAnsi="Times New Roman" w:cs="Times New Roman"/>
          <w:sz w:val="24"/>
          <w:szCs w:val="24"/>
        </w:rPr>
        <w:t xml:space="preserve">a claim </w:t>
      </w:r>
      <w:r w:rsidR="006801AE" w:rsidRPr="00221C89">
        <w:rPr>
          <w:rFonts w:ascii="Times New Roman" w:hAnsi="Times New Roman" w:cs="Times New Roman"/>
          <w:sz w:val="24"/>
          <w:szCs w:val="24"/>
        </w:rPr>
        <w:t>that the alleged protected person was not mentally ill. The court apparently did not rely entirely on the order</w:t>
      </w:r>
      <w:r w:rsidR="00193EBB" w:rsidRPr="00221C89">
        <w:rPr>
          <w:rFonts w:ascii="Times New Roman" w:hAnsi="Times New Roman" w:cs="Times New Roman"/>
          <w:sz w:val="24"/>
          <w:szCs w:val="24"/>
        </w:rPr>
        <w:t>’s underlying determination</w:t>
      </w:r>
      <w:r w:rsidR="006801AE" w:rsidRPr="00221C89">
        <w:rPr>
          <w:rFonts w:ascii="Times New Roman" w:hAnsi="Times New Roman" w:cs="Times New Roman"/>
          <w:sz w:val="24"/>
          <w:szCs w:val="24"/>
        </w:rPr>
        <w:t xml:space="preserve"> </w:t>
      </w:r>
      <w:r w:rsidR="00193EBB" w:rsidRPr="00221C89">
        <w:rPr>
          <w:rFonts w:ascii="Times New Roman" w:hAnsi="Times New Roman" w:cs="Times New Roman"/>
          <w:sz w:val="24"/>
          <w:szCs w:val="24"/>
        </w:rPr>
        <w:t xml:space="preserve">of </w:t>
      </w:r>
      <w:r w:rsidR="0048029B" w:rsidRPr="00221C89">
        <w:rPr>
          <w:rFonts w:ascii="Times New Roman" w:hAnsi="Times New Roman" w:cs="Times New Roman"/>
          <w:sz w:val="24"/>
          <w:szCs w:val="24"/>
        </w:rPr>
        <w:t xml:space="preserve">mental illness </w:t>
      </w:r>
      <w:r w:rsidR="006801AE" w:rsidRPr="00221C89">
        <w:rPr>
          <w:rFonts w:ascii="Times New Roman" w:hAnsi="Times New Roman" w:cs="Times New Roman"/>
          <w:sz w:val="24"/>
          <w:szCs w:val="24"/>
        </w:rPr>
        <w:t xml:space="preserve">because </w:t>
      </w:r>
      <w:r w:rsidR="005012C8" w:rsidRPr="00221C89">
        <w:rPr>
          <w:rFonts w:ascii="Times New Roman" w:hAnsi="Times New Roman" w:cs="Times New Roman"/>
          <w:sz w:val="24"/>
          <w:szCs w:val="24"/>
        </w:rPr>
        <w:t>the court</w:t>
      </w:r>
      <w:r w:rsidR="006801AE" w:rsidRPr="00221C89">
        <w:rPr>
          <w:rFonts w:ascii="Times New Roman" w:hAnsi="Times New Roman" w:cs="Times New Roman"/>
          <w:sz w:val="24"/>
          <w:szCs w:val="24"/>
        </w:rPr>
        <w:t xml:space="preserve"> made </w:t>
      </w:r>
      <w:r w:rsidR="00193EBB" w:rsidRPr="00221C89">
        <w:rPr>
          <w:rFonts w:ascii="Times New Roman" w:hAnsi="Times New Roman" w:cs="Times New Roman"/>
          <w:sz w:val="24"/>
          <w:szCs w:val="24"/>
        </w:rPr>
        <w:t>its own separate</w:t>
      </w:r>
      <w:r w:rsidR="006801AE" w:rsidRPr="00221C89">
        <w:rPr>
          <w:rFonts w:ascii="Times New Roman" w:hAnsi="Times New Roman" w:cs="Times New Roman"/>
          <w:sz w:val="24"/>
          <w:szCs w:val="24"/>
        </w:rPr>
        <w:t xml:space="preserve"> finding of mental illness. The court discussed the prior history of the </w:t>
      </w:r>
      <w:r w:rsidR="00193EBB" w:rsidRPr="00221C89">
        <w:rPr>
          <w:rFonts w:ascii="Times New Roman" w:hAnsi="Times New Roman" w:cs="Times New Roman"/>
          <w:sz w:val="24"/>
          <w:szCs w:val="24"/>
        </w:rPr>
        <w:t>“</w:t>
      </w:r>
      <w:r w:rsidR="006801AE" w:rsidRPr="00221C89">
        <w:rPr>
          <w:rFonts w:ascii="Times New Roman" w:hAnsi="Times New Roman" w:cs="Times New Roman"/>
          <w:sz w:val="24"/>
          <w:szCs w:val="24"/>
        </w:rPr>
        <w:t>committee of a mentally ill</w:t>
      </w:r>
      <w:r w:rsidR="00384D53" w:rsidRPr="00221C89">
        <w:rPr>
          <w:rFonts w:ascii="Times New Roman" w:hAnsi="Times New Roman" w:cs="Times New Roman"/>
          <w:sz w:val="24"/>
          <w:szCs w:val="24"/>
        </w:rPr>
        <w:t xml:space="preserve"> person</w:t>
      </w:r>
      <w:r w:rsidR="00B93B33" w:rsidRPr="00221C89">
        <w:rPr>
          <w:rFonts w:ascii="Times New Roman" w:hAnsi="Times New Roman" w:cs="Times New Roman"/>
          <w:sz w:val="24"/>
          <w:szCs w:val="24"/>
        </w:rPr>
        <w:t>,</w:t>
      </w:r>
      <w:r w:rsidR="00193EBB" w:rsidRPr="00221C89">
        <w:rPr>
          <w:rFonts w:ascii="Times New Roman" w:hAnsi="Times New Roman" w:cs="Times New Roman"/>
          <w:sz w:val="24"/>
          <w:szCs w:val="24"/>
        </w:rPr>
        <w:t>”</w:t>
      </w:r>
      <w:r w:rsidR="001948C1" w:rsidRPr="00221C89">
        <w:rPr>
          <w:rFonts w:ascii="Times New Roman" w:hAnsi="Times New Roman" w:cs="Times New Roman"/>
          <w:sz w:val="24"/>
          <w:szCs w:val="24"/>
        </w:rPr>
        <w:t xml:space="preserve"> noting in particular that a</w:t>
      </w:r>
    </w:p>
    <w:p w14:paraId="0B44AF42" w14:textId="77777777" w:rsidR="00B10778" w:rsidRPr="00221C89" w:rsidRDefault="00B10778" w:rsidP="00161F07">
      <w:pPr>
        <w:spacing w:after="0" w:line="240" w:lineRule="auto"/>
        <w:jc w:val="both"/>
        <w:rPr>
          <w:rFonts w:ascii="Times New Roman" w:hAnsi="Times New Roman" w:cs="Times New Roman"/>
          <w:sz w:val="24"/>
          <w:szCs w:val="24"/>
        </w:rPr>
      </w:pPr>
    </w:p>
    <w:p w14:paraId="070DCFEA" w14:textId="40DEF747" w:rsidR="003716F9" w:rsidRPr="00221C89" w:rsidRDefault="00FA7028" w:rsidP="00161F07">
      <w:pPr>
        <w:spacing w:after="0" w:line="240" w:lineRule="auto"/>
        <w:ind w:left="720" w:right="720"/>
        <w:jc w:val="both"/>
        <w:rPr>
          <w:rFonts w:ascii="Times New Roman" w:hAnsi="Times New Roman" w:cs="Times New Roman"/>
          <w:sz w:val="24"/>
          <w:szCs w:val="24"/>
        </w:rPr>
      </w:pPr>
      <w:r w:rsidRPr="00221C89">
        <w:rPr>
          <w:rFonts w:ascii="Times New Roman" w:hAnsi="Times New Roman" w:cs="Times New Roman"/>
          <w:sz w:val="24"/>
          <w:szCs w:val="24"/>
        </w:rPr>
        <w:t>“ ‘</w:t>
      </w:r>
      <w:r w:rsidR="0010054E" w:rsidRPr="00221C89">
        <w:rPr>
          <w:rFonts w:ascii="Times New Roman" w:hAnsi="Times New Roman" w:cs="Times New Roman"/>
          <w:sz w:val="24"/>
          <w:szCs w:val="24"/>
        </w:rPr>
        <w:t>[c]</w:t>
      </w:r>
      <w:r w:rsidR="006801AE" w:rsidRPr="00221C89">
        <w:rPr>
          <w:rFonts w:ascii="Times New Roman" w:hAnsi="Times New Roman" w:cs="Times New Roman"/>
          <w:sz w:val="24"/>
          <w:szCs w:val="24"/>
        </w:rPr>
        <w:t>ommittee</w:t>
      </w:r>
      <w:r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is not a term which has been interpreted strictly in decisions on the applicability of CPLR 4519. Courts have decided that the privilege may apply to the judicially appointed guardian ad litem of a person hospitalized for mental illness where a committee did not exist.</w:t>
      </w:r>
      <w:r w:rsidR="00766B55"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w:t>
      </w:r>
      <w:r w:rsidR="006801AE" w:rsidRPr="00221C89">
        <w:rPr>
          <w:rFonts w:ascii="Times New Roman" w:hAnsi="Times New Roman" w:cs="Times New Roman"/>
          <w:i/>
          <w:iCs/>
          <w:sz w:val="24"/>
          <w:szCs w:val="24"/>
        </w:rPr>
        <w:t>Matter of Musczak</w:t>
      </w:r>
      <w:r w:rsidR="006801AE" w:rsidRPr="00221C89">
        <w:rPr>
          <w:rFonts w:ascii="Times New Roman" w:hAnsi="Times New Roman" w:cs="Times New Roman"/>
          <w:sz w:val="24"/>
          <w:szCs w:val="24"/>
        </w:rPr>
        <w:t>, 196</w:t>
      </w:r>
      <w:r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Misc 36</w:t>
      </w:r>
      <w:r w:rsidR="0010054E" w:rsidRPr="00221C89">
        <w:rPr>
          <w:rFonts w:ascii="Times New Roman" w:hAnsi="Times New Roman" w:cs="Times New Roman"/>
          <w:sz w:val="24"/>
          <w:szCs w:val="24"/>
        </w:rPr>
        <w:t>4</w:t>
      </w:r>
      <w:r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[Sur Ct, NY County 1949]; </w:t>
      </w:r>
      <w:r w:rsidR="006801AE" w:rsidRPr="00221C89">
        <w:rPr>
          <w:rFonts w:ascii="Times New Roman" w:hAnsi="Times New Roman" w:cs="Times New Roman"/>
          <w:i/>
          <w:iCs/>
          <w:sz w:val="24"/>
          <w:szCs w:val="24"/>
        </w:rPr>
        <w:t>Matter of Harkavy</w:t>
      </w:r>
      <w:r w:rsidR="006801AE" w:rsidRPr="00221C89">
        <w:rPr>
          <w:rFonts w:ascii="Times New Roman" w:hAnsi="Times New Roman" w:cs="Times New Roman"/>
          <w:sz w:val="24"/>
          <w:szCs w:val="24"/>
        </w:rPr>
        <w:t>, 184</w:t>
      </w:r>
      <w:r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Misc</w:t>
      </w:r>
      <w:r w:rsidR="00DD53C5" w:rsidRPr="00221C89">
        <w:rPr>
          <w:rFonts w:ascii="Times New Roman" w:hAnsi="Times New Roman" w:cs="Times New Roman"/>
          <w:sz w:val="24"/>
          <w:szCs w:val="24"/>
        </w:rPr>
        <w:t xml:space="preserve"> 7</w:t>
      </w:r>
      <w:r w:rsidR="006801AE" w:rsidRPr="00221C89">
        <w:rPr>
          <w:rFonts w:ascii="Times New Roman" w:hAnsi="Times New Roman" w:cs="Times New Roman"/>
          <w:sz w:val="24"/>
          <w:szCs w:val="24"/>
        </w:rPr>
        <w:t>42</w:t>
      </w:r>
      <w:r w:rsidR="00766B55"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[Sur Ct, NY County 1945].</w:t>
      </w:r>
      <w:r w:rsidR="0010054E"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In addition, Vincent C. Alexander notes that </w:t>
      </w:r>
      <w:r w:rsidR="00BC30A2" w:rsidRPr="00221C89">
        <w:rPr>
          <w:rFonts w:ascii="Times New Roman" w:hAnsi="Times New Roman" w:cs="Times New Roman"/>
          <w:sz w:val="24"/>
          <w:szCs w:val="24"/>
        </w:rPr>
        <w:t>‘</w:t>
      </w:r>
      <w:r w:rsidR="0010054E" w:rsidRPr="00221C89">
        <w:rPr>
          <w:rFonts w:ascii="Times New Roman" w:hAnsi="Times New Roman" w:cs="Times New Roman"/>
          <w:sz w:val="24"/>
          <w:szCs w:val="24"/>
        </w:rPr>
        <w:t>[</w:t>
      </w:r>
      <w:r w:rsidR="006801AE" w:rsidRPr="00221C89">
        <w:rPr>
          <w:rFonts w:ascii="Times New Roman" w:hAnsi="Times New Roman" w:cs="Times New Roman"/>
          <w:sz w:val="24"/>
          <w:szCs w:val="24"/>
        </w:rPr>
        <w:t>a</w:t>
      </w:r>
      <w:r w:rsidR="0010054E"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lthough expansion of the scope of CPLR 4519 probably should be resisted as a general matter, on this issue the purpose of the statute is surely served by a liberal reading of the </w:t>
      </w:r>
      <w:r w:rsidR="0010054E" w:rsidRPr="00221C89">
        <w:rPr>
          <w:rFonts w:ascii="Times New Roman" w:hAnsi="Times New Roman" w:cs="Times New Roman"/>
          <w:sz w:val="24"/>
          <w:szCs w:val="24"/>
        </w:rPr>
        <w:t>term</w:t>
      </w:r>
      <w:r w:rsidR="006801AE" w:rsidRPr="00221C89">
        <w:rPr>
          <w:rFonts w:ascii="Times New Roman" w:hAnsi="Times New Roman" w:cs="Times New Roman"/>
          <w:sz w:val="24"/>
          <w:szCs w:val="24"/>
        </w:rPr>
        <w:t xml:space="preserve"> </w:t>
      </w:r>
      <w:r w:rsidR="0010054E" w:rsidRPr="00221C89">
        <w:rPr>
          <w:rFonts w:ascii="Times New Roman" w:hAnsi="Times New Roman" w:cs="Times New Roman"/>
          <w:sz w:val="24"/>
          <w:szCs w:val="24"/>
        </w:rPr>
        <w:t>“</w:t>
      </w:r>
      <w:r w:rsidR="006801AE" w:rsidRPr="00221C89">
        <w:rPr>
          <w:rFonts w:ascii="Times New Roman" w:hAnsi="Times New Roman" w:cs="Times New Roman"/>
          <w:sz w:val="24"/>
          <w:szCs w:val="24"/>
        </w:rPr>
        <w:t>committee.</w:t>
      </w:r>
      <w:r w:rsidR="0010054E" w:rsidRPr="00221C89">
        <w:rPr>
          <w:rFonts w:ascii="Times New Roman" w:hAnsi="Times New Roman" w:cs="Times New Roman"/>
          <w:sz w:val="24"/>
          <w:szCs w:val="24"/>
        </w:rPr>
        <w:t>” ’</w:t>
      </w:r>
      <w:r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(Alexander, Practice Commentaries, McKinney’s Cons Laws of NY, Book 7B</w:t>
      </w:r>
      <w:r w:rsidR="00D822AA"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CPLR C4519:3,</w:t>
      </w:r>
      <w:r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at 173.) The husband’s mental insufficiencies are well documented, including the significant impairment of his memory.  The statute is designed to protect the interest</w:t>
      </w:r>
      <w:r w:rsidR="0010054E" w:rsidRPr="00221C89">
        <w:rPr>
          <w:rFonts w:ascii="Times New Roman" w:hAnsi="Times New Roman" w:cs="Times New Roman"/>
          <w:sz w:val="24"/>
          <w:szCs w:val="24"/>
        </w:rPr>
        <w:t>s</w:t>
      </w:r>
      <w:r w:rsidR="006801AE" w:rsidRPr="00221C89">
        <w:rPr>
          <w:rFonts w:ascii="Times New Roman" w:hAnsi="Times New Roman" w:cs="Times New Roman"/>
          <w:sz w:val="24"/>
          <w:szCs w:val="24"/>
        </w:rPr>
        <w:t xml:space="preserve"> of a person such as the husband and his </w:t>
      </w:r>
      <w:r w:rsidR="002255EC" w:rsidRPr="00221C89">
        <w:rPr>
          <w:rFonts w:ascii="Times New Roman" w:hAnsi="Times New Roman" w:cs="Times New Roman"/>
          <w:sz w:val="24"/>
          <w:szCs w:val="24"/>
        </w:rPr>
        <w:t>co</w:t>
      </w:r>
      <w:r w:rsidR="006801AE" w:rsidRPr="00221C89">
        <w:rPr>
          <w:rFonts w:ascii="Times New Roman" w:hAnsi="Times New Roman" w:cs="Times New Roman"/>
          <w:sz w:val="24"/>
          <w:szCs w:val="24"/>
        </w:rPr>
        <w:t xml:space="preserve">guardians and they are entitled to </w:t>
      </w:r>
      <w:r w:rsidR="00AD4169" w:rsidRPr="00221C89">
        <w:rPr>
          <w:rFonts w:ascii="Times New Roman" w:hAnsi="Times New Roman" w:cs="Times New Roman"/>
          <w:sz w:val="24"/>
          <w:szCs w:val="24"/>
        </w:rPr>
        <w:t>its</w:t>
      </w:r>
      <w:r w:rsidR="006801AE" w:rsidRPr="00221C89">
        <w:rPr>
          <w:rFonts w:ascii="Times New Roman" w:hAnsi="Times New Roman" w:cs="Times New Roman"/>
          <w:sz w:val="24"/>
          <w:szCs w:val="24"/>
        </w:rPr>
        <w:t xml:space="preserve"> benefit.</w:t>
      </w:r>
      <w:r w:rsidR="00F4565D" w:rsidRPr="00221C89">
        <w:rPr>
          <w:rFonts w:ascii="Times New Roman" w:hAnsi="Times New Roman" w:cs="Times New Roman"/>
          <w:sz w:val="24"/>
          <w:szCs w:val="24"/>
        </w:rPr>
        <w:t>”</w:t>
      </w:r>
      <w:r w:rsidR="0010054E" w:rsidRPr="00221C89">
        <w:rPr>
          <w:rFonts w:ascii="Times New Roman" w:hAnsi="Times New Roman" w:cs="Times New Roman"/>
          <w:sz w:val="24"/>
          <w:szCs w:val="24"/>
        </w:rPr>
        <w:t xml:space="preserve"> (</w:t>
      </w:r>
      <w:r w:rsidR="0010054E" w:rsidRPr="00221C89">
        <w:rPr>
          <w:rFonts w:ascii="Times New Roman" w:hAnsi="Times New Roman" w:cs="Times New Roman"/>
          <w:i/>
          <w:sz w:val="24"/>
          <w:szCs w:val="24"/>
        </w:rPr>
        <w:t>Tworkowski v Tworkowski</w:t>
      </w:r>
      <w:r w:rsidR="0010054E" w:rsidRPr="00221C89">
        <w:rPr>
          <w:rFonts w:ascii="Times New Roman" w:hAnsi="Times New Roman" w:cs="Times New Roman"/>
          <w:sz w:val="24"/>
          <w:szCs w:val="24"/>
        </w:rPr>
        <w:t xml:space="preserve"> at 1040.)</w:t>
      </w:r>
    </w:p>
    <w:p w14:paraId="6B229E37" w14:textId="77777777" w:rsidR="00B10778" w:rsidRPr="00221C89" w:rsidRDefault="00B10778" w:rsidP="00161F07">
      <w:pPr>
        <w:spacing w:after="0" w:line="240" w:lineRule="auto"/>
        <w:jc w:val="both"/>
        <w:rPr>
          <w:rFonts w:ascii="Times New Roman" w:hAnsi="Times New Roman" w:cs="Times New Roman"/>
          <w:sz w:val="24"/>
          <w:szCs w:val="24"/>
        </w:rPr>
      </w:pPr>
    </w:p>
    <w:p w14:paraId="3F51F781" w14:textId="084BD5A0" w:rsidR="006801AE" w:rsidRPr="00221C89" w:rsidRDefault="00161F07" w:rsidP="00161F07">
      <w:pPr>
        <w:tabs>
          <w:tab w:val="left" w:pos="720"/>
        </w:tabs>
        <w:spacing w:after="0" w:line="240" w:lineRule="auto"/>
        <w:jc w:val="both"/>
        <w:rPr>
          <w:rFonts w:ascii="Times New Roman" w:hAnsi="Times New Roman" w:cs="Times New Roman"/>
          <w:sz w:val="24"/>
          <w:szCs w:val="24"/>
        </w:rPr>
      </w:pPr>
      <w:bookmarkStart w:id="12" w:name="_Hlk48591726"/>
      <w:r w:rsidRPr="00221C89">
        <w:rPr>
          <w:rFonts w:ascii="Times New Roman" w:hAnsi="Times New Roman" w:cs="Times New Roman"/>
          <w:sz w:val="24"/>
          <w:szCs w:val="24"/>
        </w:rPr>
        <w:tab/>
      </w:r>
      <w:r w:rsidR="00B829E1" w:rsidRPr="00221C89">
        <w:rPr>
          <w:rFonts w:ascii="Times New Roman" w:hAnsi="Times New Roman" w:cs="Times New Roman"/>
          <w:sz w:val="24"/>
          <w:szCs w:val="24"/>
        </w:rPr>
        <w:t xml:space="preserve">The </w:t>
      </w:r>
      <w:r w:rsidR="000A0850" w:rsidRPr="00221C89">
        <w:rPr>
          <w:rFonts w:ascii="Times New Roman" w:hAnsi="Times New Roman" w:cs="Times New Roman"/>
          <w:sz w:val="24"/>
          <w:szCs w:val="24"/>
        </w:rPr>
        <w:t>protect</w:t>
      </w:r>
      <w:r w:rsidR="003B3499" w:rsidRPr="00221C89">
        <w:rPr>
          <w:rFonts w:ascii="Times New Roman" w:hAnsi="Times New Roman" w:cs="Times New Roman"/>
          <w:sz w:val="24"/>
          <w:szCs w:val="24"/>
        </w:rPr>
        <w:t>i</w:t>
      </w:r>
      <w:r w:rsidR="00C03125" w:rsidRPr="00221C89">
        <w:rPr>
          <w:rFonts w:ascii="Times New Roman" w:hAnsi="Times New Roman" w:cs="Times New Roman"/>
          <w:sz w:val="24"/>
          <w:szCs w:val="24"/>
        </w:rPr>
        <w:t>on</w:t>
      </w:r>
      <w:r w:rsidR="00FC297F" w:rsidRPr="00221C89">
        <w:rPr>
          <w:rFonts w:ascii="Times New Roman" w:hAnsi="Times New Roman" w:cs="Times New Roman"/>
          <w:sz w:val="24"/>
          <w:szCs w:val="24"/>
        </w:rPr>
        <w:t xml:space="preserve"> from testimony by a</w:t>
      </w:r>
      <w:r w:rsidR="00B87787" w:rsidRPr="00221C89">
        <w:rPr>
          <w:rFonts w:ascii="Times New Roman" w:hAnsi="Times New Roman" w:cs="Times New Roman"/>
          <w:sz w:val="24"/>
          <w:szCs w:val="24"/>
        </w:rPr>
        <w:t>n</w:t>
      </w:r>
      <w:r w:rsidR="00FC297F" w:rsidRPr="00221C89">
        <w:rPr>
          <w:rFonts w:ascii="Times New Roman" w:hAnsi="Times New Roman" w:cs="Times New Roman"/>
          <w:sz w:val="24"/>
          <w:szCs w:val="24"/>
        </w:rPr>
        <w:t xml:space="preserve"> interested party or p</w:t>
      </w:r>
      <w:r w:rsidR="009154DF" w:rsidRPr="00221C89">
        <w:rPr>
          <w:rFonts w:ascii="Times New Roman" w:hAnsi="Times New Roman" w:cs="Times New Roman"/>
          <w:sz w:val="24"/>
          <w:szCs w:val="24"/>
        </w:rPr>
        <w:t>erson</w:t>
      </w:r>
      <w:r w:rsidR="00255C4B" w:rsidRPr="00221C89">
        <w:rPr>
          <w:rFonts w:ascii="Times New Roman" w:hAnsi="Times New Roman" w:cs="Times New Roman"/>
          <w:sz w:val="24"/>
          <w:szCs w:val="24"/>
        </w:rPr>
        <w:t xml:space="preserve"> concerning a personal transaction or communication </w:t>
      </w:r>
      <w:r w:rsidR="00B829E1" w:rsidRPr="00221C89">
        <w:rPr>
          <w:rFonts w:ascii="Times New Roman" w:hAnsi="Times New Roman" w:cs="Times New Roman"/>
          <w:sz w:val="24"/>
          <w:szCs w:val="24"/>
        </w:rPr>
        <w:t>extends</w:t>
      </w:r>
      <w:r w:rsidR="003B3499" w:rsidRPr="00221C89">
        <w:rPr>
          <w:rFonts w:ascii="Times New Roman" w:hAnsi="Times New Roman" w:cs="Times New Roman"/>
          <w:sz w:val="24"/>
          <w:szCs w:val="24"/>
        </w:rPr>
        <w:t xml:space="preserve"> to</w:t>
      </w:r>
      <w:r w:rsidR="00C03125" w:rsidRPr="00221C89">
        <w:rPr>
          <w:rFonts w:ascii="Times New Roman" w:hAnsi="Times New Roman" w:cs="Times New Roman"/>
          <w:sz w:val="24"/>
          <w:szCs w:val="24"/>
        </w:rPr>
        <w:t xml:space="preserve"> </w:t>
      </w:r>
      <w:r w:rsidR="009315C5" w:rsidRPr="00221C89">
        <w:rPr>
          <w:rFonts w:ascii="Times New Roman" w:hAnsi="Times New Roman" w:cs="Times New Roman"/>
          <w:sz w:val="24"/>
          <w:szCs w:val="24"/>
        </w:rPr>
        <w:t>“a person deriving his title or interest from</w:t>
      </w:r>
      <w:r w:rsidR="0013285B" w:rsidRPr="00221C89">
        <w:rPr>
          <w:rFonts w:ascii="Times New Roman" w:hAnsi="Times New Roman" w:cs="Times New Roman"/>
          <w:sz w:val="24"/>
          <w:szCs w:val="24"/>
        </w:rPr>
        <w:t>, through</w:t>
      </w:r>
      <w:r w:rsidR="009315C5" w:rsidRPr="00221C89">
        <w:rPr>
          <w:rFonts w:ascii="Times New Roman" w:hAnsi="Times New Roman" w:cs="Times New Roman"/>
          <w:sz w:val="24"/>
          <w:szCs w:val="24"/>
        </w:rPr>
        <w:t xml:space="preserve"> or under a </w:t>
      </w:r>
      <w:r w:rsidR="007B1662" w:rsidRPr="00221C89">
        <w:rPr>
          <w:rFonts w:ascii="Times New Roman" w:hAnsi="Times New Roman" w:cs="Times New Roman"/>
          <w:sz w:val="24"/>
          <w:szCs w:val="24"/>
        </w:rPr>
        <w:t>deceased person or mentally ill person</w:t>
      </w:r>
      <w:r w:rsidR="00E94D3A" w:rsidRPr="00221C89">
        <w:rPr>
          <w:rFonts w:ascii="Times New Roman" w:hAnsi="Times New Roman" w:cs="Times New Roman"/>
          <w:sz w:val="24"/>
          <w:szCs w:val="24"/>
        </w:rPr>
        <w:t>.</w:t>
      </w:r>
      <w:r w:rsidR="004A66C4" w:rsidRPr="00221C89">
        <w:rPr>
          <w:rFonts w:ascii="Times New Roman" w:hAnsi="Times New Roman" w:cs="Times New Roman"/>
          <w:sz w:val="24"/>
          <w:szCs w:val="24"/>
        </w:rPr>
        <w:t>”</w:t>
      </w:r>
      <w:r w:rsidR="00EC08F4" w:rsidRPr="00221C89">
        <w:rPr>
          <w:rFonts w:ascii="Times New Roman" w:hAnsi="Times New Roman" w:cs="Times New Roman"/>
          <w:sz w:val="24"/>
          <w:szCs w:val="24"/>
        </w:rPr>
        <w:t xml:space="preserve"> </w:t>
      </w:r>
      <w:r w:rsidR="001176A2" w:rsidRPr="00221C89">
        <w:rPr>
          <w:rFonts w:ascii="Times New Roman" w:hAnsi="Times New Roman" w:cs="Times New Roman"/>
          <w:sz w:val="24"/>
          <w:szCs w:val="24"/>
        </w:rPr>
        <w:t>For example,</w:t>
      </w:r>
      <w:r w:rsidR="00F30BB0" w:rsidRPr="00221C89">
        <w:rPr>
          <w:rFonts w:ascii="Times New Roman" w:hAnsi="Times New Roman" w:cs="Times New Roman"/>
          <w:sz w:val="24"/>
          <w:szCs w:val="24"/>
        </w:rPr>
        <w:t xml:space="preserve"> in </w:t>
      </w:r>
      <w:r w:rsidR="00F30BB0" w:rsidRPr="00221C89">
        <w:rPr>
          <w:rFonts w:ascii="Times New Roman" w:hAnsi="Times New Roman" w:cs="Times New Roman"/>
          <w:i/>
          <w:iCs/>
          <w:sz w:val="24"/>
          <w:szCs w:val="24"/>
        </w:rPr>
        <w:t>Pope v Allen</w:t>
      </w:r>
      <w:r w:rsidR="00F30BB0" w:rsidRPr="00221C89">
        <w:rPr>
          <w:rFonts w:ascii="Times New Roman" w:hAnsi="Times New Roman" w:cs="Times New Roman"/>
          <w:sz w:val="24"/>
          <w:szCs w:val="24"/>
        </w:rPr>
        <w:t xml:space="preserve"> </w:t>
      </w:r>
      <w:r w:rsidR="00F00B41" w:rsidRPr="00221C89">
        <w:rPr>
          <w:rFonts w:ascii="Times New Roman" w:hAnsi="Times New Roman" w:cs="Times New Roman"/>
          <w:sz w:val="24"/>
          <w:szCs w:val="24"/>
        </w:rPr>
        <w:t>(</w:t>
      </w:r>
      <w:r w:rsidR="00F30BB0" w:rsidRPr="00221C89">
        <w:rPr>
          <w:rFonts w:ascii="Times New Roman" w:hAnsi="Times New Roman" w:cs="Times New Roman"/>
          <w:sz w:val="24"/>
          <w:szCs w:val="24"/>
        </w:rPr>
        <w:t>90</w:t>
      </w:r>
      <w:r w:rsidR="00E37133" w:rsidRPr="00221C89">
        <w:rPr>
          <w:rFonts w:ascii="Times New Roman" w:hAnsi="Times New Roman" w:cs="Times New Roman"/>
          <w:sz w:val="24"/>
          <w:szCs w:val="24"/>
        </w:rPr>
        <w:t xml:space="preserve"> NY 298 [1882]</w:t>
      </w:r>
      <w:r w:rsidR="00F00B41" w:rsidRPr="00221C89">
        <w:rPr>
          <w:rFonts w:ascii="Times New Roman" w:hAnsi="Times New Roman" w:cs="Times New Roman"/>
          <w:sz w:val="24"/>
          <w:szCs w:val="24"/>
        </w:rPr>
        <w:t>)</w:t>
      </w:r>
      <w:r w:rsidR="00E37133" w:rsidRPr="00221C89">
        <w:rPr>
          <w:rFonts w:ascii="Times New Roman" w:hAnsi="Times New Roman" w:cs="Times New Roman"/>
          <w:sz w:val="24"/>
          <w:szCs w:val="24"/>
        </w:rPr>
        <w:t>,</w:t>
      </w:r>
      <w:r w:rsidR="001176A2" w:rsidRPr="00221C89">
        <w:rPr>
          <w:rFonts w:ascii="Times New Roman" w:hAnsi="Times New Roman" w:cs="Times New Roman"/>
          <w:sz w:val="24"/>
          <w:szCs w:val="24"/>
        </w:rPr>
        <w:t xml:space="preserve"> </w:t>
      </w:r>
      <w:r w:rsidR="00BB61FE" w:rsidRPr="00221C89">
        <w:rPr>
          <w:rFonts w:ascii="Times New Roman" w:hAnsi="Times New Roman" w:cs="Times New Roman"/>
          <w:sz w:val="24"/>
          <w:szCs w:val="24"/>
        </w:rPr>
        <w:t xml:space="preserve">the </w:t>
      </w:r>
      <w:r w:rsidR="006801AE" w:rsidRPr="00221C89">
        <w:rPr>
          <w:rFonts w:ascii="Times New Roman" w:hAnsi="Times New Roman" w:cs="Times New Roman"/>
          <w:sz w:val="24"/>
          <w:szCs w:val="24"/>
        </w:rPr>
        <w:t xml:space="preserve"> Court </w:t>
      </w:r>
      <w:r w:rsidR="00BB61FE" w:rsidRPr="00221C89">
        <w:rPr>
          <w:rFonts w:ascii="Times New Roman" w:hAnsi="Times New Roman" w:cs="Times New Roman"/>
          <w:sz w:val="24"/>
          <w:szCs w:val="24"/>
        </w:rPr>
        <w:t xml:space="preserve"> held that the Dead Man’s Statute</w:t>
      </w:r>
      <w:r w:rsidR="006801AE" w:rsidRPr="00221C89">
        <w:rPr>
          <w:rFonts w:ascii="Times New Roman" w:hAnsi="Times New Roman" w:cs="Times New Roman"/>
          <w:sz w:val="24"/>
          <w:szCs w:val="24"/>
        </w:rPr>
        <w:t xml:space="preserve"> protect</w:t>
      </w:r>
      <w:r w:rsidR="00BB61FE" w:rsidRPr="00221C89">
        <w:rPr>
          <w:rFonts w:ascii="Times New Roman" w:hAnsi="Times New Roman" w:cs="Times New Roman"/>
          <w:sz w:val="24"/>
          <w:szCs w:val="24"/>
        </w:rPr>
        <w:t>ed</w:t>
      </w:r>
      <w:r w:rsidR="006801AE" w:rsidRPr="00221C89">
        <w:rPr>
          <w:rFonts w:ascii="Times New Roman" w:hAnsi="Times New Roman" w:cs="Times New Roman"/>
          <w:sz w:val="24"/>
          <w:szCs w:val="24"/>
        </w:rPr>
        <w:t xml:space="preserve"> both the deceased conveyor of title to land (“from” whom the land was conveyed to the interested party)</w:t>
      </w:r>
      <w:r w:rsidR="00360C96"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and the deceased person who had conveyed to him  (“through” whom it was conveyed)</w:t>
      </w:r>
      <w:r w:rsidR="00444CE7"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and “under” whom it was conveyed by both of the predecessors in title</w:t>
      </w:r>
      <w:r w:rsidR="00636970"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w:t>
      </w:r>
    </w:p>
    <w:p w14:paraId="27A852B0" w14:textId="77777777" w:rsidR="00B10778" w:rsidRPr="00221C89" w:rsidRDefault="00B10778" w:rsidP="00161F07">
      <w:pPr>
        <w:spacing w:after="0" w:line="240" w:lineRule="auto"/>
        <w:jc w:val="both"/>
        <w:rPr>
          <w:rFonts w:ascii="Times New Roman" w:hAnsi="Times New Roman" w:cs="Times New Roman"/>
          <w:sz w:val="24"/>
          <w:szCs w:val="24"/>
        </w:rPr>
      </w:pPr>
    </w:p>
    <w:bookmarkEnd w:id="12"/>
    <w:p w14:paraId="4690E68E" w14:textId="0B22A0D3" w:rsidR="006801AE" w:rsidRPr="00221C89" w:rsidRDefault="00161F07" w:rsidP="00161F07">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6801AE" w:rsidRPr="00221C89">
        <w:rPr>
          <w:rFonts w:ascii="Times New Roman" w:hAnsi="Times New Roman" w:cs="Times New Roman"/>
          <w:sz w:val="24"/>
          <w:szCs w:val="24"/>
        </w:rPr>
        <w:t xml:space="preserve">The statute has been held to protect a successor trustee from testimony </w:t>
      </w:r>
      <w:r w:rsidR="00A05702" w:rsidRPr="00221C89">
        <w:rPr>
          <w:rFonts w:ascii="Times New Roman" w:hAnsi="Times New Roman" w:cs="Times New Roman"/>
          <w:sz w:val="24"/>
          <w:szCs w:val="24"/>
        </w:rPr>
        <w:t>by</w:t>
      </w:r>
      <w:r w:rsidR="006801AE" w:rsidRPr="00221C89">
        <w:rPr>
          <w:rFonts w:ascii="Times New Roman" w:hAnsi="Times New Roman" w:cs="Times New Roman"/>
          <w:sz w:val="24"/>
          <w:szCs w:val="24"/>
        </w:rPr>
        <w:t xml:space="preserve"> interested persons concerning transactions with the original trustee, now deceased </w:t>
      </w:r>
      <w:r w:rsidR="006853ED" w:rsidRPr="00221C89">
        <w:rPr>
          <w:rFonts w:ascii="Times New Roman" w:hAnsi="Times New Roman" w:cs="Times New Roman"/>
          <w:sz w:val="24"/>
          <w:szCs w:val="24"/>
        </w:rPr>
        <w:t>(</w:t>
      </w:r>
      <w:r w:rsidR="006801AE" w:rsidRPr="00221C89">
        <w:rPr>
          <w:rFonts w:ascii="Times New Roman" w:hAnsi="Times New Roman" w:cs="Times New Roman"/>
          <w:i/>
          <w:iCs/>
          <w:sz w:val="24"/>
          <w:szCs w:val="24"/>
        </w:rPr>
        <w:t>Brundige v Bradley</w:t>
      </w:r>
      <w:r w:rsidR="006801AE" w:rsidRPr="00221C89">
        <w:rPr>
          <w:rFonts w:ascii="Times New Roman" w:hAnsi="Times New Roman" w:cs="Times New Roman"/>
          <w:sz w:val="24"/>
          <w:szCs w:val="24"/>
        </w:rPr>
        <w:t>, 294 NY 345 [1945]</w:t>
      </w:r>
      <w:r w:rsidR="006853ED" w:rsidRPr="00221C89">
        <w:rPr>
          <w:rFonts w:ascii="Times New Roman" w:hAnsi="Times New Roman" w:cs="Times New Roman"/>
          <w:sz w:val="24"/>
          <w:szCs w:val="24"/>
        </w:rPr>
        <w:t xml:space="preserve">). </w:t>
      </w:r>
    </w:p>
    <w:p w14:paraId="067F686A" w14:textId="77777777" w:rsidR="00B10778" w:rsidRPr="00221C89" w:rsidRDefault="00B10778" w:rsidP="00161F07">
      <w:pPr>
        <w:spacing w:after="0" w:line="240" w:lineRule="auto"/>
        <w:jc w:val="both"/>
        <w:rPr>
          <w:rFonts w:ascii="Times New Roman" w:hAnsi="Times New Roman" w:cs="Times New Roman"/>
          <w:sz w:val="24"/>
          <w:szCs w:val="24"/>
        </w:rPr>
      </w:pPr>
    </w:p>
    <w:p w14:paraId="3FE9B57F" w14:textId="1C49DAD8" w:rsidR="006801AE" w:rsidRPr="00221C89" w:rsidRDefault="00161F07" w:rsidP="00161F07">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6801AE" w:rsidRPr="00221C89">
        <w:rPr>
          <w:rFonts w:ascii="Times New Roman" w:hAnsi="Times New Roman" w:cs="Times New Roman"/>
          <w:sz w:val="24"/>
          <w:szCs w:val="24"/>
        </w:rPr>
        <w:t xml:space="preserve">In </w:t>
      </w:r>
      <w:r w:rsidR="006801AE" w:rsidRPr="00221C89">
        <w:rPr>
          <w:rFonts w:ascii="Times New Roman" w:hAnsi="Times New Roman" w:cs="Times New Roman"/>
          <w:i/>
          <w:iCs/>
          <w:sz w:val="24"/>
          <w:szCs w:val="24"/>
        </w:rPr>
        <w:t>Ward v New York Life Ins</w:t>
      </w:r>
      <w:r w:rsidR="00D874AD" w:rsidRPr="00221C89">
        <w:rPr>
          <w:rFonts w:ascii="Times New Roman" w:hAnsi="Times New Roman" w:cs="Times New Roman"/>
          <w:i/>
          <w:iCs/>
          <w:sz w:val="24"/>
          <w:szCs w:val="24"/>
        </w:rPr>
        <w:t>.</w:t>
      </w:r>
      <w:r w:rsidR="006801AE" w:rsidRPr="00221C89">
        <w:rPr>
          <w:rFonts w:ascii="Times New Roman" w:hAnsi="Times New Roman" w:cs="Times New Roman"/>
          <w:i/>
          <w:iCs/>
          <w:sz w:val="24"/>
          <w:szCs w:val="24"/>
        </w:rPr>
        <w:t xml:space="preserve"> Co</w:t>
      </w:r>
      <w:r w:rsidR="006801AE" w:rsidRPr="00221C89">
        <w:rPr>
          <w:rFonts w:ascii="Times New Roman" w:hAnsi="Times New Roman" w:cs="Times New Roman"/>
          <w:sz w:val="24"/>
          <w:szCs w:val="24"/>
        </w:rPr>
        <w:t>.</w:t>
      </w:r>
      <w:r w:rsidR="006853ED"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225 NY 314 [1919]</w:t>
      </w:r>
      <w:r w:rsidR="006853ED" w:rsidRPr="00221C89">
        <w:rPr>
          <w:rFonts w:ascii="Times New Roman" w:hAnsi="Times New Roman" w:cs="Times New Roman"/>
          <w:sz w:val="24"/>
          <w:szCs w:val="24"/>
        </w:rPr>
        <w:t>)</w:t>
      </w:r>
      <w:r w:rsidR="00636970"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the </w:t>
      </w:r>
      <w:r w:rsidR="00636970" w:rsidRPr="00221C89">
        <w:rPr>
          <w:rFonts w:ascii="Times New Roman" w:hAnsi="Times New Roman" w:cs="Times New Roman"/>
          <w:sz w:val="24"/>
          <w:szCs w:val="24"/>
        </w:rPr>
        <w:t>C</w:t>
      </w:r>
      <w:r w:rsidR="006801AE" w:rsidRPr="00221C89">
        <w:rPr>
          <w:rFonts w:ascii="Times New Roman" w:hAnsi="Times New Roman" w:cs="Times New Roman"/>
          <w:sz w:val="24"/>
          <w:szCs w:val="24"/>
        </w:rPr>
        <w:t>ourt held that a beneficiary of an insurance policy, named by the insured</w:t>
      </w:r>
      <w:r w:rsidR="000E3CF8"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does not claim “from, through or under</w:t>
      </w:r>
      <w:r w:rsidR="00436952"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the insured because the deceased insured did not have an interest in the proceeds of the policy during his lifetime and, therefore,  the  claim of the beneficiary was  from the insurance company not the decedent. This decision prompted much criticism but has n</w:t>
      </w:r>
      <w:r w:rsidR="00187F1B" w:rsidRPr="00221C89">
        <w:rPr>
          <w:rFonts w:ascii="Times New Roman" w:hAnsi="Times New Roman" w:cs="Times New Roman"/>
          <w:sz w:val="24"/>
          <w:szCs w:val="24"/>
        </w:rPr>
        <w:t>ever</w:t>
      </w:r>
      <w:r w:rsidR="006801AE" w:rsidRPr="00221C89">
        <w:rPr>
          <w:rFonts w:ascii="Times New Roman" w:hAnsi="Times New Roman" w:cs="Times New Roman"/>
          <w:sz w:val="24"/>
          <w:szCs w:val="24"/>
        </w:rPr>
        <w:t xml:space="preserve"> been reversed. </w:t>
      </w:r>
      <w:r w:rsidR="00D874AD" w:rsidRPr="00221C89">
        <w:rPr>
          <w:rFonts w:ascii="Times New Roman" w:hAnsi="Times New Roman" w:cs="Times New Roman"/>
          <w:sz w:val="24"/>
          <w:szCs w:val="24"/>
        </w:rPr>
        <w:t>(</w:t>
      </w:r>
      <w:r w:rsidR="006801AE" w:rsidRPr="00221C89">
        <w:rPr>
          <w:rFonts w:ascii="Times New Roman" w:hAnsi="Times New Roman" w:cs="Times New Roman"/>
          <w:i/>
          <w:iCs/>
          <w:sz w:val="24"/>
          <w:szCs w:val="24"/>
        </w:rPr>
        <w:t>See</w:t>
      </w:r>
      <w:r w:rsidR="006801AE" w:rsidRPr="00221C89">
        <w:rPr>
          <w:rFonts w:ascii="Times New Roman" w:hAnsi="Times New Roman" w:cs="Times New Roman"/>
          <w:sz w:val="24"/>
          <w:szCs w:val="24"/>
        </w:rPr>
        <w:t xml:space="preserve"> Alexander, </w:t>
      </w:r>
      <w:r w:rsidR="000472EC" w:rsidRPr="00221C89">
        <w:rPr>
          <w:rFonts w:ascii="Times New Roman" w:hAnsi="Times New Roman" w:cs="Times New Roman"/>
          <w:sz w:val="24"/>
          <w:szCs w:val="24"/>
        </w:rPr>
        <w:t xml:space="preserve">Practice Commentaries, CPLR </w:t>
      </w:r>
      <w:r w:rsidR="00516E3E" w:rsidRPr="00221C89">
        <w:rPr>
          <w:rFonts w:ascii="Times New Roman" w:hAnsi="Times New Roman" w:cs="Times New Roman"/>
          <w:sz w:val="24"/>
          <w:szCs w:val="24"/>
        </w:rPr>
        <w:t>C</w:t>
      </w:r>
      <w:r w:rsidR="000472EC" w:rsidRPr="00221C89">
        <w:rPr>
          <w:rFonts w:ascii="Times New Roman" w:hAnsi="Times New Roman" w:cs="Times New Roman"/>
          <w:sz w:val="24"/>
          <w:szCs w:val="24"/>
        </w:rPr>
        <w:t>4519</w:t>
      </w:r>
      <w:r w:rsidR="00516E3E" w:rsidRPr="00221C89">
        <w:rPr>
          <w:rFonts w:ascii="Times New Roman" w:hAnsi="Times New Roman" w:cs="Times New Roman"/>
          <w:sz w:val="24"/>
          <w:szCs w:val="24"/>
        </w:rPr>
        <w:t>:3</w:t>
      </w:r>
      <w:r w:rsidR="000302F1" w:rsidRPr="00221C89">
        <w:rPr>
          <w:rFonts w:ascii="Times New Roman" w:hAnsi="Times New Roman" w:cs="Times New Roman"/>
          <w:sz w:val="24"/>
          <w:szCs w:val="24"/>
        </w:rPr>
        <w:t>.</w:t>
      </w:r>
      <w:r w:rsidR="00D874AD" w:rsidRPr="00221C89">
        <w:rPr>
          <w:rFonts w:ascii="Times New Roman" w:hAnsi="Times New Roman" w:cs="Times New Roman"/>
          <w:sz w:val="24"/>
          <w:szCs w:val="24"/>
        </w:rPr>
        <w:t>)</w:t>
      </w:r>
      <w:r w:rsidR="000302F1" w:rsidRPr="00221C89">
        <w:rPr>
          <w:rFonts w:ascii="Times New Roman" w:hAnsi="Times New Roman" w:cs="Times New Roman"/>
          <w:sz w:val="24"/>
          <w:szCs w:val="24"/>
        </w:rPr>
        <w:t xml:space="preserve"> </w:t>
      </w:r>
    </w:p>
    <w:p w14:paraId="1635C82E" w14:textId="197E8E80" w:rsidR="00B10778" w:rsidRPr="00221C89" w:rsidRDefault="00B10778" w:rsidP="00161F07">
      <w:pPr>
        <w:spacing w:after="0" w:line="240" w:lineRule="auto"/>
        <w:jc w:val="both"/>
        <w:rPr>
          <w:rFonts w:ascii="Times New Roman" w:hAnsi="Times New Roman" w:cs="Times New Roman"/>
          <w:sz w:val="24"/>
          <w:szCs w:val="24"/>
        </w:rPr>
      </w:pPr>
    </w:p>
    <w:p w14:paraId="67C45B4D" w14:textId="6813017A" w:rsidR="00C64F45" w:rsidRPr="00221C89" w:rsidRDefault="00161F07" w:rsidP="00161F07">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6801AE" w:rsidRPr="00221C89">
        <w:rPr>
          <w:rFonts w:ascii="Times New Roman" w:hAnsi="Times New Roman" w:cs="Times New Roman"/>
          <w:sz w:val="24"/>
          <w:szCs w:val="24"/>
        </w:rPr>
        <w:t xml:space="preserve">In </w:t>
      </w:r>
      <w:r w:rsidR="006801AE" w:rsidRPr="00221C89">
        <w:rPr>
          <w:rFonts w:ascii="Times New Roman" w:hAnsi="Times New Roman" w:cs="Times New Roman"/>
          <w:i/>
          <w:iCs/>
          <w:sz w:val="24"/>
          <w:szCs w:val="24"/>
        </w:rPr>
        <w:t>Poslock v Teachers</w:t>
      </w:r>
      <w:r w:rsidR="00926639" w:rsidRPr="00221C89">
        <w:rPr>
          <w:rFonts w:ascii="Times New Roman" w:hAnsi="Times New Roman" w:cs="Times New Roman"/>
          <w:i/>
          <w:iCs/>
          <w:sz w:val="24"/>
          <w:szCs w:val="24"/>
        </w:rPr>
        <w:t>’</w:t>
      </w:r>
      <w:r w:rsidR="006801AE" w:rsidRPr="00221C89">
        <w:rPr>
          <w:rFonts w:ascii="Times New Roman" w:hAnsi="Times New Roman" w:cs="Times New Roman"/>
          <w:i/>
          <w:iCs/>
          <w:sz w:val="24"/>
          <w:szCs w:val="24"/>
        </w:rPr>
        <w:t xml:space="preserve"> </w:t>
      </w:r>
      <w:r w:rsidR="00111233" w:rsidRPr="00221C89">
        <w:rPr>
          <w:rFonts w:ascii="Times New Roman" w:hAnsi="Times New Roman" w:cs="Times New Roman"/>
          <w:i/>
          <w:iCs/>
          <w:sz w:val="24"/>
          <w:szCs w:val="24"/>
        </w:rPr>
        <w:t>R</w:t>
      </w:r>
      <w:r w:rsidR="006801AE" w:rsidRPr="00221C89">
        <w:rPr>
          <w:rFonts w:ascii="Times New Roman" w:hAnsi="Times New Roman" w:cs="Times New Roman"/>
          <w:i/>
          <w:iCs/>
          <w:sz w:val="24"/>
          <w:szCs w:val="24"/>
        </w:rPr>
        <w:t>etirement Bd</w:t>
      </w:r>
      <w:r w:rsidR="00314475" w:rsidRPr="00221C89">
        <w:rPr>
          <w:rFonts w:ascii="Times New Roman" w:hAnsi="Times New Roman" w:cs="Times New Roman"/>
          <w:i/>
          <w:iCs/>
          <w:sz w:val="24"/>
          <w:szCs w:val="24"/>
        </w:rPr>
        <w:t>.</w:t>
      </w:r>
      <w:r w:rsidR="006801AE" w:rsidRPr="00221C89">
        <w:rPr>
          <w:rFonts w:ascii="Times New Roman" w:hAnsi="Times New Roman" w:cs="Times New Roman"/>
          <w:i/>
          <w:iCs/>
          <w:sz w:val="24"/>
          <w:szCs w:val="24"/>
        </w:rPr>
        <w:t xml:space="preserve"> of Teachers’ Retirement Sys</w:t>
      </w:r>
      <w:r w:rsidR="00D874AD" w:rsidRPr="00221C89">
        <w:rPr>
          <w:rFonts w:ascii="Times New Roman" w:hAnsi="Times New Roman" w:cs="Times New Roman"/>
          <w:i/>
          <w:iCs/>
          <w:sz w:val="24"/>
          <w:szCs w:val="24"/>
        </w:rPr>
        <w:t>.</w:t>
      </w:r>
      <w:r w:rsidR="006801AE" w:rsidRPr="00221C89">
        <w:rPr>
          <w:rFonts w:ascii="Times New Roman" w:hAnsi="Times New Roman" w:cs="Times New Roman"/>
          <w:sz w:val="24"/>
          <w:szCs w:val="24"/>
        </w:rPr>
        <w:t xml:space="preserve">  </w:t>
      </w:r>
      <w:r w:rsidR="0038261E" w:rsidRPr="00221C89">
        <w:rPr>
          <w:rFonts w:ascii="Times New Roman" w:hAnsi="Times New Roman" w:cs="Times New Roman"/>
          <w:sz w:val="24"/>
          <w:szCs w:val="24"/>
        </w:rPr>
        <w:t>(</w:t>
      </w:r>
      <w:r w:rsidR="006801AE" w:rsidRPr="00221C89">
        <w:rPr>
          <w:rFonts w:ascii="Times New Roman" w:hAnsi="Times New Roman" w:cs="Times New Roman"/>
          <w:sz w:val="24"/>
          <w:szCs w:val="24"/>
        </w:rPr>
        <w:t>88</w:t>
      </w:r>
      <w:r w:rsidR="008A0ED2"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NY2d 146</w:t>
      </w:r>
      <w:r w:rsidR="008A0ED2"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[1996]</w:t>
      </w:r>
      <w:r w:rsidR="0038261E" w:rsidRPr="00221C89">
        <w:rPr>
          <w:rFonts w:ascii="Times New Roman" w:hAnsi="Times New Roman" w:cs="Times New Roman"/>
          <w:sz w:val="24"/>
          <w:szCs w:val="24"/>
        </w:rPr>
        <w:t>)</w:t>
      </w:r>
      <w:r w:rsidR="008A0ED2"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the </w:t>
      </w:r>
      <w:r w:rsidR="000302F1" w:rsidRPr="00221C89">
        <w:rPr>
          <w:rFonts w:ascii="Times New Roman" w:hAnsi="Times New Roman" w:cs="Times New Roman"/>
          <w:sz w:val="24"/>
          <w:szCs w:val="24"/>
        </w:rPr>
        <w:t>C</w:t>
      </w:r>
      <w:r w:rsidR="006801AE" w:rsidRPr="00221C89">
        <w:rPr>
          <w:rFonts w:ascii="Times New Roman" w:hAnsi="Times New Roman" w:cs="Times New Roman"/>
          <w:sz w:val="24"/>
          <w:szCs w:val="24"/>
        </w:rPr>
        <w:t xml:space="preserve">ourt affirmed an </w:t>
      </w:r>
      <w:r w:rsidR="000302F1" w:rsidRPr="00221C89">
        <w:rPr>
          <w:rFonts w:ascii="Times New Roman" w:hAnsi="Times New Roman" w:cs="Times New Roman"/>
          <w:sz w:val="24"/>
          <w:szCs w:val="24"/>
        </w:rPr>
        <w:t>A</w:t>
      </w:r>
      <w:r w:rsidR="006801AE" w:rsidRPr="00221C89">
        <w:rPr>
          <w:rFonts w:ascii="Times New Roman" w:hAnsi="Times New Roman" w:cs="Times New Roman"/>
          <w:sz w:val="24"/>
          <w:szCs w:val="24"/>
        </w:rPr>
        <w:t xml:space="preserve">ppellate </w:t>
      </w:r>
      <w:r w:rsidR="000302F1" w:rsidRPr="00221C89">
        <w:rPr>
          <w:rFonts w:ascii="Times New Roman" w:hAnsi="Times New Roman" w:cs="Times New Roman"/>
          <w:sz w:val="24"/>
          <w:szCs w:val="24"/>
        </w:rPr>
        <w:t>D</w:t>
      </w:r>
      <w:r w:rsidR="006801AE" w:rsidRPr="00221C89">
        <w:rPr>
          <w:rFonts w:ascii="Times New Roman" w:hAnsi="Times New Roman" w:cs="Times New Roman"/>
          <w:sz w:val="24"/>
          <w:szCs w:val="24"/>
        </w:rPr>
        <w:t xml:space="preserve">ivision ruling that distinguished </w:t>
      </w:r>
      <w:r w:rsidR="006801AE" w:rsidRPr="00221C89">
        <w:rPr>
          <w:rFonts w:ascii="Times New Roman" w:hAnsi="Times New Roman" w:cs="Times New Roman"/>
          <w:i/>
          <w:iCs/>
          <w:sz w:val="24"/>
          <w:szCs w:val="24"/>
        </w:rPr>
        <w:t>Ward</w:t>
      </w:r>
      <w:r w:rsidR="006801AE" w:rsidRPr="00221C89">
        <w:rPr>
          <w:rFonts w:ascii="Times New Roman" w:hAnsi="Times New Roman" w:cs="Times New Roman"/>
          <w:sz w:val="24"/>
          <w:szCs w:val="24"/>
        </w:rPr>
        <w:t xml:space="preserve"> because the retirement benefits in question (with exception of the life insurance proceeds) belonged to the decedent during his lifetime and he had the ability to manage them</w:t>
      </w:r>
      <w:r w:rsidR="00062572">
        <w:rPr>
          <w:rFonts w:ascii="Times New Roman" w:hAnsi="Times New Roman" w:cs="Times New Roman"/>
          <w:sz w:val="24"/>
          <w:szCs w:val="24"/>
        </w:rPr>
        <w:t xml:space="preserve">. </w:t>
      </w:r>
      <w:r w:rsidR="006801AE" w:rsidRPr="00221C89">
        <w:rPr>
          <w:rFonts w:ascii="Times New Roman" w:hAnsi="Times New Roman" w:cs="Times New Roman"/>
          <w:sz w:val="24"/>
          <w:szCs w:val="24"/>
        </w:rPr>
        <w:t>The</w:t>
      </w:r>
      <w:r w:rsidR="00062572">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protection of the statute was therefore available to prevent an interested party from testifying about communications with the decedent about the lump sum benefits from the pension. In keeping with </w:t>
      </w:r>
      <w:r w:rsidR="006801AE" w:rsidRPr="00221C89">
        <w:rPr>
          <w:rFonts w:ascii="Times New Roman" w:hAnsi="Times New Roman" w:cs="Times New Roman"/>
          <w:i/>
          <w:iCs/>
          <w:sz w:val="24"/>
          <w:szCs w:val="24"/>
        </w:rPr>
        <w:t>Ward</w:t>
      </w:r>
      <w:r w:rsidR="009F5994" w:rsidRPr="00221C89">
        <w:rPr>
          <w:rFonts w:ascii="Times New Roman" w:hAnsi="Times New Roman" w:cs="Times New Roman"/>
          <w:iCs/>
          <w:sz w:val="24"/>
          <w:szCs w:val="24"/>
        </w:rPr>
        <w:t>,</w:t>
      </w:r>
      <w:r w:rsidR="00C22DF4"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the </w:t>
      </w:r>
      <w:r w:rsidR="00952678" w:rsidRPr="00221C89">
        <w:rPr>
          <w:rFonts w:ascii="Times New Roman" w:hAnsi="Times New Roman" w:cs="Times New Roman"/>
          <w:sz w:val="24"/>
          <w:szCs w:val="24"/>
        </w:rPr>
        <w:t>C</w:t>
      </w:r>
      <w:r w:rsidR="006801AE" w:rsidRPr="00221C89">
        <w:rPr>
          <w:rFonts w:ascii="Times New Roman" w:hAnsi="Times New Roman" w:cs="Times New Roman"/>
          <w:sz w:val="24"/>
          <w:szCs w:val="24"/>
        </w:rPr>
        <w:t>ourt also held that the protection of the statute did not apply to communications concerning the life insurance portion of the death benefits.</w:t>
      </w:r>
    </w:p>
    <w:p w14:paraId="37425BFF" w14:textId="77777777" w:rsidR="00B10778" w:rsidRPr="00221C89" w:rsidRDefault="00B10778" w:rsidP="00161F07">
      <w:pPr>
        <w:spacing w:after="0" w:line="240" w:lineRule="auto"/>
        <w:jc w:val="both"/>
        <w:rPr>
          <w:rFonts w:ascii="Times New Roman" w:hAnsi="Times New Roman" w:cs="Times New Roman"/>
          <w:sz w:val="24"/>
          <w:szCs w:val="24"/>
        </w:rPr>
      </w:pPr>
    </w:p>
    <w:p w14:paraId="70E1E613" w14:textId="07D0228D" w:rsidR="00C64F45" w:rsidRPr="00221C89" w:rsidRDefault="00C64F45" w:rsidP="00CE66C6">
      <w:pPr>
        <w:spacing w:after="0" w:line="240" w:lineRule="auto"/>
        <w:jc w:val="both"/>
        <w:rPr>
          <w:rFonts w:ascii="Times New Roman" w:hAnsi="Times New Roman" w:cs="Times New Roman"/>
          <w:b/>
          <w:bCs/>
          <w:sz w:val="24"/>
          <w:szCs w:val="24"/>
        </w:rPr>
      </w:pPr>
      <w:r w:rsidRPr="00221C89">
        <w:rPr>
          <w:rFonts w:ascii="Times New Roman" w:hAnsi="Times New Roman" w:cs="Times New Roman"/>
          <w:b/>
          <w:bCs/>
          <w:sz w:val="24"/>
          <w:szCs w:val="24"/>
        </w:rPr>
        <w:t xml:space="preserve">The substance of the forbidden testimony </w:t>
      </w:r>
    </w:p>
    <w:p w14:paraId="56CA37B0" w14:textId="77777777" w:rsidR="00B10778" w:rsidRPr="00221C89" w:rsidRDefault="00B10778" w:rsidP="00CE66C6">
      <w:pPr>
        <w:spacing w:after="0" w:line="240" w:lineRule="auto"/>
        <w:jc w:val="both"/>
        <w:rPr>
          <w:rFonts w:ascii="Times New Roman" w:hAnsi="Times New Roman" w:cs="Times New Roman"/>
          <w:b/>
          <w:bCs/>
          <w:sz w:val="24"/>
          <w:szCs w:val="24"/>
        </w:rPr>
      </w:pPr>
    </w:p>
    <w:p w14:paraId="242ECDD0" w14:textId="5DF5BEE6" w:rsidR="00727A90" w:rsidRPr="00221C89" w:rsidRDefault="00161F07" w:rsidP="00161F07">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727A90" w:rsidRPr="00221C89">
        <w:rPr>
          <w:rFonts w:ascii="Times New Roman" w:hAnsi="Times New Roman" w:cs="Times New Roman"/>
          <w:sz w:val="24"/>
          <w:szCs w:val="24"/>
        </w:rPr>
        <w:t xml:space="preserve">Subdivision (1) </w:t>
      </w:r>
      <w:r w:rsidR="000775B8" w:rsidRPr="00221C89">
        <w:rPr>
          <w:rFonts w:ascii="Times New Roman" w:hAnsi="Times New Roman" w:cs="Times New Roman"/>
          <w:sz w:val="24"/>
          <w:szCs w:val="24"/>
        </w:rPr>
        <w:t>dictat</w:t>
      </w:r>
      <w:r w:rsidR="00605991" w:rsidRPr="00221C89">
        <w:rPr>
          <w:rFonts w:ascii="Times New Roman" w:hAnsi="Times New Roman" w:cs="Times New Roman"/>
          <w:sz w:val="24"/>
          <w:szCs w:val="24"/>
        </w:rPr>
        <w:t>es</w:t>
      </w:r>
      <w:r w:rsidR="000775B8" w:rsidRPr="00221C89">
        <w:rPr>
          <w:rFonts w:ascii="Times New Roman" w:hAnsi="Times New Roman" w:cs="Times New Roman"/>
          <w:sz w:val="24"/>
          <w:szCs w:val="24"/>
        </w:rPr>
        <w:t xml:space="preserve"> </w:t>
      </w:r>
      <w:r w:rsidR="00727A90" w:rsidRPr="00221C89">
        <w:rPr>
          <w:rFonts w:ascii="Times New Roman" w:hAnsi="Times New Roman" w:cs="Times New Roman"/>
          <w:sz w:val="24"/>
          <w:szCs w:val="24"/>
        </w:rPr>
        <w:t xml:space="preserve">that the interested person or party shall not be examined “concerning a personal transaction or communication between the witness and the deceased person or mentally ill person.” </w:t>
      </w:r>
    </w:p>
    <w:p w14:paraId="469C014C" w14:textId="77777777" w:rsidR="00B10778" w:rsidRPr="00221C89" w:rsidRDefault="00B10778" w:rsidP="00161F07">
      <w:pPr>
        <w:spacing w:after="0" w:line="240" w:lineRule="auto"/>
        <w:jc w:val="both"/>
        <w:rPr>
          <w:rFonts w:ascii="Times New Roman" w:hAnsi="Times New Roman" w:cs="Times New Roman"/>
          <w:sz w:val="24"/>
          <w:szCs w:val="24"/>
        </w:rPr>
      </w:pPr>
    </w:p>
    <w:p w14:paraId="64E4671F" w14:textId="769F726D" w:rsidR="0092244D" w:rsidRPr="00221C89" w:rsidRDefault="00161F07" w:rsidP="00161F07">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92244D" w:rsidRPr="00221C89">
        <w:rPr>
          <w:rFonts w:ascii="Times New Roman" w:hAnsi="Times New Roman" w:cs="Times New Roman"/>
          <w:sz w:val="24"/>
          <w:szCs w:val="24"/>
        </w:rPr>
        <w:t xml:space="preserve">In </w:t>
      </w:r>
      <w:r w:rsidR="0092244D" w:rsidRPr="00221C89">
        <w:rPr>
          <w:rFonts w:ascii="Times New Roman" w:hAnsi="Times New Roman" w:cs="Times New Roman"/>
          <w:i/>
          <w:iCs/>
          <w:sz w:val="24"/>
          <w:szCs w:val="24"/>
        </w:rPr>
        <w:t>Clift v Moses</w:t>
      </w:r>
      <w:r w:rsidR="0092244D" w:rsidRPr="00221C89">
        <w:rPr>
          <w:rFonts w:ascii="Times New Roman" w:hAnsi="Times New Roman" w:cs="Times New Roman"/>
          <w:sz w:val="24"/>
          <w:szCs w:val="24"/>
        </w:rPr>
        <w:t xml:space="preserve"> (112 NY 426, 435 [1889]), the </w:t>
      </w:r>
      <w:r w:rsidR="005C0E9A" w:rsidRPr="00221C89">
        <w:rPr>
          <w:rFonts w:ascii="Times New Roman" w:hAnsi="Times New Roman" w:cs="Times New Roman"/>
          <w:sz w:val="24"/>
          <w:szCs w:val="24"/>
        </w:rPr>
        <w:t>C</w:t>
      </w:r>
      <w:r w:rsidR="0092244D" w:rsidRPr="00221C89">
        <w:rPr>
          <w:rFonts w:ascii="Times New Roman" w:hAnsi="Times New Roman" w:cs="Times New Roman"/>
          <w:sz w:val="24"/>
          <w:szCs w:val="24"/>
        </w:rPr>
        <w:t xml:space="preserve">ourt </w:t>
      </w:r>
      <w:r w:rsidR="00E67123" w:rsidRPr="00221C89">
        <w:rPr>
          <w:rFonts w:ascii="Times New Roman" w:hAnsi="Times New Roman" w:cs="Times New Roman"/>
          <w:sz w:val="24"/>
          <w:szCs w:val="24"/>
        </w:rPr>
        <w:t>explained</w:t>
      </w:r>
      <w:r w:rsidR="0092244D" w:rsidRPr="00221C89">
        <w:rPr>
          <w:rFonts w:ascii="Times New Roman" w:hAnsi="Times New Roman" w:cs="Times New Roman"/>
          <w:sz w:val="24"/>
          <w:szCs w:val="24"/>
        </w:rPr>
        <w:t>:</w:t>
      </w:r>
    </w:p>
    <w:p w14:paraId="6773681D" w14:textId="77777777" w:rsidR="00B10778" w:rsidRPr="00221C89" w:rsidRDefault="00B10778" w:rsidP="00161F07">
      <w:pPr>
        <w:spacing w:after="0" w:line="240" w:lineRule="auto"/>
        <w:jc w:val="both"/>
        <w:rPr>
          <w:rFonts w:ascii="Times New Roman" w:hAnsi="Times New Roman" w:cs="Times New Roman"/>
          <w:sz w:val="24"/>
          <w:szCs w:val="24"/>
        </w:rPr>
      </w:pPr>
    </w:p>
    <w:p w14:paraId="2954FD5C" w14:textId="101D794B" w:rsidR="0092244D" w:rsidRPr="00221C89" w:rsidRDefault="0092244D" w:rsidP="00161F07">
      <w:pPr>
        <w:spacing w:after="0" w:line="240" w:lineRule="auto"/>
        <w:ind w:left="720" w:right="720"/>
        <w:jc w:val="both"/>
        <w:rPr>
          <w:rFonts w:ascii="Times New Roman" w:hAnsi="Times New Roman" w:cs="Times New Roman"/>
          <w:sz w:val="24"/>
          <w:szCs w:val="24"/>
        </w:rPr>
      </w:pPr>
      <w:r w:rsidRPr="00221C89">
        <w:rPr>
          <w:rFonts w:ascii="Times New Roman" w:hAnsi="Times New Roman" w:cs="Times New Roman"/>
          <w:sz w:val="24"/>
          <w:szCs w:val="24"/>
        </w:rPr>
        <w:t>“It has been held with general uniformity that the section prohibits not only direct testimony of the survivor that a personal transaction did or did not take place</w:t>
      </w:r>
      <w:r w:rsidR="00952678" w:rsidRPr="00221C89">
        <w:rPr>
          <w:rFonts w:ascii="Times New Roman" w:hAnsi="Times New Roman" w:cs="Times New Roman"/>
          <w:sz w:val="24"/>
          <w:szCs w:val="24"/>
        </w:rPr>
        <w:t>,</w:t>
      </w:r>
      <w:r w:rsidRPr="00221C89">
        <w:rPr>
          <w:rFonts w:ascii="Times New Roman" w:hAnsi="Times New Roman" w:cs="Times New Roman"/>
          <w:sz w:val="24"/>
          <w:szCs w:val="24"/>
        </w:rPr>
        <w:t xml:space="preserve"> and what did or did not occur between the parties, but also every attempt by indirection to prove the same thing, as by negativing  the doing of a particular thing by any other person than the deceased</w:t>
      </w:r>
      <w:r w:rsidR="00952678" w:rsidRPr="00221C89">
        <w:rPr>
          <w:rFonts w:ascii="Times New Roman" w:hAnsi="Times New Roman" w:cs="Times New Roman"/>
          <w:sz w:val="24"/>
          <w:szCs w:val="24"/>
        </w:rPr>
        <w:t>,</w:t>
      </w:r>
      <w:r w:rsidRPr="00221C89">
        <w:rPr>
          <w:rFonts w:ascii="Times New Roman" w:hAnsi="Times New Roman" w:cs="Times New Roman"/>
          <w:sz w:val="24"/>
          <w:szCs w:val="24"/>
        </w:rPr>
        <w:t xml:space="preserve"> or by disconnecting a particular fact from </w:t>
      </w:r>
      <w:r w:rsidRPr="00221C89">
        <w:rPr>
          <w:rFonts w:ascii="Times New Roman" w:hAnsi="Times New Roman" w:cs="Times New Roman"/>
          <w:sz w:val="24"/>
          <w:szCs w:val="24"/>
        </w:rPr>
        <w:lastRenderedPageBreak/>
        <w:t>its surroundings and permitting the survivor to testify to what on its face may seem an independent fact, when in truth it had its origin in or directly resulted from a personal transaction</w:t>
      </w:r>
      <w:r w:rsidR="00693255" w:rsidRPr="00221C89">
        <w:rPr>
          <w:rFonts w:ascii="Times New Roman" w:hAnsi="Times New Roman" w:cs="Times New Roman"/>
          <w:sz w:val="24"/>
          <w:szCs w:val="24"/>
        </w:rPr>
        <w:t>.</w:t>
      </w:r>
      <w:r w:rsidRPr="00221C89">
        <w:rPr>
          <w:rFonts w:ascii="Times New Roman" w:hAnsi="Times New Roman" w:cs="Times New Roman"/>
          <w:sz w:val="24"/>
          <w:szCs w:val="24"/>
        </w:rPr>
        <w:t>”</w:t>
      </w:r>
    </w:p>
    <w:p w14:paraId="043C1A44" w14:textId="77777777" w:rsidR="00B10778" w:rsidRPr="00221C89" w:rsidRDefault="00B10778" w:rsidP="00161F07">
      <w:pPr>
        <w:spacing w:after="0" w:line="240" w:lineRule="auto"/>
        <w:jc w:val="both"/>
        <w:rPr>
          <w:rFonts w:ascii="Times New Roman" w:hAnsi="Times New Roman" w:cs="Times New Roman"/>
          <w:sz w:val="24"/>
          <w:szCs w:val="24"/>
        </w:rPr>
      </w:pPr>
    </w:p>
    <w:p w14:paraId="2E7526F8" w14:textId="090FED95" w:rsidR="006801AE" w:rsidRPr="00221C89" w:rsidRDefault="00161F07" w:rsidP="00161F07">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i/>
          <w:iCs/>
          <w:sz w:val="24"/>
          <w:szCs w:val="24"/>
        </w:rPr>
        <w:tab/>
      </w:r>
      <w:r w:rsidR="006801AE" w:rsidRPr="00221C89">
        <w:rPr>
          <w:rFonts w:ascii="Times New Roman" w:hAnsi="Times New Roman" w:cs="Times New Roman"/>
          <w:i/>
          <w:iCs/>
          <w:sz w:val="24"/>
          <w:szCs w:val="24"/>
        </w:rPr>
        <w:t>Griswold  v Hart</w:t>
      </w:r>
      <w:r w:rsidR="001C4890" w:rsidRPr="00221C89">
        <w:rPr>
          <w:rFonts w:ascii="Times New Roman" w:hAnsi="Times New Roman" w:cs="Times New Roman"/>
          <w:i/>
          <w:iCs/>
          <w:sz w:val="24"/>
          <w:szCs w:val="24"/>
        </w:rPr>
        <w:t xml:space="preserve"> </w:t>
      </w:r>
      <w:r w:rsidR="001C4890" w:rsidRPr="00221C89">
        <w:rPr>
          <w:rFonts w:ascii="Times New Roman" w:hAnsi="Times New Roman" w:cs="Times New Roman"/>
          <w:sz w:val="24"/>
          <w:szCs w:val="24"/>
        </w:rPr>
        <w:t>(</w:t>
      </w:r>
      <w:r w:rsidR="006801AE" w:rsidRPr="00221C89">
        <w:rPr>
          <w:rFonts w:ascii="Times New Roman" w:hAnsi="Times New Roman" w:cs="Times New Roman"/>
          <w:sz w:val="24"/>
          <w:szCs w:val="24"/>
        </w:rPr>
        <w:t>205 NY 384, 3</w:t>
      </w:r>
      <w:r w:rsidR="00952678" w:rsidRPr="00221C89">
        <w:rPr>
          <w:rFonts w:ascii="Times New Roman" w:hAnsi="Times New Roman" w:cs="Times New Roman"/>
          <w:sz w:val="24"/>
          <w:szCs w:val="24"/>
        </w:rPr>
        <w:t>95</w:t>
      </w:r>
      <w:r w:rsidR="006801AE" w:rsidRPr="00221C89">
        <w:rPr>
          <w:rFonts w:ascii="Times New Roman" w:hAnsi="Times New Roman" w:cs="Times New Roman"/>
          <w:sz w:val="24"/>
          <w:szCs w:val="24"/>
        </w:rPr>
        <w:t xml:space="preserve"> [1912]</w:t>
      </w:r>
      <w:r w:rsidR="001C4890"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excluded “the testimony of an interested witness to any knowledge which he has gained by the use of his senses from the personal presence of the deceased</w:t>
      </w:r>
      <w:r w:rsidR="00257A3F" w:rsidRPr="00221C89">
        <w:rPr>
          <w:rFonts w:ascii="Times New Roman" w:hAnsi="Times New Roman" w:cs="Times New Roman"/>
          <w:sz w:val="24"/>
          <w:szCs w:val="24"/>
        </w:rPr>
        <w:t>.</w:t>
      </w:r>
      <w:r w:rsidR="006801AE" w:rsidRPr="00221C89">
        <w:rPr>
          <w:rFonts w:ascii="Times New Roman" w:hAnsi="Times New Roman" w:cs="Times New Roman"/>
          <w:sz w:val="24"/>
          <w:szCs w:val="24"/>
        </w:rPr>
        <w:t>”</w:t>
      </w:r>
      <w:r w:rsidR="00257A3F" w:rsidRPr="00221C89">
        <w:rPr>
          <w:rFonts w:ascii="Times New Roman" w:hAnsi="Times New Roman" w:cs="Times New Roman"/>
          <w:sz w:val="24"/>
          <w:szCs w:val="24"/>
        </w:rPr>
        <w:t xml:space="preserve"> </w:t>
      </w:r>
      <w:r w:rsidR="0032657D" w:rsidRPr="00221C89">
        <w:rPr>
          <w:rFonts w:ascii="Times New Roman" w:hAnsi="Times New Roman" w:cs="Times New Roman"/>
          <w:sz w:val="24"/>
          <w:szCs w:val="24"/>
        </w:rPr>
        <w:t>(</w:t>
      </w:r>
      <w:r w:rsidR="00DA09F3" w:rsidRPr="00221C89">
        <w:rPr>
          <w:rFonts w:ascii="Times New Roman" w:hAnsi="Times New Roman" w:cs="Times New Roman"/>
          <w:i/>
          <w:sz w:val="24"/>
          <w:szCs w:val="24"/>
        </w:rPr>
        <w:t>See</w:t>
      </w:r>
      <w:r w:rsidR="00DA09F3" w:rsidRPr="00221C89">
        <w:rPr>
          <w:rFonts w:ascii="Times New Roman" w:hAnsi="Times New Roman" w:cs="Times New Roman"/>
          <w:b/>
          <w:bCs/>
          <w:sz w:val="24"/>
          <w:szCs w:val="24"/>
        </w:rPr>
        <w:t xml:space="preserve"> </w:t>
      </w:r>
      <w:r w:rsidR="006801AE" w:rsidRPr="00221C89">
        <w:rPr>
          <w:rFonts w:ascii="Times New Roman" w:hAnsi="Times New Roman" w:cs="Times New Roman"/>
          <w:i/>
          <w:iCs/>
          <w:sz w:val="24"/>
          <w:szCs w:val="24"/>
        </w:rPr>
        <w:t>Hadley v Clabeau</w:t>
      </w:r>
      <w:r w:rsidR="006801AE" w:rsidRPr="00221C89">
        <w:rPr>
          <w:rFonts w:ascii="Times New Roman" w:hAnsi="Times New Roman" w:cs="Times New Roman"/>
          <w:iCs/>
          <w:sz w:val="24"/>
          <w:szCs w:val="24"/>
        </w:rPr>
        <w:t>,</w:t>
      </w:r>
      <w:r w:rsidR="006801AE" w:rsidRPr="00221C89">
        <w:rPr>
          <w:rFonts w:ascii="Times New Roman" w:hAnsi="Times New Roman" w:cs="Times New Roman"/>
          <w:sz w:val="24"/>
          <w:szCs w:val="24"/>
        </w:rPr>
        <w:t xml:space="preserve"> 140 Misc</w:t>
      </w:r>
      <w:r w:rsidR="00952678"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2d 994 </w:t>
      </w:r>
      <w:r w:rsidR="0038090D" w:rsidRPr="00221C89">
        <w:rPr>
          <w:rFonts w:ascii="Times New Roman" w:hAnsi="Times New Roman" w:cs="Times New Roman"/>
          <w:sz w:val="24"/>
          <w:szCs w:val="24"/>
        </w:rPr>
        <w:t>[</w:t>
      </w:r>
      <w:r w:rsidR="006801AE" w:rsidRPr="00221C89">
        <w:rPr>
          <w:rFonts w:ascii="Times New Roman" w:hAnsi="Times New Roman" w:cs="Times New Roman"/>
          <w:sz w:val="24"/>
          <w:szCs w:val="24"/>
        </w:rPr>
        <w:t>Sup Ct</w:t>
      </w:r>
      <w:r w:rsidR="0038090D" w:rsidRPr="00221C89">
        <w:rPr>
          <w:rFonts w:ascii="Times New Roman" w:hAnsi="Times New Roman" w:cs="Times New Roman"/>
          <w:sz w:val="24"/>
          <w:szCs w:val="24"/>
        </w:rPr>
        <w:t>, Cattaraugus County</w:t>
      </w:r>
      <w:r w:rsidR="006801AE" w:rsidRPr="00221C89">
        <w:rPr>
          <w:rFonts w:ascii="Times New Roman" w:hAnsi="Times New Roman" w:cs="Times New Roman"/>
          <w:sz w:val="24"/>
          <w:szCs w:val="24"/>
        </w:rPr>
        <w:t xml:space="preserve"> 1988]</w:t>
      </w:r>
      <w:r w:rsidR="00952678"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w:t>
      </w:r>
      <w:r w:rsidR="006801AE" w:rsidRPr="00221C89">
        <w:rPr>
          <w:rFonts w:ascii="Times New Roman" w:hAnsi="Times New Roman" w:cs="Times New Roman"/>
          <w:i/>
          <w:iCs/>
          <w:sz w:val="24"/>
          <w:szCs w:val="24"/>
        </w:rPr>
        <w:t>af</w:t>
      </w:r>
      <w:r w:rsidR="00A44661" w:rsidRPr="00221C89">
        <w:rPr>
          <w:rFonts w:ascii="Times New Roman" w:hAnsi="Times New Roman" w:cs="Times New Roman"/>
          <w:i/>
          <w:iCs/>
          <w:sz w:val="24"/>
          <w:szCs w:val="24"/>
        </w:rPr>
        <w:t>fd</w:t>
      </w:r>
      <w:r w:rsidR="00A44661" w:rsidRPr="00221C89">
        <w:rPr>
          <w:rFonts w:ascii="Times New Roman" w:hAnsi="Times New Roman" w:cs="Times New Roman"/>
          <w:sz w:val="24"/>
          <w:szCs w:val="24"/>
        </w:rPr>
        <w:t xml:space="preserve"> </w:t>
      </w:r>
      <w:r w:rsidR="00474C13" w:rsidRPr="00221C89">
        <w:rPr>
          <w:rFonts w:ascii="Times New Roman" w:hAnsi="Times New Roman" w:cs="Times New Roman"/>
          <w:sz w:val="24"/>
          <w:szCs w:val="24"/>
        </w:rPr>
        <w:t>1</w:t>
      </w:r>
      <w:r w:rsidR="006801AE" w:rsidRPr="00221C89">
        <w:rPr>
          <w:rFonts w:ascii="Times New Roman" w:hAnsi="Times New Roman" w:cs="Times New Roman"/>
          <w:sz w:val="24"/>
          <w:szCs w:val="24"/>
        </w:rPr>
        <w:t>61 AD</w:t>
      </w:r>
      <w:r w:rsidR="00952678" w:rsidRPr="00221C89">
        <w:rPr>
          <w:rFonts w:ascii="Times New Roman" w:hAnsi="Times New Roman" w:cs="Times New Roman"/>
          <w:sz w:val="24"/>
          <w:szCs w:val="24"/>
        </w:rPr>
        <w:t>2d</w:t>
      </w:r>
      <w:r w:rsidR="00A44661"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1141</w:t>
      </w:r>
      <w:r w:rsidR="00A44661"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[4</w:t>
      </w:r>
      <w:r w:rsidR="00952678" w:rsidRPr="00221C89">
        <w:rPr>
          <w:rFonts w:ascii="Times New Roman" w:hAnsi="Times New Roman" w:cs="Times New Roman"/>
          <w:sz w:val="24"/>
          <w:szCs w:val="24"/>
        </w:rPr>
        <w:t xml:space="preserve">th </w:t>
      </w:r>
      <w:r w:rsidR="006801AE" w:rsidRPr="00221C89">
        <w:rPr>
          <w:rFonts w:ascii="Times New Roman" w:hAnsi="Times New Roman" w:cs="Times New Roman"/>
          <w:sz w:val="24"/>
          <w:szCs w:val="24"/>
        </w:rPr>
        <w:t>Dept 1990]</w:t>
      </w:r>
      <w:r w:rsidR="00601659" w:rsidRPr="00221C89">
        <w:rPr>
          <w:rFonts w:ascii="Times New Roman" w:hAnsi="Times New Roman" w:cs="Times New Roman"/>
          <w:sz w:val="24"/>
          <w:szCs w:val="24"/>
        </w:rPr>
        <w:t xml:space="preserve"> [</w:t>
      </w:r>
      <w:r w:rsidR="00A42ACE" w:rsidRPr="00221C89">
        <w:rPr>
          <w:rFonts w:ascii="Times New Roman" w:hAnsi="Times New Roman" w:cs="Times New Roman"/>
          <w:sz w:val="24"/>
          <w:szCs w:val="24"/>
        </w:rPr>
        <w:t>i</w:t>
      </w:r>
      <w:r w:rsidR="00601659" w:rsidRPr="00221C89">
        <w:rPr>
          <w:rFonts w:ascii="Times New Roman" w:hAnsi="Times New Roman" w:cs="Times New Roman"/>
          <w:sz w:val="24"/>
          <w:szCs w:val="24"/>
        </w:rPr>
        <w:t xml:space="preserve">n a dispute over a faulty deed description, </w:t>
      </w:r>
      <w:r w:rsidR="00313A87" w:rsidRPr="00221C89">
        <w:rPr>
          <w:rFonts w:ascii="Times New Roman" w:hAnsi="Times New Roman" w:cs="Times New Roman"/>
          <w:sz w:val="24"/>
          <w:szCs w:val="24"/>
        </w:rPr>
        <w:t xml:space="preserve">the </w:t>
      </w:r>
      <w:r w:rsidR="00601659" w:rsidRPr="00221C89">
        <w:rPr>
          <w:rFonts w:ascii="Times New Roman" w:hAnsi="Times New Roman" w:cs="Times New Roman"/>
          <w:sz w:val="24"/>
          <w:szCs w:val="24"/>
        </w:rPr>
        <w:t>widow of deceased</w:t>
      </w:r>
      <w:r w:rsidR="00B160AC" w:rsidRPr="00221C89">
        <w:rPr>
          <w:rFonts w:ascii="Times New Roman" w:hAnsi="Times New Roman" w:cs="Times New Roman"/>
          <w:sz w:val="24"/>
          <w:szCs w:val="24"/>
        </w:rPr>
        <w:t>-</w:t>
      </w:r>
      <w:r w:rsidR="00601659" w:rsidRPr="00221C89">
        <w:rPr>
          <w:rFonts w:ascii="Times New Roman" w:hAnsi="Times New Roman" w:cs="Times New Roman"/>
          <w:sz w:val="24"/>
          <w:szCs w:val="24"/>
        </w:rPr>
        <w:t>seller was barred by statute from testifying to her observation of her husband taking measurements along a natural boundary as evidence of the property he intended to convey]</w:t>
      </w:r>
      <w:r w:rsidR="00952678" w:rsidRPr="00221C89">
        <w:rPr>
          <w:rFonts w:ascii="Times New Roman" w:hAnsi="Times New Roman" w:cs="Times New Roman"/>
          <w:sz w:val="24"/>
          <w:szCs w:val="24"/>
        </w:rPr>
        <w:t>.</w:t>
      </w:r>
      <w:r w:rsidR="0032657D" w:rsidRPr="00221C89">
        <w:rPr>
          <w:rFonts w:ascii="Times New Roman" w:hAnsi="Times New Roman" w:cs="Times New Roman"/>
          <w:sz w:val="24"/>
          <w:szCs w:val="24"/>
        </w:rPr>
        <w:t>)</w:t>
      </w:r>
    </w:p>
    <w:p w14:paraId="6F5FE2BC" w14:textId="77777777" w:rsidR="00B10778" w:rsidRPr="00221C89" w:rsidRDefault="00B10778" w:rsidP="00161F07">
      <w:pPr>
        <w:spacing w:after="0" w:line="240" w:lineRule="auto"/>
        <w:jc w:val="both"/>
        <w:rPr>
          <w:rFonts w:ascii="Times New Roman" w:hAnsi="Times New Roman" w:cs="Times New Roman"/>
          <w:sz w:val="24"/>
          <w:szCs w:val="24"/>
        </w:rPr>
      </w:pPr>
    </w:p>
    <w:p w14:paraId="56F78041" w14:textId="513C4DA2" w:rsidR="006801AE" w:rsidRPr="00221C89" w:rsidRDefault="00161F07" w:rsidP="00161F07">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bCs/>
          <w:i/>
          <w:sz w:val="24"/>
          <w:szCs w:val="24"/>
        </w:rPr>
        <w:tab/>
      </w:r>
      <w:r w:rsidR="007B4829" w:rsidRPr="00221C89">
        <w:rPr>
          <w:rFonts w:ascii="Times New Roman" w:hAnsi="Times New Roman" w:cs="Times New Roman"/>
          <w:bCs/>
          <w:i/>
          <w:sz w:val="24"/>
          <w:szCs w:val="24"/>
        </w:rPr>
        <w:t>On the other hand</w:t>
      </w:r>
      <w:r w:rsidR="007B4829" w:rsidRPr="00221C89">
        <w:rPr>
          <w:rFonts w:ascii="Times New Roman" w:hAnsi="Times New Roman" w:cs="Times New Roman"/>
          <w:bCs/>
          <w:sz w:val="24"/>
          <w:szCs w:val="24"/>
        </w:rPr>
        <w:t>,</w:t>
      </w:r>
      <w:r w:rsidR="007B4829" w:rsidRPr="00221C89">
        <w:rPr>
          <w:rFonts w:ascii="Times New Roman" w:hAnsi="Times New Roman" w:cs="Times New Roman"/>
          <w:sz w:val="24"/>
          <w:szCs w:val="24"/>
        </w:rPr>
        <w:t xml:space="preserve"> </w:t>
      </w:r>
      <w:r w:rsidR="00E94D3A" w:rsidRPr="00221C89">
        <w:rPr>
          <w:rFonts w:ascii="Times New Roman" w:hAnsi="Times New Roman" w:cs="Times New Roman"/>
          <w:sz w:val="24"/>
          <w:szCs w:val="24"/>
        </w:rPr>
        <w:t xml:space="preserve">in </w:t>
      </w:r>
      <w:r w:rsidR="006801AE" w:rsidRPr="00221C89">
        <w:rPr>
          <w:rFonts w:ascii="Times New Roman" w:hAnsi="Times New Roman" w:cs="Times New Roman"/>
          <w:sz w:val="24"/>
          <w:szCs w:val="24"/>
        </w:rPr>
        <w:t>an action against the representative of a deceased joint tenant of joint savings accounts the Appellate Division</w:t>
      </w:r>
      <w:r w:rsidR="00E84212"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held that the surviving joint tenant could testify to her intent in opening the account. The </w:t>
      </w:r>
      <w:r w:rsidR="00E94D3A" w:rsidRPr="00221C89">
        <w:rPr>
          <w:rFonts w:ascii="Times New Roman" w:hAnsi="Times New Roman" w:cs="Times New Roman"/>
          <w:sz w:val="24"/>
          <w:szCs w:val="24"/>
        </w:rPr>
        <w:t>C</w:t>
      </w:r>
      <w:r w:rsidR="006801AE" w:rsidRPr="00221C89">
        <w:rPr>
          <w:rFonts w:ascii="Times New Roman" w:hAnsi="Times New Roman" w:cs="Times New Roman"/>
          <w:sz w:val="24"/>
          <w:szCs w:val="24"/>
        </w:rPr>
        <w:t xml:space="preserve">ourt found that her testimony was to the fact of her intent, not a communication with the decedent  </w:t>
      </w:r>
      <w:r w:rsidR="005E2A44" w:rsidRPr="00221C89">
        <w:rPr>
          <w:rFonts w:ascii="Times New Roman" w:hAnsi="Times New Roman" w:cs="Times New Roman"/>
          <w:sz w:val="24"/>
          <w:szCs w:val="24"/>
        </w:rPr>
        <w:t>(</w:t>
      </w:r>
      <w:r w:rsidR="006801AE" w:rsidRPr="00221C89">
        <w:rPr>
          <w:rFonts w:ascii="Times New Roman" w:hAnsi="Times New Roman" w:cs="Times New Roman"/>
          <w:i/>
          <w:iCs/>
          <w:sz w:val="24"/>
          <w:szCs w:val="24"/>
        </w:rPr>
        <w:t>Brezinski v Brezinski</w:t>
      </w:r>
      <w:r w:rsidR="005E2A44" w:rsidRPr="00221C89">
        <w:rPr>
          <w:rFonts w:ascii="Times New Roman" w:hAnsi="Times New Roman" w:cs="Times New Roman"/>
          <w:iCs/>
          <w:sz w:val="24"/>
          <w:szCs w:val="24"/>
        </w:rPr>
        <w:t>,</w:t>
      </w:r>
      <w:r w:rsidR="006801AE" w:rsidRPr="00221C89">
        <w:rPr>
          <w:rFonts w:ascii="Times New Roman" w:hAnsi="Times New Roman" w:cs="Times New Roman"/>
          <w:sz w:val="24"/>
          <w:szCs w:val="24"/>
        </w:rPr>
        <w:t xml:space="preserve"> 84 AD2d 464 [</w:t>
      </w:r>
      <w:r w:rsidR="005E2A44" w:rsidRPr="00221C89">
        <w:rPr>
          <w:rFonts w:ascii="Times New Roman" w:hAnsi="Times New Roman" w:cs="Times New Roman"/>
          <w:sz w:val="24"/>
          <w:szCs w:val="24"/>
        </w:rPr>
        <w:t>4</w:t>
      </w:r>
      <w:r w:rsidR="00952678" w:rsidRPr="00221C89">
        <w:rPr>
          <w:rFonts w:ascii="Times New Roman" w:hAnsi="Times New Roman" w:cs="Times New Roman"/>
          <w:sz w:val="24"/>
          <w:szCs w:val="24"/>
        </w:rPr>
        <w:t>th</w:t>
      </w:r>
      <w:r w:rsidR="005E2A44" w:rsidRPr="00221C89">
        <w:rPr>
          <w:rFonts w:ascii="Times New Roman" w:hAnsi="Times New Roman" w:cs="Times New Roman"/>
          <w:sz w:val="24"/>
          <w:szCs w:val="24"/>
        </w:rPr>
        <w:t xml:space="preserve"> Dept</w:t>
      </w:r>
      <w:r w:rsidR="006801AE" w:rsidRPr="00221C89">
        <w:rPr>
          <w:rFonts w:ascii="Times New Roman" w:hAnsi="Times New Roman" w:cs="Times New Roman"/>
          <w:sz w:val="24"/>
          <w:szCs w:val="24"/>
        </w:rPr>
        <w:t xml:space="preserve"> 1982]</w:t>
      </w:r>
      <w:r w:rsidR="00606A75" w:rsidRPr="00221C89">
        <w:rPr>
          <w:rFonts w:ascii="Times New Roman" w:hAnsi="Times New Roman" w:cs="Times New Roman"/>
          <w:sz w:val="24"/>
          <w:szCs w:val="24"/>
        </w:rPr>
        <w:t>)</w:t>
      </w:r>
      <w:r w:rsidR="005E2A44" w:rsidRPr="00221C89">
        <w:rPr>
          <w:rFonts w:ascii="Times New Roman" w:hAnsi="Times New Roman" w:cs="Times New Roman"/>
          <w:sz w:val="24"/>
          <w:szCs w:val="24"/>
        </w:rPr>
        <w:t>.</w:t>
      </w:r>
    </w:p>
    <w:p w14:paraId="6F3E1424" w14:textId="77777777" w:rsidR="00B10778" w:rsidRPr="00221C89" w:rsidRDefault="00B10778" w:rsidP="00161F07">
      <w:pPr>
        <w:spacing w:after="0" w:line="240" w:lineRule="auto"/>
        <w:jc w:val="both"/>
        <w:rPr>
          <w:rFonts w:ascii="Times New Roman" w:hAnsi="Times New Roman" w:cs="Times New Roman"/>
          <w:sz w:val="24"/>
          <w:szCs w:val="24"/>
        </w:rPr>
      </w:pPr>
    </w:p>
    <w:p w14:paraId="700017E6" w14:textId="3B978A09" w:rsidR="006801AE" w:rsidRPr="00221C89" w:rsidRDefault="008E60D4" w:rsidP="00CE66C6">
      <w:pPr>
        <w:spacing w:after="0" w:line="240" w:lineRule="auto"/>
        <w:jc w:val="both"/>
        <w:rPr>
          <w:rFonts w:ascii="Times New Roman" w:hAnsi="Times New Roman" w:cs="Times New Roman"/>
          <w:b/>
          <w:bCs/>
          <w:sz w:val="24"/>
          <w:szCs w:val="24"/>
        </w:rPr>
      </w:pPr>
      <w:r w:rsidRPr="00221C89">
        <w:rPr>
          <w:rFonts w:ascii="Times New Roman" w:hAnsi="Times New Roman" w:cs="Times New Roman"/>
          <w:b/>
          <w:bCs/>
          <w:sz w:val="24"/>
          <w:szCs w:val="24"/>
        </w:rPr>
        <w:t>An e</w:t>
      </w:r>
      <w:r w:rsidR="004C0337" w:rsidRPr="00221C89">
        <w:rPr>
          <w:rFonts w:ascii="Times New Roman" w:hAnsi="Times New Roman" w:cs="Times New Roman"/>
          <w:b/>
          <w:bCs/>
          <w:sz w:val="24"/>
          <w:szCs w:val="24"/>
        </w:rPr>
        <w:t>xception</w:t>
      </w:r>
      <w:r w:rsidR="006F1870" w:rsidRPr="00221C89">
        <w:rPr>
          <w:rFonts w:ascii="Times New Roman" w:hAnsi="Times New Roman" w:cs="Times New Roman"/>
          <w:b/>
          <w:bCs/>
          <w:sz w:val="24"/>
          <w:szCs w:val="24"/>
        </w:rPr>
        <w:t xml:space="preserve"> to the rule</w:t>
      </w:r>
    </w:p>
    <w:p w14:paraId="3F9756E8" w14:textId="77777777" w:rsidR="00B10778" w:rsidRPr="00221C89" w:rsidRDefault="00B10778" w:rsidP="00CE66C6">
      <w:pPr>
        <w:spacing w:after="0" w:line="240" w:lineRule="auto"/>
        <w:jc w:val="both"/>
        <w:rPr>
          <w:rFonts w:ascii="Times New Roman" w:hAnsi="Times New Roman" w:cs="Times New Roman"/>
          <w:b/>
          <w:bCs/>
          <w:sz w:val="24"/>
          <w:szCs w:val="24"/>
        </w:rPr>
      </w:pPr>
    </w:p>
    <w:p w14:paraId="4EA1CE09" w14:textId="7EE8B020" w:rsidR="006801AE" w:rsidRPr="00221C89" w:rsidRDefault="006801AE" w:rsidP="00CE66C6">
      <w:pPr>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t xml:space="preserve">Testimony </w:t>
      </w:r>
      <w:r w:rsidR="00606A75" w:rsidRPr="00221C89">
        <w:rPr>
          <w:rFonts w:ascii="Times New Roman" w:hAnsi="Times New Roman" w:cs="Times New Roman"/>
          <w:sz w:val="24"/>
          <w:szCs w:val="24"/>
        </w:rPr>
        <w:t xml:space="preserve">is </w:t>
      </w:r>
      <w:r w:rsidRPr="00221C89">
        <w:rPr>
          <w:rFonts w:ascii="Times New Roman" w:hAnsi="Times New Roman" w:cs="Times New Roman"/>
          <w:sz w:val="24"/>
          <w:szCs w:val="24"/>
        </w:rPr>
        <w:t xml:space="preserve">barred </w:t>
      </w:r>
      <w:r w:rsidR="009B1926" w:rsidRPr="00221C89">
        <w:rPr>
          <w:rFonts w:ascii="Times New Roman" w:hAnsi="Times New Roman" w:cs="Times New Roman"/>
          <w:sz w:val="24"/>
          <w:szCs w:val="24"/>
        </w:rPr>
        <w:t>“</w:t>
      </w:r>
      <w:r w:rsidRPr="00221C89">
        <w:rPr>
          <w:rFonts w:ascii="Times New Roman" w:hAnsi="Times New Roman" w:cs="Times New Roman"/>
          <w:sz w:val="24"/>
          <w:szCs w:val="24"/>
        </w:rPr>
        <w:t>except where the executor</w:t>
      </w:r>
      <w:r w:rsidR="00C22DF4" w:rsidRPr="00221C89">
        <w:rPr>
          <w:rFonts w:ascii="Times New Roman" w:hAnsi="Times New Roman" w:cs="Times New Roman"/>
          <w:sz w:val="24"/>
          <w:szCs w:val="24"/>
        </w:rPr>
        <w:t>,</w:t>
      </w:r>
      <w:r w:rsidRPr="00221C89">
        <w:rPr>
          <w:rFonts w:ascii="Times New Roman" w:hAnsi="Times New Roman" w:cs="Times New Roman"/>
          <w:sz w:val="24"/>
          <w:szCs w:val="24"/>
        </w:rPr>
        <w:t xml:space="preserve"> administrator, survivor, committee or person </w:t>
      </w:r>
      <w:r w:rsidR="00C22309" w:rsidRPr="00221C89">
        <w:rPr>
          <w:rFonts w:ascii="Times New Roman" w:hAnsi="Times New Roman" w:cs="Times New Roman"/>
          <w:sz w:val="24"/>
          <w:szCs w:val="24"/>
        </w:rPr>
        <w:t xml:space="preserve">. . . </w:t>
      </w:r>
      <w:r w:rsidRPr="00221C89">
        <w:rPr>
          <w:rFonts w:ascii="Times New Roman" w:hAnsi="Times New Roman" w:cs="Times New Roman"/>
          <w:sz w:val="24"/>
          <w:szCs w:val="24"/>
        </w:rPr>
        <w:t xml:space="preserve">deriving title or interest is examined in his own behalf, or </w:t>
      </w:r>
      <w:bookmarkStart w:id="13" w:name="_Hlk49112977"/>
      <w:r w:rsidRPr="00221C89">
        <w:rPr>
          <w:rFonts w:ascii="Times New Roman" w:hAnsi="Times New Roman" w:cs="Times New Roman"/>
          <w:sz w:val="24"/>
          <w:szCs w:val="24"/>
        </w:rPr>
        <w:t>the testimony of the</w:t>
      </w:r>
      <w:r w:rsidR="00B03219">
        <w:rPr>
          <w:rFonts w:ascii="Times New Roman" w:hAnsi="Times New Roman" w:cs="Times New Roman"/>
          <w:sz w:val="24"/>
          <w:szCs w:val="24"/>
        </w:rPr>
        <w:t xml:space="preserve"> </w:t>
      </w:r>
      <w:r w:rsidRPr="00221C89">
        <w:rPr>
          <w:rFonts w:ascii="Times New Roman" w:hAnsi="Times New Roman" w:cs="Times New Roman"/>
          <w:sz w:val="24"/>
          <w:szCs w:val="24"/>
        </w:rPr>
        <w:t>person</w:t>
      </w:r>
      <w:r w:rsidR="00B03219">
        <w:rPr>
          <w:rFonts w:ascii="Times New Roman" w:hAnsi="Times New Roman" w:cs="Times New Roman"/>
          <w:sz w:val="24"/>
          <w:szCs w:val="24"/>
        </w:rPr>
        <w:t xml:space="preserve"> with a mental illness</w:t>
      </w:r>
      <w:r w:rsidRPr="00221C89">
        <w:rPr>
          <w:rFonts w:ascii="Times New Roman" w:hAnsi="Times New Roman" w:cs="Times New Roman"/>
          <w:sz w:val="24"/>
          <w:szCs w:val="24"/>
        </w:rPr>
        <w:t xml:space="preserve"> or deceased person is given in evidence, concerning the same transaction or communication”</w:t>
      </w:r>
      <w:r w:rsidR="00DE35CC" w:rsidRPr="00221C89">
        <w:rPr>
          <w:rFonts w:ascii="Times New Roman" w:hAnsi="Times New Roman" w:cs="Times New Roman"/>
          <w:sz w:val="24"/>
          <w:szCs w:val="24"/>
        </w:rPr>
        <w:t xml:space="preserve"> </w:t>
      </w:r>
      <w:bookmarkEnd w:id="13"/>
      <w:r w:rsidR="00296F3C" w:rsidRPr="00221C89">
        <w:rPr>
          <w:rFonts w:ascii="Times New Roman" w:hAnsi="Times New Roman" w:cs="Times New Roman"/>
          <w:sz w:val="24"/>
          <w:szCs w:val="24"/>
        </w:rPr>
        <w:t>(CPLR 4519; Guide to NY Evid</w:t>
      </w:r>
      <w:r w:rsidR="00693255" w:rsidRPr="00221C89">
        <w:rPr>
          <w:rFonts w:ascii="Times New Roman" w:hAnsi="Times New Roman" w:cs="Times New Roman"/>
          <w:sz w:val="24"/>
          <w:szCs w:val="24"/>
        </w:rPr>
        <w:t xml:space="preserve"> </w:t>
      </w:r>
      <w:r w:rsidR="00296F3C" w:rsidRPr="00221C89">
        <w:rPr>
          <w:rFonts w:ascii="Times New Roman" w:hAnsi="Times New Roman" w:cs="Times New Roman"/>
          <w:sz w:val="24"/>
          <w:szCs w:val="24"/>
        </w:rPr>
        <w:t>rule 6.02</w:t>
      </w:r>
      <w:r w:rsidR="00693255" w:rsidRPr="00221C89">
        <w:rPr>
          <w:rFonts w:ascii="Times New Roman" w:hAnsi="Times New Roman" w:cs="Times New Roman"/>
          <w:sz w:val="24"/>
          <w:szCs w:val="24"/>
        </w:rPr>
        <w:t>.1</w:t>
      </w:r>
      <w:r w:rsidR="00952678" w:rsidRPr="00221C89">
        <w:rPr>
          <w:rFonts w:ascii="Times New Roman" w:hAnsi="Times New Roman" w:cs="Times New Roman"/>
          <w:sz w:val="24"/>
          <w:szCs w:val="24"/>
        </w:rPr>
        <w:t xml:space="preserve"> </w:t>
      </w:r>
      <w:r w:rsidR="00296F3C" w:rsidRPr="00221C89">
        <w:rPr>
          <w:rFonts w:ascii="Times New Roman" w:hAnsi="Times New Roman" w:cs="Times New Roman"/>
          <w:sz w:val="24"/>
          <w:szCs w:val="24"/>
        </w:rPr>
        <w:t>[1])</w:t>
      </w:r>
      <w:r w:rsidR="00C7784C" w:rsidRPr="00221C89">
        <w:rPr>
          <w:rFonts w:ascii="Times New Roman" w:hAnsi="Times New Roman" w:cs="Times New Roman"/>
          <w:sz w:val="24"/>
          <w:szCs w:val="24"/>
        </w:rPr>
        <w:t>.</w:t>
      </w:r>
    </w:p>
    <w:p w14:paraId="13DB4A04" w14:textId="77777777" w:rsidR="00B10778" w:rsidRPr="00221C89" w:rsidRDefault="00B10778" w:rsidP="00CE66C6">
      <w:pPr>
        <w:spacing w:after="0" w:line="240" w:lineRule="auto"/>
        <w:jc w:val="both"/>
        <w:rPr>
          <w:rFonts w:ascii="Times New Roman" w:hAnsi="Times New Roman" w:cs="Times New Roman"/>
          <w:sz w:val="24"/>
          <w:szCs w:val="24"/>
        </w:rPr>
      </w:pPr>
    </w:p>
    <w:p w14:paraId="0C33AC8D" w14:textId="5B3EC045" w:rsidR="00733922" w:rsidRPr="00221C89" w:rsidRDefault="00161F07" w:rsidP="00161F07">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733922" w:rsidRPr="00221C89">
        <w:rPr>
          <w:rFonts w:ascii="Times New Roman" w:hAnsi="Times New Roman" w:cs="Times New Roman"/>
          <w:sz w:val="24"/>
          <w:szCs w:val="24"/>
        </w:rPr>
        <w:t>Based on that exception, the Appellate Division has ruled that an interested party may introduce  the testimony of the decedent given at a pretrial deposition and then testify at trial to the matters described by the decedent</w:t>
      </w:r>
      <w:r w:rsidR="003C4CC3" w:rsidRPr="00221C89">
        <w:rPr>
          <w:rFonts w:ascii="Times New Roman" w:hAnsi="Times New Roman" w:cs="Times New Roman"/>
          <w:sz w:val="24"/>
          <w:szCs w:val="24"/>
        </w:rPr>
        <w:t xml:space="preserve"> </w:t>
      </w:r>
      <w:r w:rsidR="00733922" w:rsidRPr="00221C89">
        <w:rPr>
          <w:rFonts w:ascii="Times New Roman" w:hAnsi="Times New Roman" w:cs="Times New Roman"/>
          <w:sz w:val="24"/>
          <w:szCs w:val="24"/>
        </w:rPr>
        <w:t>(</w:t>
      </w:r>
      <w:r w:rsidR="00733922" w:rsidRPr="00221C89">
        <w:rPr>
          <w:rFonts w:ascii="Times New Roman" w:hAnsi="Times New Roman" w:cs="Times New Roman"/>
          <w:i/>
          <w:iCs/>
          <w:sz w:val="24"/>
          <w:szCs w:val="24"/>
        </w:rPr>
        <w:t>Tepper v Tannenbaum</w:t>
      </w:r>
      <w:r w:rsidR="00733922" w:rsidRPr="00221C89">
        <w:rPr>
          <w:rFonts w:ascii="Times New Roman" w:hAnsi="Times New Roman" w:cs="Times New Roman"/>
          <w:sz w:val="24"/>
          <w:szCs w:val="24"/>
        </w:rPr>
        <w:t>, 65 AD2d 359 [1</w:t>
      </w:r>
      <w:r w:rsidR="00952678" w:rsidRPr="00221C89">
        <w:rPr>
          <w:rFonts w:ascii="Times New Roman" w:hAnsi="Times New Roman" w:cs="Times New Roman"/>
          <w:sz w:val="24"/>
          <w:szCs w:val="24"/>
        </w:rPr>
        <w:t>st</w:t>
      </w:r>
      <w:r w:rsidR="00952678" w:rsidRPr="00221C89">
        <w:rPr>
          <w:rFonts w:ascii="Times New Roman" w:hAnsi="Times New Roman" w:cs="Times New Roman"/>
          <w:sz w:val="24"/>
          <w:szCs w:val="24"/>
          <w:vertAlign w:val="superscript"/>
        </w:rPr>
        <w:t xml:space="preserve"> </w:t>
      </w:r>
      <w:r w:rsidR="00733922" w:rsidRPr="00221C89">
        <w:rPr>
          <w:rFonts w:ascii="Times New Roman" w:hAnsi="Times New Roman" w:cs="Times New Roman"/>
          <w:sz w:val="24"/>
          <w:szCs w:val="24"/>
        </w:rPr>
        <w:t xml:space="preserve">Dept 1978]; </w:t>
      </w:r>
      <w:r w:rsidR="00733922" w:rsidRPr="00221C89">
        <w:rPr>
          <w:rFonts w:ascii="Times New Roman" w:hAnsi="Times New Roman" w:cs="Times New Roman"/>
          <w:i/>
          <w:iCs/>
          <w:sz w:val="24"/>
          <w:szCs w:val="24"/>
        </w:rPr>
        <w:t>Ward v Kovacs</w:t>
      </w:r>
      <w:r w:rsidR="00733922" w:rsidRPr="00221C89">
        <w:rPr>
          <w:rFonts w:ascii="Times New Roman" w:hAnsi="Times New Roman" w:cs="Times New Roman"/>
          <w:iCs/>
          <w:sz w:val="24"/>
          <w:szCs w:val="24"/>
        </w:rPr>
        <w:t>,</w:t>
      </w:r>
      <w:r w:rsidR="00733922" w:rsidRPr="00221C89">
        <w:rPr>
          <w:rFonts w:ascii="Times New Roman" w:hAnsi="Times New Roman" w:cs="Times New Roman"/>
          <w:sz w:val="24"/>
          <w:szCs w:val="24"/>
        </w:rPr>
        <w:t xml:space="preserve"> 55 AD2d 391 [2</w:t>
      </w:r>
      <w:r w:rsidR="00952678" w:rsidRPr="00221C89">
        <w:rPr>
          <w:rFonts w:ascii="Times New Roman" w:hAnsi="Times New Roman" w:cs="Times New Roman"/>
          <w:sz w:val="24"/>
          <w:szCs w:val="24"/>
        </w:rPr>
        <w:t>d</w:t>
      </w:r>
      <w:r w:rsidR="00733922" w:rsidRPr="00221C89">
        <w:rPr>
          <w:rFonts w:ascii="Times New Roman" w:hAnsi="Times New Roman" w:cs="Times New Roman"/>
          <w:sz w:val="24"/>
          <w:szCs w:val="24"/>
        </w:rPr>
        <w:t xml:space="preserve"> Dept 1977]</w:t>
      </w:r>
      <w:r w:rsidR="00E94D3A" w:rsidRPr="00221C89">
        <w:rPr>
          <w:rFonts w:ascii="Times New Roman" w:hAnsi="Times New Roman" w:cs="Times New Roman"/>
          <w:sz w:val="24"/>
          <w:szCs w:val="24"/>
        </w:rPr>
        <w:t>)</w:t>
      </w:r>
      <w:r w:rsidR="00733922" w:rsidRPr="00221C89">
        <w:rPr>
          <w:rFonts w:ascii="Times New Roman" w:hAnsi="Times New Roman" w:cs="Times New Roman"/>
          <w:sz w:val="24"/>
          <w:szCs w:val="24"/>
        </w:rPr>
        <w:t>.</w:t>
      </w:r>
    </w:p>
    <w:p w14:paraId="1D9495AF" w14:textId="77777777" w:rsidR="00B10778" w:rsidRPr="00221C89" w:rsidRDefault="00B10778" w:rsidP="00161F07">
      <w:pPr>
        <w:spacing w:after="0" w:line="240" w:lineRule="auto"/>
        <w:jc w:val="both"/>
        <w:rPr>
          <w:rFonts w:ascii="Times New Roman" w:hAnsi="Times New Roman" w:cs="Times New Roman"/>
          <w:sz w:val="24"/>
          <w:szCs w:val="24"/>
        </w:rPr>
      </w:pPr>
    </w:p>
    <w:p w14:paraId="12F239E9" w14:textId="61F0AE06" w:rsidR="00690001" w:rsidRPr="00221C89" w:rsidRDefault="00161F07" w:rsidP="00161F07">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3902EC" w:rsidRPr="00221C89">
        <w:rPr>
          <w:rFonts w:ascii="Times New Roman" w:hAnsi="Times New Roman" w:cs="Times New Roman"/>
          <w:sz w:val="24"/>
          <w:szCs w:val="24"/>
        </w:rPr>
        <w:t xml:space="preserve">In addition to </w:t>
      </w:r>
      <w:r w:rsidR="00535685" w:rsidRPr="00221C89">
        <w:rPr>
          <w:rFonts w:ascii="Times New Roman" w:hAnsi="Times New Roman" w:cs="Times New Roman"/>
          <w:sz w:val="24"/>
          <w:szCs w:val="24"/>
        </w:rPr>
        <w:t xml:space="preserve">the introduction of a pretrial </w:t>
      </w:r>
      <w:r w:rsidR="00A6517F" w:rsidRPr="00221C89">
        <w:rPr>
          <w:rFonts w:ascii="Times New Roman" w:hAnsi="Times New Roman" w:cs="Times New Roman"/>
          <w:sz w:val="24"/>
          <w:szCs w:val="24"/>
        </w:rPr>
        <w:t xml:space="preserve">deposition, the exception for the introduction in evidence of the </w:t>
      </w:r>
      <w:r w:rsidR="00EA1A3E" w:rsidRPr="00221C89">
        <w:rPr>
          <w:rFonts w:ascii="Times New Roman" w:hAnsi="Times New Roman" w:cs="Times New Roman"/>
          <w:sz w:val="24"/>
          <w:szCs w:val="24"/>
        </w:rPr>
        <w:t>“</w:t>
      </w:r>
      <w:r w:rsidR="00A6517F" w:rsidRPr="00221C89">
        <w:rPr>
          <w:rFonts w:ascii="Times New Roman" w:hAnsi="Times New Roman" w:cs="Times New Roman"/>
          <w:sz w:val="24"/>
          <w:szCs w:val="24"/>
        </w:rPr>
        <w:t xml:space="preserve">testimony of the mentally ill person or deceased person </w:t>
      </w:r>
      <w:r w:rsidR="00EA1A3E" w:rsidRPr="00221C89">
        <w:rPr>
          <w:rFonts w:ascii="Times New Roman" w:hAnsi="Times New Roman" w:cs="Times New Roman"/>
          <w:sz w:val="24"/>
          <w:szCs w:val="24"/>
        </w:rPr>
        <w:t>. . .</w:t>
      </w:r>
      <w:r w:rsidR="00A6517F" w:rsidRPr="00221C89">
        <w:rPr>
          <w:rFonts w:ascii="Times New Roman" w:hAnsi="Times New Roman" w:cs="Times New Roman"/>
          <w:sz w:val="24"/>
          <w:szCs w:val="24"/>
        </w:rPr>
        <w:t xml:space="preserve"> concerning the same transaction or communication” </w:t>
      </w:r>
      <w:r w:rsidR="00C96F65" w:rsidRPr="00221C89">
        <w:rPr>
          <w:rFonts w:ascii="Times New Roman" w:hAnsi="Times New Roman" w:cs="Times New Roman"/>
          <w:sz w:val="24"/>
          <w:szCs w:val="24"/>
        </w:rPr>
        <w:t>may</w:t>
      </w:r>
      <w:r w:rsidR="00A6517F" w:rsidRPr="00221C89">
        <w:rPr>
          <w:rFonts w:ascii="Times New Roman" w:hAnsi="Times New Roman" w:cs="Times New Roman"/>
          <w:sz w:val="24"/>
          <w:szCs w:val="24"/>
        </w:rPr>
        <w:t xml:space="preserve"> </w:t>
      </w:r>
      <w:r w:rsidR="009A32D9" w:rsidRPr="00221C89">
        <w:rPr>
          <w:rFonts w:ascii="Times New Roman" w:hAnsi="Times New Roman" w:cs="Times New Roman"/>
          <w:sz w:val="24"/>
          <w:szCs w:val="24"/>
        </w:rPr>
        <w:t xml:space="preserve">allow </w:t>
      </w:r>
      <w:r w:rsidR="005027D7" w:rsidRPr="00221C89">
        <w:rPr>
          <w:rFonts w:ascii="Times New Roman" w:hAnsi="Times New Roman" w:cs="Times New Roman"/>
          <w:sz w:val="24"/>
          <w:szCs w:val="24"/>
        </w:rPr>
        <w:t xml:space="preserve">the </w:t>
      </w:r>
      <w:r w:rsidR="00BD7596" w:rsidRPr="00221C89">
        <w:rPr>
          <w:rFonts w:ascii="Times New Roman" w:hAnsi="Times New Roman" w:cs="Times New Roman"/>
          <w:sz w:val="24"/>
          <w:szCs w:val="24"/>
        </w:rPr>
        <w:t>“</w:t>
      </w:r>
      <w:r w:rsidR="005027D7" w:rsidRPr="00221C89">
        <w:rPr>
          <w:rFonts w:ascii="Times New Roman" w:hAnsi="Times New Roman" w:cs="Times New Roman"/>
          <w:sz w:val="24"/>
          <w:szCs w:val="24"/>
        </w:rPr>
        <w:t>use of an interested witness's testimony from a former proceeding or deposition in which the witness and the decedent were adverse parties and the subject matter was essentially the same, thereby insuring that an adequate opportunity for relevant cross-examination of the witness was afforded.  Such former testimony is hearsay, but it may fall within one or another hearsay exception for the testimony of a witness who has become unavailable for some reason, here the incompetency of the witness due to the adverse party's death.</w:t>
      </w:r>
      <w:r w:rsidR="00ED4694" w:rsidRPr="00221C89">
        <w:rPr>
          <w:rFonts w:ascii="Times New Roman" w:hAnsi="Times New Roman" w:cs="Times New Roman"/>
          <w:sz w:val="24"/>
          <w:szCs w:val="24"/>
        </w:rPr>
        <w:t xml:space="preserve">” </w:t>
      </w:r>
      <w:r w:rsidR="0030498D" w:rsidRPr="00221C89">
        <w:rPr>
          <w:rFonts w:ascii="Times New Roman" w:hAnsi="Times New Roman" w:cs="Times New Roman"/>
          <w:sz w:val="24"/>
          <w:szCs w:val="24"/>
        </w:rPr>
        <w:t>(</w:t>
      </w:r>
      <w:r w:rsidR="00ED4694" w:rsidRPr="00221C89">
        <w:rPr>
          <w:rFonts w:ascii="Times New Roman" w:hAnsi="Times New Roman" w:cs="Times New Roman"/>
          <w:sz w:val="24"/>
          <w:szCs w:val="24"/>
        </w:rPr>
        <w:t>Alexander, Practice Commentar</w:t>
      </w:r>
      <w:r w:rsidR="0030498D" w:rsidRPr="00221C89">
        <w:rPr>
          <w:rFonts w:ascii="Times New Roman" w:hAnsi="Times New Roman" w:cs="Times New Roman"/>
          <w:sz w:val="24"/>
          <w:szCs w:val="24"/>
        </w:rPr>
        <w:t>ies</w:t>
      </w:r>
      <w:r w:rsidR="00ED4694" w:rsidRPr="00221C89">
        <w:rPr>
          <w:rFonts w:ascii="Times New Roman" w:hAnsi="Times New Roman" w:cs="Times New Roman"/>
          <w:sz w:val="24"/>
          <w:szCs w:val="24"/>
        </w:rPr>
        <w:t xml:space="preserve">, CPLR </w:t>
      </w:r>
      <w:r w:rsidR="0030498D" w:rsidRPr="00221C89">
        <w:rPr>
          <w:rFonts w:ascii="Times New Roman" w:hAnsi="Times New Roman" w:cs="Times New Roman"/>
          <w:sz w:val="24"/>
          <w:szCs w:val="24"/>
        </w:rPr>
        <w:t>C</w:t>
      </w:r>
      <w:r w:rsidR="00ED4694" w:rsidRPr="00221C89">
        <w:rPr>
          <w:rFonts w:ascii="Times New Roman" w:hAnsi="Times New Roman" w:cs="Times New Roman"/>
          <w:sz w:val="24"/>
          <w:szCs w:val="24"/>
        </w:rPr>
        <w:t>4519:</w:t>
      </w:r>
      <w:r w:rsidR="00433FBD" w:rsidRPr="00221C89">
        <w:rPr>
          <w:rFonts w:ascii="Times New Roman" w:hAnsi="Times New Roman" w:cs="Times New Roman"/>
          <w:sz w:val="24"/>
          <w:szCs w:val="24"/>
        </w:rPr>
        <w:t>5</w:t>
      </w:r>
      <w:r w:rsidR="0030498D" w:rsidRPr="00221C89">
        <w:rPr>
          <w:rFonts w:ascii="Times New Roman" w:hAnsi="Times New Roman" w:cs="Times New Roman"/>
          <w:sz w:val="24"/>
          <w:szCs w:val="24"/>
        </w:rPr>
        <w:t xml:space="preserve"> [</w:t>
      </w:r>
      <w:r w:rsidR="00433FBD" w:rsidRPr="00221C89">
        <w:rPr>
          <w:rFonts w:ascii="Times New Roman" w:hAnsi="Times New Roman" w:cs="Times New Roman"/>
          <w:sz w:val="24"/>
          <w:szCs w:val="24"/>
        </w:rPr>
        <w:t>b</w:t>
      </w:r>
      <w:r w:rsidR="0030498D" w:rsidRPr="00221C89">
        <w:rPr>
          <w:rFonts w:ascii="Times New Roman" w:hAnsi="Times New Roman" w:cs="Times New Roman"/>
          <w:sz w:val="24"/>
          <w:szCs w:val="24"/>
        </w:rPr>
        <w:t>].</w:t>
      </w:r>
      <w:r w:rsidR="00433FBD" w:rsidRPr="00221C89">
        <w:rPr>
          <w:rFonts w:ascii="Times New Roman" w:hAnsi="Times New Roman" w:cs="Times New Roman"/>
          <w:sz w:val="24"/>
          <w:szCs w:val="24"/>
        </w:rPr>
        <w:t>)</w:t>
      </w:r>
    </w:p>
    <w:p w14:paraId="581602DB" w14:textId="77777777" w:rsidR="00B10778" w:rsidRPr="00221C89" w:rsidRDefault="00B10778" w:rsidP="00161F07">
      <w:pPr>
        <w:spacing w:after="0" w:line="240" w:lineRule="auto"/>
        <w:jc w:val="both"/>
        <w:rPr>
          <w:rFonts w:ascii="Times New Roman" w:hAnsi="Times New Roman" w:cs="Times New Roman"/>
          <w:sz w:val="24"/>
          <w:szCs w:val="24"/>
        </w:rPr>
      </w:pPr>
    </w:p>
    <w:p w14:paraId="7E77E73E" w14:textId="28A0A785" w:rsidR="00635EE8" w:rsidRPr="00221C89" w:rsidRDefault="00161F07" w:rsidP="00161F07">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0F3400" w:rsidRPr="00221C89">
        <w:rPr>
          <w:rFonts w:ascii="Times New Roman" w:hAnsi="Times New Roman" w:cs="Times New Roman"/>
          <w:sz w:val="24"/>
          <w:szCs w:val="24"/>
        </w:rPr>
        <w:t>Unfortunately, a</w:t>
      </w:r>
      <w:r w:rsidR="00690001" w:rsidRPr="00221C89">
        <w:rPr>
          <w:rFonts w:ascii="Times New Roman" w:hAnsi="Times New Roman" w:cs="Times New Roman"/>
          <w:sz w:val="24"/>
          <w:szCs w:val="24"/>
        </w:rPr>
        <w:t xml:space="preserve"> witness who is incompetent to testify pursuant to the Dead</w:t>
      </w:r>
      <w:r w:rsidR="000F3400" w:rsidRPr="00221C89">
        <w:rPr>
          <w:rFonts w:ascii="Times New Roman" w:hAnsi="Times New Roman" w:cs="Times New Roman"/>
          <w:sz w:val="24"/>
          <w:szCs w:val="24"/>
        </w:rPr>
        <w:t xml:space="preserve"> M</w:t>
      </w:r>
      <w:r w:rsidR="00690001" w:rsidRPr="00221C89">
        <w:rPr>
          <w:rFonts w:ascii="Times New Roman" w:hAnsi="Times New Roman" w:cs="Times New Roman"/>
          <w:sz w:val="24"/>
          <w:szCs w:val="24"/>
        </w:rPr>
        <w:t xml:space="preserve">an’s </w:t>
      </w:r>
      <w:r w:rsidR="0095367E" w:rsidRPr="00221C89">
        <w:rPr>
          <w:rFonts w:ascii="Times New Roman" w:hAnsi="Times New Roman" w:cs="Times New Roman"/>
          <w:sz w:val="24"/>
          <w:szCs w:val="24"/>
        </w:rPr>
        <w:t>S</w:t>
      </w:r>
      <w:r w:rsidR="00690001" w:rsidRPr="00221C89">
        <w:rPr>
          <w:rFonts w:ascii="Times New Roman" w:hAnsi="Times New Roman" w:cs="Times New Roman"/>
          <w:sz w:val="24"/>
          <w:szCs w:val="24"/>
        </w:rPr>
        <w:t>tatute is not listed</w:t>
      </w:r>
      <w:r w:rsidR="00E15572" w:rsidRPr="00221C89">
        <w:rPr>
          <w:rFonts w:ascii="Times New Roman" w:hAnsi="Times New Roman" w:cs="Times New Roman"/>
          <w:sz w:val="24"/>
          <w:szCs w:val="24"/>
        </w:rPr>
        <w:t>,</w:t>
      </w:r>
      <w:r w:rsidR="00690001" w:rsidRPr="00221C89">
        <w:rPr>
          <w:rFonts w:ascii="Times New Roman" w:hAnsi="Times New Roman" w:cs="Times New Roman"/>
          <w:sz w:val="24"/>
          <w:szCs w:val="24"/>
        </w:rPr>
        <w:t xml:space="preserve"> among </w:t>
      </w:r>
      <w:r w:rsidR="00FB1EF5" w:rsidRPr="00221C89">
        <w:rPr>
          <w:rFonts w:ascii="Times New Roman" w:hAnsi="Times New Roman" w:cs="Times New Roman"/>
          <w:sz w:val="24"/>
          <w:szCs w:val="24"/>
        </w:rPr>
        <w:t>witnesses</w:t>
      </w:r>
      <w:r w:rsidR="00690001" w:rsidRPr="00221C89">
        <w:rPr>
          <w:rFonts w:ascii="Times New Roman" w:hAnsi="Times New Roman" w:cs="Times New Roman"/>
          <w:sz w:val="24"/>
          <w:szCs w:val="24"/>
        </w:rPr>
        <w:t xml:space="preserve"> considered unavailable to testify</w:t>
      </w:r>
      <w:r w:rsidR="00E15572" w:rsidRPr="00221C89">
        <w:rPr>
          <w:rFonts w:ascii="Times New Roman" w:hAnsi="Times New Roman" w:cs="Times New Roman"/>
          <w:sz w:val="24"/>
          <w:szCs w:val="24"/>
        </w:rPr>
        <w:t>,</w:t>
      </w:r>
      <w:r w:rsidR="00690001" w:rsidRPr="00221C89">
        <w:rPr>
          <w:rFonts w:ascii="Times New Roman" w:hAnsi="Times New Roman" w:cs="Times New Roman"/>
          <w:sz w:val="24"/>
          <w:szCs w:val="24"/>
        </w:rPr>
        <w:t xml:space="preserve"> in</w:t>
      </w:r>
      <w:r w:rsidR="006B3352" w:rsidRPr="00221C89">
        <w:rPr>
          <w:rFonts w:ascii="Times New Roman" w:hAnsi="Times New Roman" w:cs="Times New Roman"/>
          <w:sz w:val="24"/>
          <w:szCs w:val="24"/>
        </w:rPr>
        <w:t xml:space="preserve"> </w:t>
      </w:r>
      <w:r w:rsidR="00690001" w:rsidRPr="00221C89">
        <w:rPr>
          <w:rFonts w:ascii="Times New Roman" w:hAnsi="Times New Roman" w:cs="Times New Roman"/>
          <w:sz w:val="24"/>
          <w:szCs w:val="24"/>
        </w:rPr>
        <w:lastRenderedPageBreak/>
        <w:t>CPLR 4517</w:t>
      </w:r>
      <w:r w:rsidR="008245B7" w:rsidRPr="00221C89">
        <w:rPr>
          <w:rFonts w:ascii="Times New Roman" w:hAnsi="Times New Roman" w:cs="Times New Roman"/>
          <w:sz w:val="24"/>
          <w:szCs w:val="24"/>
        </w:rPr>
        <w:t>,</w:t>
      </w:r>
      <w:r w:rsidR="00690001" w:rsidRPr="00221C89">
        <w:rPr>
          <w:rFonts w:ascii="Times New Roman" w:hAnsi="Times New Roman" w:cs="Times New Roman"/>
          <w:sz w:val="24"/>
          <w:szCs w:val="24"/>
        </w:rPr>
        <w:t xml:space="preserve"> </w:t>
      </w:r>
      <w:r w:rsidR="00964BE0" w:rsidRPr="00221C89">
        <w:rPr>
          <w:rFonts w:ascii="Times New Roman" w:hAnsi="Times New Roman" w:cs="Times New Roman"/>
          <w:sz w:val="24"/>
          <w:szCs w:val="24"/>
        </w:rPr>
        <w:t xml:space="preserve">as </w:t>
      </w:r>
      <w:r w:rsidR="00030527" w:rsidRPr="00221C89">
        <w:rPr>
          <w:rFonts w:ascii="Times New Roman" w:hAnsi="Times New Roman" w:cs="Times New Roman"/>
          <w:sz w:val="24"/>
          <w:szCs w:val="24"/>
        </w:rPr>
        <w:t xml:space="preserve">there </w:t>
      </w:r>
      <w:r w:rsidR="00072F70" w:rsidRPr="00221C89">
        <w:rPr>
          <w:rFonts w:ascii="Times New Roman" w:hAnsi="Times New Roman" w:cs="Times New Roman"/>
          <w:sz w:val="24"/>
          <w:szCs w:val="24"/>
        </w:rPr>
        <w:t>required for</w:t>
      </w:r>
      <w:r w:rsidR="006B3352" w:rsidRPr="00221C89">
        <w:rPr>
          <w:rFonts w:ascii="Times New Roman" w:hAnsi="Times New Roman" w:cs="Times New Roman"/>
          <w:sz w:val="24"/>
          <w:szCs w:val="24"/>
        </w:rPr>
        <w:t xml:space="preserve"> the admission of</w:t>
      </w:r>
      <w:r w:rsidR="00690001" w:rsidRPr="00221C89">
        <w:rPr>
          <w:rFonts w:ascii="Times New Roman" w:hAnsi="Times New Roman" w:cs="Times New Roman"/>
          <w:sz w:val="24"/>
          <w:szCs w:val="24"/>
        </w:rPr>
        <w:t xml:space="preserve"> former testimony in a </w:t>
      </w:r>
      <w:r w:rsidR="008B4FC2" w:rsidRPr="00221C89">
        <w:rPr>
          <w:rFonts w:ascii="Times New Roman" w:hAnsi="Times New Roman" w:cs="Times New Roman"/>
          <w:sz w:val="24"/>
          <w:szCs w:val="24"/>
        </w:rPr>
        <w:t>c</w:t>
      </w:r>
      <w:r w:rsidR="00690001" w:rsidRPr="00221C89">
        <w:rPr>
          <w:rFonts w:ascii="Times New Roman" w:hAnsi="Times New Roman" w:cs="Times New Roman"/>
          <w:sz w:val="24"/>
          <w:szCs w:val="24"/>
        </w:rPr>
        <w:t xml:space="preserve">ivil </w:t>
      </w:r>
      <w:r w:rsidR="008A41A8" w:rsidRPr="00221C89">
        <w:rPr>
          <w:rFonts w:ascii="Times New Roman" w:hAnsi="Times New Roman" w:cs="Times New Roman"/>
          <w:sz w:val="24"/>
          <w:szCs w:val="24"/>
        </w:rPr>
        <w:t>p</w:t>
      </w:r>
      <w:r w:rsidR="00690001" w:rsidRPr="00221C89">
        <w:rPr>
          <w:rFonts w:ascii="Times New Roman" w:hAnsi="Times New Roman" w:cs="Times New Roman"/>
          <w:sz w:val="24"/>
          <w:szCs w:val="24"/>
        </w:rPr>
        <w:t>roceeding</w:t>
      </w:r>
      <w:r w:rsidR="007D134C" w:rsidRPr="00221C89">
        <w:rPr>
          <w:rFonts w:ascii="Times New Roman" w:hAnsi="Times New Roman" w:cs="Times New Roman"/>
          <w:sz w:val="24"/>
          <w:szCs w:val="24"/>
        </w:rPr>
        <w:t>,</w:t>
      </w:r>
      <w:r w:rsidR="00690001" w:rsidRPr="00221C89">
        <w:rPr>
          <w:rFonts w:ascii="Times New Roman" w:hAnsi="Times New Roman" w:cs="Times New Roman"/>
          <w:sz w:val="24"/>
          <w:szCs w:val="24"/>
        </w:rPr>
        <w:t xml:space="preserve"> or</w:t>
      </w:r>
      <w:r w:rsidR="006B3352" w:rsidRPr="00221C89">
        <w:rPr>
          <w:rFonts w:ascii="Times New Roman" w:hAnsi="Times New Roman" w:cs="Times New Roman"/>
          <w:sz w:val="24"/>
          <w:szCs w:val="24"/>
        </w:rPr>
        <w:t xml:space="preserve"> </w:t>
      </w:r>
      <w:r w:rsidR="0088602E" w:rsidRPr="00221C89">
        <w:rPr>
          <w:rFonts w:ascii="Times New Roman" w:hAnsi="Times New Roman" w:cs="Times New Roman"/>
          <w:sz w:val="24"/>
          <w:szCs w:val="24"/>
        </w:rPr>
        <w:t xml:space="preserve">in </w:t>
      </w:r>
      <w:r w:rsidR="00690001" w:rsidRPr="00221C89">
        <w:rPr>
          <w:rFonts w:ascii="Times New Roman" w:hAnsi="Times New Roman" w:cs="Times New Roman"/>
          <w:sz w:val="24"/>
          <w:szCs w:val="24"/>
        </w:rPr>
        <w:t>CPLR 3117</w:t>
      </w:r>
      <w:r w:rsidR="007D134C" w:rsidRPr="00221C89">
        <w:rPr>
          <w:rFonts w:ascii="Times New Roman" w:hAnsi="Times New Roman" w:cs="Times New Roman"/>
          <w:sz w:val="24"/>
          <w:szCs w:val="24"/>
        </w:rPr>
        <w:t>,</w:t>
      </w:r>
      <w:r w:rsidR="00690001" w:rsidRPr="00221C89">
        <w:rPr>
          <w:rFonts w:ascii="Times New Roman" w:hAnsi="Times New Roman" w:cs="Times New Roman"/>
          <w:sz w:val="24"/>
          <w:szCs w:val="24"/>
        </w:rPr>
        <w:t xml:space="preserve"> </w:t>
      </w:r>
      <w:r w:rsidR="0088602E" w:rsidRPr="00221C89">
        <w:rPr>
          <w:rFonts w:ascii="Times New Roman" w:hAnsi="Times New Roman" w:cs="Times New Roman"/>
          <w:sz w:val="24"/>
          <w:szCs w:val="24"/>
        </w:rPr>
        <w:t xml:space="preserve">as </w:t>
      </w:r>
      <w:r w:rsidR="00E074E0" w:rsidRPr="00221C89">
        <w:rPr>
          <w:rFonts w:ascii="Times New Roman" w:hAnsi="Times New Roman" w:cs="Times New Roman"/>
          <w:sz w:val="24"/>
          <w:szCs w:val="24"/>
        </w:rPr>
        <w:t xml:space="preserve">there </w:t>
      </w:r>
      <w:r w:rsidR="0088602E" w:rsidRPr="00221C89">
        <w:rPr>
          <w:rFonts w:ascii="Times New Roman" w:hAnsi="Times New Roman" w:cs="Times New Roman"/>
          <w:sz w:val="24"/>
          <w:szCs w:val="24"/>
        </w:rPr>
        <w:t>required for</w:t>
      </w:r>
      <w:r w:rsidR="008A41A8" w:rsidRPr="00221C89">
        <w:rPr>
          <w:rFonts w:ascii="Times New Roman" w:hAnsi="Times New Roman" w:cs="Times New Roman"/>
          <w:sz w:val="24"/>
          <w:szCs w:val="24"/>
        </w:rPr>
        <w:t xml:space="preserve"> the admission </w:t>
      </w:r>
      <w:r w:rsidR="00690001" w:rsidRPr="00221C89">
        <w:rPr>
          <w:rFonts w:ascii="Times New Roman" w:hAnsi="Times New Roman" w:cs="Times New Roman"/>
          <w:sz w:val="24"/>
          <w:szCs w:val="24"/>
        </w:rPr>
        <w:t xml:space="preserve">of depositions in a </w:t>
      </w:r>
      <w:r w:rsidR="00B532E0" w:rsidRPr="00221C89">
        <w:rPr>
          <w:rFonts w:ascii="Times New Roman" w:hAnsi="Times New Roman" w:cs="Times New Roman"/>
          <w:sz w:val="24"/>
          <w:szCs w:val="24"/>
        </w:rPr>
        <w:t>c</w:t>
      </w:r>
      <w:r w:rsidR="00690001" w:rsidRPr="00221C89">
        <w:rPr>
          <w:rFonts w:ascii="Times New Roman" w:hAnsi="Times New Roman" w:cs="Times New Roman"/>
          <w:sz w:val="24"/>
          <w:szCs w:val="24"/>
        </w:rPr>
        <w:t xml:space="preserve">ivil </w:t>
      </w:r>
      <w:r w:rsidR="00E262AD" w:rsidRPr="00221C89">
        <w:rPr>
          <w:rFonts w:ascii="Times New Roman" w:hAnsi="Times New Roman" w:cs="Times New Roman"/>
          <w:sz w:val="24"/>
          <w:szCs w:val="24"/>
        </w:rPr>
        <w:t>p</w:t>
      </w:r>
      <w:r w:rsidR="00690001" w:rsidRPr="00221C89">
        <w:rPr>
          <w:rFonts w:ascii="Times New Roman" w:hAnsi="Times New Roman" w:cs="Times New Roman"/>
          <w:sz w:val="24"/>
          <w:szCs w:val="24"/>
        </w:rPr>
        <w:t xml:space="preserve">roceeding. </w:t>
      </w:r>
      <w:r w:rsidR="0088602E" w:rsidRPr="00221C89">
        <w:rPr>
          <w:rFonts w:ascii="Times New Roman" w:hAnsi="Times New Roman" w:cs="Times New Roman"/>
          <w:sz w:val="24"/>
          <w:szCs w:val="24"/>
        </w:rPr>
        <w:t xml:space="preserve"> </w:t>
      </w:r>
      <w:r w:rsidR="006A4B91" w:rsidRPr="00221C89">
        <w:rPr>
          <w:rFonts w:ascii="Times New Roman" w:hAnsi="Times New Roman" w:cs="Times New Roman"/>
          <w:sz w:val="24"/>
          <w:szCs w:val="24"/>
        </w:rPr>
        <w:t>B</w:t>
      </w:r>
      <w:r w:rsidR="00690001" w:rsidRPr="00221C89">
        <w:rPr>
          <w:rFonts w:ascii="Times New Roman" w:hAnsi="Times New Roman" w:cs="Times New Roman"/>
          <w:sz w:val="24"/>
          <w:szCs w:val="24"/>
        </w:rPr>
        <w:t>oth statutes</w:t>
      </w:r>
      <w:r w:rsidR="006A4B91" w:rsidRPr="00221C89">
        <w:rPr>
          <w:rFonts w:ascii="Times New Roman" w:hAnsi="Times New Roman" w:cs="Times New Roman"/>
          <w:sz w:val="24"/>
          <w:szCs w:val="24"/>
        </w:rPr>
        <w:t>, however,</w:t>
      </w:r>
      <w:r w:rsidR="00690001" w:rsidRPr="00221C89">
        <w:rPr>
          <w:rFonts w:ascii="Times New Roman" w:hAnsi="Times New Roman" w:cs="Times New Roman"/>
          <w:sz w:val="24"/>
          <w:szCs w:val="24"/>
        </w:rPr>
        <w:t xml:space="preserve"> allow an application to the court for a  finding of “exceptional circumstances</w:t>
      </w:r>
      <w:r w:rsidR="00CB0AC3" w:rsidRPr="00221C89">
        <w:rPr>
          <w:rFonts w:ascii="Times New Roman" w:hAnsi="Times New Roman" w:cs="Times New Roman"/>
          <w:sz w:val="24"/>
          <w:szCs w:val="24"/>
        </w:rPr>
        <w:t>”</w:t>
      </w:r>
      <w:r w:rsidR="00690001" w:rsidRPr="00221C89">
        <w:rPr>
          <w:rFonts w:ascii="Times New Roman" w:hAnsi="Times New Roman" w:cs="Times New Roman"/>
          <w:sz w:val="24"/>
          <w:szCs w:val="24"/>
        </w:rPr>
        <w:t xml:space="preserve"> </w:t>
      </w:r>
      <w:r w:rsidR="00D640BE" w:rsidRPr="00221C89">
        <w:rPr>
          <w:rFonts w:ascii="Times New Roman" w:hAnsi="Times New Roman" w:cs="Times New Roman"/>
          <w:sz w:val="24"/>
          <w:szCs w:val="24"/>
        </w:rPr>
        <w:t xml:space="preserve">to permit the admission of otherwise </w:t>
      </w:r>
      <w:r w:rsidR="008B69A8" w:rsidRPr="00221C89">
        <w:rPr>
          <w:rFonts w:ascii="Times New Roman" w:hAnsi="Times New Roman" w:cs="Times New Roman"/>
          <w:sz w:val="24"/>
          <w:szCs w:val="24"/>
        </w:rPr>
        <w:t xml:space="preserve">inadmissible </w:t>
      </w:r>
      <w:r w:rsidR="00690001" w:rsidRPr="00221C89">
        <w:rPr>
          <w:rFonts w:ascii="Times New Roman" w:hAnsi="Times New Roman" w:cs="Times New Roman"/>
          <w:sz w:val="24"/>
          <w:szCs w:val="24"/>
        </w:rPr>
        <w:t>hearsay testimony. Until 2000, CPLR 4517</w:t>
      </w:r>
      <w:r w:rsidR="00133EE9" w:rsidRPr="00221C89">
        <w:rPr>
          <w:rFonts w:ascii="Times New Roman" w:hAnsi="Times New Roman" w:cs="Times New Roman"/>
          <w:sz w:val="24"/>
          <w:szCs w:val="24"/>
        </w:rPr>
        <w:t>’s list</w:t>
      </w:r>
      <w:r w:rsidR="00690001" w:rsidRPr="00221C89">
        <w:rPr>
          <w:rFonts w:ascii="Times New Roman" w:hAnsi="Times New Roman" w:cs="Times New Roman"/>
          <w:sz w:val="24"/>
          <w:szCs w:val="24"/>
        </w:rPr>
        <w:t xml:space="preserve"> include</w:t>
      </w:r>
      <w:r w:rsidR="00A512E4" w:rsidRPr="00221C89">
        <w:rPr>
          <w:rFonts w:ascii="Times New Roman" w:hAnsi="Times New Roman" w:cs="Times New Roman"/>
          <w:sz w:val="24"/>
          <w:szCs w:val="24"/>
        </w:rPr>
        <w:t>d</w:t>
      </w:r>
      <w:r w:rsidR="00690001" w:rsidRPr="00221C89">
        <w:rPr>
          <w:rFonts w:ascii="Times New Roman" w:hAnsi="Times New Roman" w:cs="Times New Roman"/>
          <w:sz w:val="24"/>
          <w:szCs w:val="24"/>
        </w:rPr>
        <w:t xml:space="preserve"> incapacity under the Dead</w:t>
      </w:r>
      <w:r w:rsidR="0030498D" w:rsidRPr="00221C89">
        <w:rPr>
          <w:rFonts w:ascii="Times New Roman" w:hAnsi="Times New Roman" w:cs="Times New Roman"/>
          <w:sz w:val="24"/>
          <w:szCs w:val="24"/>
        </w:rPr>
        <w:t xml:space="preserve"> M</w:t>
      </w:r>
      <w:r w:rsidR="00690001" w:rsidRPr="00221C89">
        <w:rPr>
          <w:rFonts w:ascii="Times New Roman" w:hAnsi="Times New Roman" w:cs="Times New Roman"/>
          <w:sz w:val="24"/>
          <w:szCs w:val="24"/>
        </w:rPr>
        <w:t>an’s Statute in the list</w:t>
      </w:r>
      <w:r w:rsidR="00A512E4" w:rsidRPr="00221C89">
        <w:rPr>
          <w:rFonts w:ascii="Times New Roman" w:hAnsi="Times New Roman" w:cs="Times New Roman"/>
          <w:sz w:val="24"/>
          <w:szCs w:val="24"/>
        </w:rPr>
        <w:t>,</w:t>
      </w:r>
      <w:r w:rsidR="00690001" w:rsidRPr="00221C89">
        <w:rPr>
          <w:rFonts w:ascii="Times New Roman" w:hAnsi="Times New Roman" w:cs="Times New Roman"/>
          <w:sz w:val="24"/>
          <w:szCs w:val="24"/>
        </w:rPr>
        <w:t xml:space="preserve"> but it was inadvertently omitted when the statute was amended. Another possible route around the hearsay problem is</w:t>
      </w:r>
      <w:r w:rsidR="0030498D" w:rsidRPr="00221C89">
        <w:rPr>
          <w:rFonts w:ascii="Times New Roman" w:hAnsi="Times New Roman" w:cs="Times New Roman"/>
          <w:sz w:val="24"/>
          <w:szCs w:val="24"/>
        </w:rPr>
        <w:t xml:space="preserve"> </w:t>
      </w:r>
      <w:r w:rsidR="00690001" w:rsidRPr="00221C89">
        <w:rPr>
          <w:rFonts w:ascii="Times New Roman" w:hAnsi="Times New Roman" w:cs="Times New Roman"/>
          <w:sz w:val="24"/>
          <w:szCs w:val="24"/>
        </w:rPr>
        <w:t>the common</w:t>
      </w:r>
      <w:r w:rsidR="00E94D3A" w:rsidRPr="00221C89">
        <w:rPr>
          <w:rFonts w:ascii="Times New Roman" w:hAnsi="Times New Roman" w:cs="Times New Roman"/>
          <w:sz w:val="24"/>
          <w:szCs w:val="24"/>
        </w:rPr>
        <w:t>-</w:t>
      </w:r>
      <w:r w:rsidR="00690001" w:rsidRPr="00221C89">
        <w:rPr>
          <w:rFonts w:ascii="Times New Roman" w:hAnsi="Times New Roman" w:cs="Times New Roman"/>
          <w:sz w:val="24"/>
          <w:szCs w:val="24"/>
        </w:rPr>
        <w:t>law rule on the admissibility of prior testimony of an unavailable witness</w:t>
      </w:r>
      <w:r w:rsidR="00A512E4" w:rsidRPr="00221C89">
        <w:rPr>
          <w:rFonts w:ascii="Times New Roman" w:hAnsi="Times New Roman" w:cs="Times New Roman"/>
          <w:sz w:val="24"/>
          <w:szCs w:val="24"/>
        </w:rPr>
        <w:t>,</w:t>
      </w:r>
      <w:r w:rsidR="00690001" w:rsidRPr="00221C89">
        <w:rPr>
          <w:rFonts w:ascii="Times New Roman" w:hAnsi="Times New Roman" w:cs="Times New Roman"/>
          <w:sz w:val="24"/>
          <w:szCs w:val="24"/>
        </w:rPr>
        <w:t xml:space="preserve"> which has been held to coexist with the statutory rule</w:t>
      </w:r>
      <w:r w:rsidR="0030498D" w:rsidRPr="00221C89">
        <w:rPr>
          <w:rFonts w:ascii="Times New Roman" w:hAnsi="Times New Roman" w:cs="Times New Roman"/>
          <w:sz w:val="24"/>
          <w:szCs w:val="24"/>
        </w:rPr>
        <w:t xml:space="preserve"> (</w:t>
      </w:r>
      <w:r w:rsidR="00690001" w:rsidRPr="00221C89">
        <w:rPr>
          <w:rFonts w:ascii="Times New Roman" w:hAnsi="Times New Roman" w:cs="Times New Roman"/>
          <w:i/>
          <w:iCs/>
          <w:sz w:val="24"/>
          <w:szCs w:val="24"/>
        </w:rPr>
        <w:t>Fleury v Edwards</w:t>
      </w:r>
      <w:r w:rsidR="0030498D" w:rsidRPr="00221C89">
        <w:rPr>
          <w:rFonts w:ascii="Times New Roman" w:hAnsi="Times New Roman" w:cs="Times New Roman"/>
          <w:sz w:val="24"/>
          <w:szCs w:val="24"/>
        </w:rPr>
        <w:t xml:space="preserve">, </w:t>
      </w:r>
      <w:r w:rsidR="00690001" w:rsidRPr="00221C89">
        <w:rPr>
          <w:rFonts w:ascii="Times New Roman" w:hAnsi="Times New Roman" w:cs="Times New Roman"/>
          <w:sz w:val="24"/>
          <w:szCs w:val="24"/>
        </w:rPr>
        <w:t>14 NY2d 334 [1964]</w:t>
      </w:r>
      <w:r w:rsidR="0030498D" w:rsidRPr="00221C89">
        <w:rPr>
          <w:rFonts w:ascii="Times New Roman" w:hAnsi="Times New Roman" w:cs="Times New Roman"/>
          <w:sz w:val="24"/>
          <w:szCs w:val="24"/>
        </w:rPr>
        <w:t>)</w:t>
      </w:r>
      <w:r w:rsidR="00690001" w:rsidRPr="00221C89">
        <w:rPr>
          <w:rFonts w:ascii="Times New Roman" w:hAnsi="Times New Roman" w:cs="Times New Roman"/>
          <w:sz w:val="24"/>
          <w:szCs w:val="24"/>
        </w:rPr>
        <w:t xml:space="preserve">. </w:t>
      </w:r>
      <w:r w:rsidR="00743164" w:rsidRPr="00221C89">
        <w:rPr>
          <w:rFonts w:ascii="Times New Roman" w:hAnsi="Times New Roman" w:cs="Times New Roman"/>
          <w:sz w:val="24"/>
          <w:szCs w:val="24"/>
        </w:rPr>
        <w:t xml:space="preserve">  </w:t>
      </w:r>
      <w:r w:rsidR="00205DBD" w:rsidRPr="00221C89">
        <w:rPr>
          <w:rFonts w:ascii="Times New Roman" w:hAnsi="Times New Roman" w:cs="Times New Roman"/>
          <w:sz w:val="24"/>
          <w:szCs w:val="24"/>
        </w:rPr>
        <w:t xml:space="preserve">No case, however, holds </w:t>
      </w:r>
      <w:r w:rsidR="00690001" w:rsidRPr="00221C89">
        <w:rPr>
          <w:rFonts w:ascii="Times New Roman" w:hAnsi="Times New Roman" w:cs="Times New Roman"/>
          <w:sz w:val="24"/>
          <w:szCs w:val="24"/>
        </w:rPr>
        <w:t>that incapacity under the Dead</w:t>
      </w:r>
      <w:r w:rsidR="00B717E8" w:rsidRPr="00221C89">
        <w:rPr>
          <w:rFonts w:ascii="Times New Roman" w:hAnsi="Times New Roman" w:cs="Times New Roman"/>
          <w:sz w:val="24"/>
          <w:szCs w:val="24"/>
        </w:rPr>
        <w:t xml:space="preserve"> </w:t>
      </w:r>
      <w:r w:rsidR="000323C8" w:rsidRPr="00221C89">
        <w:rPr>
          <w:rFonts w:ascii="Times New Roman" w:hAnsi="Times New Roman" w:cs="Times New Roman"/>
          <w:sz w:val="24"/>
          <w:szCs w:val="24"/>
        </w:rPr>
        <w:t>M</w:t>
      </w:r>
      <w:r w:rsidR="00690001" w:rsidRPr="00221C89">
        <w:rPr>
          <w:rFonts w:ascii="Times New Roman" w:hAnsi="Times New Roman" w:cs="Times New Roman"/>
          <w:sz w:val="24"/>
          <w:szCs w:val="24"/>
        </w:rPr>
        <w:t>an’s Statute was part of the common law</w:t>
      </w:r>
      <w:r w:rsidR="00554C63" w:rsidRPr="00221C89">
        <w:rPr>
          <w:rFonts w:ascii="Times New Roman" w:hAnsi="Times New Roman" w:cs="Times New Roman"/>
          <w:sz w:val="24"/>
          <w:szCs w:val="24"/>
        </w:rPr>
        <w:t xml:space="preserve"> (</w:t>
      </w:r>
      <w:r w:rsidR="0030498D" w:rsidRPr="00221C89">
        <w:rPr>
          <w:rFonts w:ascii="Times New Roman" w:hAnsi="Times New Roman" w:cs="Times New Roman"/>
          <w:i/>
          <w:iCs/>
          <w:sz w:val="24"/>
          <w:szCs w:val="24"/>
        </w:rPr>
        <w:t>se</w:t>
      </w:r>
      <w:r w:rsidR="00433FBD" w:rsidRPr="00221C89">
        <w:rPr>
          <w:rFonts w:ascii="Times New Roman" w:hAnsi="Times New Roman" w:cs="Times New Roman"/>
          <w:i/>
          <w:iCs/>
          <w:sz w:val="24"/>
          <w:szCs w:val="24"/>
        </w:rPr>
        <w:t>e</w:t>
      </w:r>
      <w:r w:rsidR="00433FBD" w:rsidRPr="00221C89">
        <w:rPr>
          <w:rFonts w:ascii="Times New Roman" w:hAnsi="Times New Roman" w:cs="Times New Roman"/>
          <w:sz w:val="24"/>
          <w:szCs w:val="24"/>
        </w:rPr>
        <w:t xml:space="preserve"> Guide to NY Evid rule </w:t>
      </w:r>
      <w:r w:rsidR="000F1D88" w:rsidRPr="00221C89">
        <w:rPr>
          <w:rFonts w:ascii="Times New Roman" w:hAnsi="Times New Roman" w:cs="Times New Roman"/>
          <w:sz w:val="24"/>
          <w:szCs w:val="24"/>
        </w:rPr>
        <w:t>8.</w:t>
      </w:r>
      <w:r w:rsidR="00554C63" w:rsidRPr="00221C89">
        <w:rPr>
          <w:rFonts w:ascii="Times New Roman" w:hAnsi="Times New Roman" w:cs="Times New Roman"/>
          <w:sz w:val="24"/>
          <w:szCs w:val="24"/>
        </w:rPr>
        <w:t>36</w:t>
      </w:r>
      <w:r w:rsidR="00175DD7" w:rsidRPr="00221C89">
        <w:rPr>
          <w:rFonts w:ascii="Times New Roman" w:hAnsi="Times New Roman" w:cs="Times New Roman"/>
          <w:sz w:val="24"/>
          <w:szCs w:val="24"/>
        </w:rPr>
        <w:t xml:space="preserve">, </w:t>
      </w:r>
      <w:r w:rsidR="009362E0" w:rsidRPr="00221C89">
        <w:rPr>
          <w:rFonts w:ascii="Times New Roman" w:hAnsi="Times New Roman" w:cs="Times New Roman"/>
          <w:sz w:val="24"/>
          <w:szCs w:val="24"/>
        </w:rPr>
        <w:t xml:space="preserve">Prior </w:t>
      </w:r>
      <w:r w:rsidR="0030498D" w:rsidRPr="00221C89">
        <w:rPr>
          <w:rFonts w:ascii="Times New Roman" w:hAnsi="Times New Roman" w:cs="Times New Roman"/>
          <w:sz w:val="24"/>
          <w:szCs w:val="24"/>
        </w:rPr>
        <w:t>T</w:t>
      </w:r>
      <w:r w:rsidR="000F1D88" w:rsidRPr="00221C89">
        <w:rPr>
          <w:rFonts w:ascii="Times New Roman" w:hAnsi="Times New Roman" w:cs="Times New Roman"/>
          <w:sz w:val="24"/>
          <w:szCs w:val="24"/>
        </w:rPr>
        <w:t xml:space="preserve">estimony in a </w:t>
      </w:r>
      <w:r w:rsidR="0030498D" w:rsidRPr="00221C89">
        <w:rPr>
          <w:rFonts w:ascii="Times New Roman" w:hAnsi="Times New Roman" w:cs="Times New Roman"/>
          <w:sz w:val="24"/>
          <w:szCs w:val="24"/>
        </w:rPr>
        <w:t>C</w:t>
      </w:r>
      <w:r w:rsidR="000F1D88" w:rsidRPr="00221C89">
        <w:rPr>
          <w:rFonts w:ascii="Times New Roman" w:hAnsi="Times New Roman" w:cs="Times New Roman"/>
          <w:sz w:val="24"/>
          <w:szCs w:val="24"/>
        </w:rPr>
        <w:t xml:space="preserve">ivil </w:t>
      </w:r>
      <w:r w:rsidR="0030498D" w:rsidRPr="00221C89">
        <w:rPr>
          <w:rFonts w:ascii="Times New Roman" w:hAnsi="Times New Roman" w:cs="Times New Roman"/>
          <w:sz w:val="24"/>
          <w:szCs w:val="24"/>
        </w:rPr>
        <w:t>P</w:t>
      </w:r>
      <w:r w:rsidR="007743EB" w:rsidRPr="00221C89">
        <w:rPr>
          <w:rFonts w:ascii="Times New Roman" w:hAnsi="Times New Roman" w:cs="Times New Roman"/>
          <w:sz w:val="24"/>
          <w:szCs w:val="24"/>
        </w:rPr>
        <w:t>roceeding</w:t>
      </w:r>
      <w:r w:rsidR="0030498D" w:rsidRPr="00221C89">
        <w:rPr>
          <w:rFonts w:ascii="Times New Roman" w:hAnsi="Times New Roman" w:cs="Times New Roman"/>
          <w:sz w:val="24"/>
          <w:szCs w:val="24"/>
        </w:rPr>
        <w:t>).</w:t>
      </w:r>
    </w:p>
    <w:p w14:paraId="2B5AAEC2" w14:textId="77777777" w:rsidR="00B10778" w:rsidRPr="00221C89" w:rsidRDefault="00B10778" w:rsidP="00161F07">
      <w:pPr>
        <w:spacing w:after="0" w:line="240" w:lineRule="auto"/>
        <w:jc w:val="both"/>
        <w:rPr>
          <w:rFonts w:ascii="Times New Roman" w:hAnsi="Times New Roman" w:cs="Times New Roman"/>
          <w:sz w:val="24"/>
          <w:szCs w:val="24"/>
        </w:rPr>
      </w:pPr>
    </w:p>
    <w:p w14:paraId="70E63214" w14:textId="708F2B32" w:rsidR="006801AE" w:rsidRPr="00221C89" w:rsidRDefault="00B10778" w:rsidP="00B10778">
      <w:pPr>
        <w:tabs>
          <w:tab w:val="left" w:pos="720"/>
        </w:tabs>
        <w:spacing w:after="0" w:line="240" w:lineRule="auto"/>
        <w:jc w:val="both"/>
        <w:rPr>
          <w:rFonts w:ascii="Times New Roman" w:hAnsi="Times New Roman" w:cs="Times New Roman"/>
          <w:sz w:val="24"/>
          <w:szCs w:val="24"/>
        </w:rPr>
      </w:pPr>
      <w:bookmarkStart w:id="14" w:name="_Hlk48593626"/>
      <w:r w:rsidRPr="00221C89">
        <w:rPr>
          <w:rFonts w:ascii="Times New Roman" w:hAnsi="Times New Roman" w:cs="Times New Roman"/>
          <w:b/>
          <w:bCs/>
          <w:sz w:val="24"/>
          <w:szCs w:val="24"/>
        </w:rPr>
        <w:tab/>
      </w:r>
      <w:r w:rsidR="008F35B1" w:rsidRPr="00221C89">
        <w:rPr>
          <w:rFonts w:ascii="Times New Roman" w:hAnsi="Times New Roman" w:cs="Times New Roman"/>
          <w:b/>
          <w:bCs/>
          <w:sz w:val="24"/>
          <w:szCs w:val="24"/>
        </w:rPr>
        <w:t>Subdivision (2)</w:t>
      </w:r>
      <w:r w:rsidR="008F35B1" w:rsidRPr="00221C89">
        <w:rPr>
          <w:rFonts w:ascii="Times New Roman" w:hAnsi="Times New Roman" w:cs="Times New Roman"/>
          <w:sz w:val="24"/>
          <w:szCs w:val="24"/>
        </w:rPr>
        <w:t xml:space="preserve"> of the rule </w:t>
      </w:r>
      <w:bookmarkEnd w:id="14"/>
      <w:r w:rsidR="006801AE" w:rsidRPr="00221C89">
        <w:rPr>
          <w:rFonts w:ascii="Times New Roman" w:hAnsi="Times New Roman" w:cs="Times New Roman"/>
          <w:sz w:val="24"/>
          <w:szCs w:val="24"/>
        </w:rPr>
        <w:t>exempts from application of the statute a stockholder or officer of a banking corporation that might be considered an interested party.</w:t>
      </w:r>
      <w:r w:rsidR="00175DD7"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This exemption is limited to stockholders in banking corporations. A stockholder of a corporation other than a banking corporation is considered a person interested in the event and may be barred from testifying against a protected party </w:t>
      </w:r>
      <w:r w:rsidR="00710328" w:rsidRPr="00221C89">
        <w:rPr>
          <w:rFonts w:ascii="Times New Roman" w:hAnsi="Times New Roman" w:cs="Times New Roman"/>
          <w:sz w:val="24"/>
          <w:szCs w:val="24"/>
        </w:rPr>
        <w:t>(</w:t>
      </w:r>
      <w:r w:rsidR="006801AE" w:rsidRPr="00221C89">
        <w:rPr>
          <w:rFonts w:ascii="Times New Roman" w:hAnsi="Times New Roman" w:cs="Times New Roman"/>
          <w:i/>
          <w:iCs/>
          <w:sz w:val="24"/>
          <w:szCs w:val="24"/>
        </w:rPr>
        <w:t>Friedrich v Martin</w:t>
      </w:r>
      <w:r w:rsidR="006801AE" w:rsidRPr="00221C89">
        <w:rPr>
          <w:rFonts w:ascii="Times New Roman" w:hAnsi="Times New Roman" w:cs="Times New Roman"/>
          <w:iCs/>
          <w:sz w:val="24"/>
          <w:szCs w:val="24"/>
        </w:rPr>
        <w:t>,</w:t>
      </w:r>
      <w:r w:rsidR="006801AE" w:rsidRPr="00221C89">
        <w:rPr>
          <w:rFonts w:ascii="Times New Roman" w:hAnsi="Times New Roman" w:cs="Times New Roman"/>
          <w:i/>
          <w:iCs/>
          <w:sz w:val="24"/>
          <w:szCs w:val="24"/>
        </w:rPr>
        <w:t xml:space="preserve"> </w:t>
      </w:r>
      <w:r w:rsidR="00F04ED7" w:rsidRPr="00221C89">
        <w:rPr>
          <w:rFonts w:ascii="Times New Roman" w:hAnsi="Times New Roman" w:cs="Times New Roman"/>
          <w:sz w:val="24"/>
          <w:szCs w:val="24"/>
        </w:rPr>
        <w:t>294 NY 588</w:t>
      </w:r>
      <w:r w:rsidR="0030498D" w:rsidRPr="00221C89">
        <w:rPr>
          <w:rFonts w:ascii="Times New Roman" w:hAnsi="Times New Roman" w:cs="Times New Roman"/>
          <w:sz w:val="24"/>
          <w:szCs w:val="24"/>
        </w:rPr>
        <w:t xml:space="preserve"> [1945]</w:t>
      </w:r>
      <w:r w:rsidR="006801AE" w:rsidRPr="00221C89">
        <w:rPr>
          <w:rFonts w:ascii="Times New Roman" w:hAnsi="Times New Roman" w:cs="Times New Roman"/>
          <w:sz w:val="24"/>
          <w:szCs w:val="24"/>
        </w:rPr>
        <w:t xml:space="preserve">; </w:t>
      </w:r>
      <w:r w:rsidR="006801AE" w:rsidRPr="00221C89">
        <w:rPr>
          <w:rFonts w:ascii="Times New Roman" w:hAnsi="Times New Roman" w:cs="Times New Roman"/>
          <w:i/>
          <w:iCs/>
          <w:sz w:val="24"/>
          <w:szCs w:val="24"/>
        </w:rPr>
        <w:t>Andrews v Reiners</w:t>
      </w:r>
      <w:r w:rsidR="006801AE" w:rsidRPr="00221C89">
        <w:rPr>
          <w:rFonts w:ascii="Times New Roman" w:hAnsi="Times New Roman" w:cs="Times New Roman"/>
          <w:iCs/>
          <w:sz w:val="24"/>
          <w:szCs w:val="24"/>
        </w:rPr>
        <w:t>,</w:t>
      </w:r>
      <w:r w:rsidR="006801AE" w:rsidRPr="00221C89">
        <w:rPr>
          <w:rFonts w:ascii="Times New Roman" w:hAnsi="Times New Roman" w:cs="Times New Roman"/>
          <w:sz w:val="24"/>
          <w:szCs w:val="24"/>
        </w:rPr>
        <w:t xml:space="preserve"> 112 App Div 378</w:t>
      </w:r>
      <w:r w:rsidR="00BF472F" w:rsidRPr="00221C89">
        <w:rPr>
          <w:rFonts w:ascii="Times New Roman" w:hAnsi="Times New Roman" w:cs="Times New Roman"/>
          <w:sz w:val="24"/>
          <w:szCs w:val="24"/>
        </w:rPr>
        <w:t xml:space="preserve"> [2d Dept 1906</w:t>
      </w:r>
      <w:r w:rsidR="00F04ED7" w:rsidRPr="00221C89">
        <w:rPr>
          <w:rFonts w:ascii="Times New Roman" w:hAnsi="Times New Roman" w:cs="Times New Roman"/>
          <w:sz w:val="24"/>
          <w:szCs w:val="24"/>
        </w:rPr>
        <w:t>]</w:t>
      </w:r>
      <w:r w:rsidR="00710328" w:rsidRPr="00221C89">
        <w:rPr>
          <w:rFonts w:ascii="Times New Roman" w:hAnsi="Times New Roman" w:cs="Times New Roman"/>
          <w:sz w:val="24"/>
          <w:szCs w:val="24"/>
        </w:rPr>
        <w:t>)</w:t>
      </w:r>
      <w:r w:rsidR="00F04ED7" w:rsidRPr="00221C89">
        <w:rPr>
          <w:rFonts w:ascii="Times New Roman" w:hAnsi="Times New Roman" w:cs="Times New Roman"/>
          <w:sz w:val="24"/>
          <w:szCs w:val="24"/>
        </w:rPr>
        <w:t>.</w:t>
      </w:r>
    </w:p>
    <w:p w14:paraId="3EF020DE" w14:textId="77777777" w:rsidR="00B10778" w:rsidRPr="00221C89" w:rsidRDefault="00B10778" w:rsidP="00B10778">
      <w:pPr>
        <w:tabs>
          <w:tab w:val="left" w:pos="720"/>
        </w:tabs>
        <w:spacing w:after="0" w:line="240" w:lineRule="auto"/>
        <w:jc w:val="both"/>
        <w:rPr>
          <w:rFonts w:ascii="Times New Roman" w:hAnsi="Times New Roman" w:cs="Times New Roman"/>
          <w:sz w:val="24"/>
          <w:szCs w:val="24"/>
        </w:rPr>
      </w:pPr>
    </w:p>
    <w:p w14:paraId="5514F2AB" w14:textId="17CBB9D4" w:rsidR="004A0D46" w:rsidRPr="00221C89" w:rsidRDefault="00B10778" w:rsidP="00B10778">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b/>
          <w:bCs/>
          <w:sz w:val="24"/>
          <w:szCs w:val="24"/>
        </w:rPr>
        <w:tab/>
      </w:r>
      <w:r w:rsidR="004C01E8" w:rsidRPr="00221C89">
        <w:rPr>
          <w:rFonts w:ascii="Times New Roman" w:hAnsi="Times New Roman" w:cs="Times New Roman"/>
          <w:b/>
          <w:bCs/>
          <w:sz w:val="24"/>
          <w:szCs w:val="24"/>
        </w:rPr>
        <w:t>Subdivision (3)</w:t>
      </w:r>
      <w:r w:rsidR="004C01E8" w:rsidRPr="00221C89">
        <w:rPr>
          <w:rFonts w:ascii="Times New Roman" w:hAnsi="Times New Roman" w:cs="Times New Roman"/>
          <w:sz w:val="24"/>
          <w:szCs w:val="24"/>
        </w:rPr>
        <w:t xml:space="preserve"> of the rule </w:t>
      </w:r>
      <w:r w:rsidR="006801AE" w:rsidRPr="00221C89">
        <w:rPr>
          <w:rFonts w:ascii="Times New Roman" w:hAnsi="Times New Roman" w:cs="Times New Roman"/>
          <w:sz w:val="24"/>
          <w:szCs w:val="24"/>
        </w:rPr>
        <w:t>states that the possible imposition of costs or the award of costs does not make a witness “interested</w:t>
      </w:r>
      <w:r w:rsidR="00E94D3A"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under the statute.</w:t>
      </w:r>
    </w:p>
    <w:p w14:paraId="7DA4C624" w14:textId="77777777" w:rsidR="00B10778" w:rsidRPr="00221C89" w:rsidRDefault="00B10778" w:rsidP="00B10778">
      <w:pPr>
        <w:tabs>
          <w:tab w:val="left" w:pos="720"/>
        </w:tabs>
        <w:spacing w:after="0" w:line="240" w:lineRule="auto"/>
        <w:jc w:val="both"/>
        <w:rPr>
          <w:rFonts w:ascii="Times New Roman" w:hAnsi="Times New Roman" w:cs="Times New Roman"/>
          <w:sz w:val="24"/>
          <w:szCs w:val="24"/>
        </w:rPr>
      </w:pPr>
    </w:p>
    <w:p w14:paraId="35E86CE9" w14:textId="2FB6E0E8" w:rsidR="006801AE" w:rsidRPr="00221C89" w:rsidRDefault="00B10778" w:rsidP="00B10778">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b/>
          <w:bCs/>
          <w:sz w:val="24"/>
          <w:szCs w:val="24"/>
        </w:rPr>
        <w:tab/>
      </w:r>
      <w:r w:rsidR="00272D9D" w:rsidRPr="00221C89">
        <w:rPr>
          <w:rFonts w:ascii="Times New Roman" w:hAnsi="Times New Roman" w:cs="Times New Roman"/>
          <w:b/>
          <w:bCs/>
          <w:sz w:val="24"/>
          <w:szCs w:val="24"/>
        </w:rPr>
        <w:t>Subdivision (4)</w:t>
      </w:r>
      <w:r w:rsidR="00272D9D" w:rsidRPr="00221C89">
        <w:rPr>
          <w:rFonts w:ascii="Times New Roman" w:hAnsi="Times New Roman" w:cs="Times New Roman"/>
          <w:sz w:val="24"/>
          <w:szCs w:val="24"/>
        </w:rPr>
        <w:t xml:space="preserve"> of the rule </w:t>
      </w:r>
      <w:r w:rsidR="004B7007" w:rsidRPr="00221C89">
        <w:rPr>
          <w:rFonts w:ascii="Times New Roman" w:hAnsi="Times New Roman" w:cs="Times New Roman"/>
          <w:sz w:val="24"/>
          <w:szCs w:val="24"/>
        </w:rPr>
        <w:t>p</w:t>
      </w:r>
      <w:r w:rsidR="008D16F9" w:rsidRPr="00221C89">
        <w:rPr>
          <w:rFonts w:ascii="Times New Roman" w:hAnsi="Times New Roman" w:cs="Times New Roman"/>
          <w:sz w:val="24"/>
          <w:szCs w:val="24"/>
        </w:rPr>
        <w:t>rohibits an “interested party,” as described in the subdivision, from</w:t>
      </w:r>
      <w:r w:rsidR="00272D9D" w:rsidRPr="00221C89">
        <w:rPr>
          <w:rFonts w:ascii="Times New Roman" w:hAnsi="Times New Roman" w:cs="Times New Roman"/>
          <w:sz w:val="24"/>
          <w:szCs w:val="24"/>
        </w:rPr>
        <w:t xml:space="preserve"> testifying to “personal transactions or communication</w:t>
      </w:r>
      <w:r w:rsidR="004B7007" w:rsidRPr="00221C89">
        <w:rPr>
          <w:rFonts w:ascii="Times New Roman" w:hAnsi="Times New Roman" w:cs="Times New Roman"/>
          <w:sz w:val="24"/>
          <w:szCs w:val="24"/>
        </w:rPr>
        <w:t>s with the</w:t>
      </w:r>
      <w:r w:rsidR="006801AE" w:rsidRPr="00221C89">
        <w:rPr>
          <w:rFonts w:ascii="Times New Roman" w:hAnsi="Times New Roman" w:cs="Times New Roman"/>
          <w:sz w:val="24"/>
          <w:szCs w:val="24"/>
        </w:rPr>
        <w:t xml:space="preserve"> donee of a power of appointment in an action or proceeding for the probate of a will, which exercises or attempts to exercise a power of appointment granted by the will of a donor of such power</w:t>
      </w:r>
      <w:r w:rsidR="00F8060B" w:rsidRPr="00221C89">
        <w:rPr>
          <w:rFonts w:ascii="Times New Roman" w:hAnsi="Times New Roman" w:cs="Times New Roman"/>
          <w:sz w:val="24"/>
          <w:szCs w:val="24"/>
        </w:rPr>
        <w:t>,</w:t>
      </w:r>
      <w:r w:rsidR="006801AE" w:rsidRPr="00221C89">
        <w:rPr>
          <w:rFonts w:ascii="Times New Roman" w:hAnsi="Times New Roman" w:cs="Times New Roman"/>
          <w:sz w:val="24"/>
          <w:szCs w:val="24"/>
        </w:rPr>
        <w:t xml:space="preserve"> or in an action or proceeding involving the construction of the will of the donee after its admission to probate</w:t>
      </w:r>
      <w:r w:rsidR="00E94D3A" w:rsidRPr="00221C89">
        <w:rPr>
          <w:rFonts w:ascii="Times New Roman" w:hAnsi="Times New Roman" w:cs="Times New Roman"/>
          <w:sz w:val="24"/>
          <w:szCs w:val="24"/>
        </w:rPr>
        <w:t>.</w:t>
      </w:r>
      <w:r w:rsidR="006801AE" w:rsidRPr="00221C89">
        <w:rPr>
          <w:rFonts w:ascii="Times New Roman" w:hAnsi="Times New Roman" w:cs="Times New Roman"/>
          <w:sz w:val="24"/>
          <w:szCs w:val="24"/>
        </w:rPr>
        <w:t>”</w:t>
      </w:r>
      <w:r w:rsidR="00A141A0"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 xml:space="preserve">This 1935 addition to the Dead Man’s </w:t>
      </w:r>
      <w:r w:rsidR="00E94939" w:rsidRPr="00221C89">
        <w:rPr>
          <w:rFonts w:ascii="Times New Roman" w:hAnsi="Times New Roman" w:cs="Times New Roman"/>
          <w:sz w:val="24"/>
          <w:szCs w:val="24"/>
        </w:rPr>
        <w:t>S</w:t>
      </w:r>
      <w:r w:rsidR="006801AE" w:rsidRPr="00221C89">
        <w:rPr>
          <w:rFonts w:ascii="Times New Roman" w:hAnsi="Times New Roman" w:cs="Times New Roman"/>
          <w:sz w:val="24"/>
          <w:szCs w:val="24"/>
        </w:rPr>
        <w:t xml:space="preserve">tatute was passed by the legislature to address issues raised in </w:t>
      </w:r>
      <w:r w:rsidR="006801AE" w:rsidRPr="00221C89">
        <w:rPr>
          <w:rFonts w:ascii="Times New Roman" w:hAnsi="Times New Roman" w:cs="Times New Roman"/>
          <w:i/>
          <w:iCs/>
          <w:sz w:val="24"/>
          <w:szCs w:val="24"/>
        </w:rPr>
        <w:t>Matter of Carroll</w:t>
      </w:r>
      <w:r w:rsidR="006801AE" w:rsidRPr="00221C89">
        <w:rPr>
          <w:rFonts w:ascii="Times New Roman" w:hAnsi="Times New Roman" w:cs="Times New Roman"/>
          <w:sz w:val="24"/>
          <w:szCs w:val="24"/>
        </w:rPr>
        <w:t xml:space="preserve"> </w:t>
      </w:r>
      <w:r w:rsidR="00F8060B" w:rsidRPr="00221C89">
        <w:rPr>
          <w:rFonts w:ascii="Times New Roman" w:hAnsi="Times New Roman" w:cs="Times New Roman"/>
          <w:sz w:val="24"/>
          <w:szCs w:val="24"/>
        </w:rPr>
        <w:t>(</w:t>
      </w:r>
      <w:r w:rsidR="006801AE" w:rsidRPr="00221C89">
        <w:rPr>
          <w:rFonts w:ascii="Times New Roman" w:hAnsi="Times New Roman" w:cs="Times New Roman"/>
          <w:sz w:val="24"/>
          <w:szCs w:val="24"/>
        </w:rPr>
        <w:t>153 Misc 649 [Sur Ct</w:t>
      </w:r>
      <w:r w:rsidR="00556AE6" w:rsidRPr="00221C89">
        <w:rPr>
          <w:rFonts w:ascii="Times New Roman" w:hAnsi="Times New Roman" w:cs="Times New Roman"/>
          <w:sz w:val="24"/>
          <w:szCs w:val="24"/>
        </w:rPr>
        <w:t>, NY County</w:t>
      </w:r>
      <w:r w:rsidR="006801AE" w:rsidRPr="00221C89">
        <w:rPr>
          <w:rFonts w:ascii="Times New Roman" w:hAnsi="Times New Roman" w:cs="Times New Roman"/>
          <w:sz w:val="24"/>
          <w:szCs w:val="24"/>
        </w:rPr>
        <w:t xml:space="preserve"> 1934]</w:t>
      </w:r>
      <w:r w:rsidR="00F8060B" w:rsidRPr="00221C89">
        <w:rPr>
          <w:rFonts w:ascii="Times New Roman" w:hAnsi="Times New Roman" w:cs="Times New Roman"/>
          <w:sz w:val="24"/>
          <w:szCs w:val="24"/>
        </w:rPr>
        <w:t>,</w:t>
      </w:r>
      <w:r w:rsidR="001D4734" w:rsidRPr="00221C89">
        <w:rPr>
          <w:rFonts w:ascii="Times New Roman" w:hAnsi="Times New Roman" w:cs="Times New Roman"/>
          <w:sz w:val="24"/>
          <w:szCs w:val="24"/>
        </w:rPr>
        <w:t> </w:t>
      </w:r>
      <w:r w:rsidR="001D4734" w:rsidRPr="00221C89">
        <w:rPr>
          <w:rFonts w:ascii="Times New Roman" w:hAnsi="Times New Roman" w:cs="Times New Roman"/>
          <w:i/>
          <w:iCs/>
          <w:sz w:val="24"/>
          <w:szCs w:val="24"/>
        </w:rPr>
        <w:t>decree mod</w:t>
      </w:r>
      <w:r w:rsidR="001D4734" w:rsidRPr="00221C89">
        <w:rPr>
          <w:rFonts w:ascii="Times New Roman" w:hAnsi="Times New Roman" w:cs="Times New Roman"/>
          <w:sz w:val="24"/>
          <w:szCs w:val="24"/>
        </w:rPr>
        <w:t> 247 A</w:t>
      </w:r>
      <w:r w:rsidR="00F8060B" w:rsidRPr="00221C89">
        <w:rPr>
          <w:rFonts w:ascii="Times New Roman" w:hAnsi="Times New Roman" w:cs="Times New Roman"/>
          <w:sz w:val="24"/>
          <w:szCs w:val="24"/>
        </w:rPr>
        <w:t xml:space="preserve">pp </w:t>
      </w:r>
      <w:r w:rsidR="001D4734" w:rsidRPr="00221C89">
        <w:rPr>
          <w:rFonts w:ascii="Times New Roman" w:hAnsi="Times New Roman" w:cs="Times New Roman"/>
          <w:sz w:val="24"/>
          <w:szCs w:val="24"/>
        </w:rPr>
        <w:t>D</w:t>
      </w:r>
      <w:r w:rsidR="00F8060B" w:rsidRPr="00221C89">
        <w:rPr>
          <w:rFonts w:ascii="Times New Roman" w:hAnsi="Times New Roman" w:cs="Times New Roman"/>
          <w:sz w:val="24"/>
          <w:szCs w:val="24"/>
        </w:rPr>
        <w:t>iv</w:t>
      </w:r>
      <w:r w:rsidR="001D4734" w:rsidRPr="00221C89">
        <w:rPr>
          <w:rFonts w:ascii="Times New Roman" w:hAnsi="Times New Roman" w:cs="Times New Roman"/>
          <w:sz w:val="24"/>
          <w:szCs w:val="24"/>
        </w:rPr>
        <w:t xml:space="preserve"> 11 [1st Dept 1936], </w:t>
      </w:r>
      <w:r w:rsidR="001D4734" w:rsidRPr="00221C89">
        <w:rPr>
          <w:rFonts w:ascii="Times New Roman" w:hAnsi="Times New Roman" w:cs="Times New Roman"/>
          <w:i/>
          <w:iCs/>
          <w:sz w:val="24"/>
          <w:szCs w:val="24"/>
        </w:rPr>
        <w:t>mod</w:t>
      </w:r>
      <w:r w:rsidR="001D4734" w:rsidRPr="00221C89">
        <w:rPr>
          <w:rFonts w:ascii="Times New Roman" w:hAnsi="Times New Roman" w:cs="Times New Roman"/>
          <w:sz w:val="24"/>
          <w:szCs w:val="24"/>
        </w:rPr>
        <w:t> 274 NY 288 [1937]</w:t>
      </w:r>
      <w:r w:rsidR="00F8060B" w:rsidRPr="00221C89">
        <w:rPr>
          <w:rFonts w:ascii="Times New Roman" w:hAnsi="Times New Roman" w:cs="Times New Roman"/>
          <w:sz w:val="24"/>
          <w:szCs w:val="24"/>
        </w:rPr>
        <w:t>)</w:t>
      </w:r>
      <w:r w:rsidR="0010586F" w:rsidRPr="00221C89">
        <w:rPr>
          <w:rFonts w:ascii="Times New Roman" w:hAnsi="Times New Roman" w:cs="Times New Roman"/>
          <w:sz w:val="24"/>
          <w:szCs w:val="24"/>
        </w:rPr>
        <w:t xml:space="preserve">.  </w:t>
      </w:r>
      <w:r w:rsidR="004B7007" w:rsidRPr="00221C89">
        <w:rPr>
          <w:rFonts w:ascii="Times New Roman" w:hAnsi="Times New Roman" w:cs="Times New Roman"/>
          <w:sz w:val="24"/>
          <w:szCs w:val="24"/>
        </w:rPr>
        <w:t>As explained by Alexander in the Practice Commentar</w:t>
      </w:r>
      <w:r w:rsidR="00F8060B" w:rsidRPr="00221C89">
        <w:rPr>
          <w:rFonts w:ascii="Times New Roman" w:hAnsi="Times New Roman" w:cs="Times New Roman"/>
          <w:sz w:val="24"/>
          <w:szCs w:val="24"/>
        </w:rPr>
        <w:t>ies</w:t>
      </w:r>
      <w:r w:rsidR="004B7007" w:rsidRPr="00221C89">
        <w:rPr>
          <w:rFonts w:ascii="Times New Roman" w:hAnsi="Times New Roman" w:cs="Times New Roman"/>
          <w:sz w:val="24"/>
          <w:szCs w:val="24"/>
        </w:rPr>
        <w:t xml:space="preserve"> to CPLR 451</w:t>
      </w:r>
      <w:r w:rsidR="00B746EB" w:rsidRPr="00221C89">
        <w:rPr>
          <w:rFonts w:ascii="Times New Roman" w:hAnsi="Times New Roman" w:cs="Times New Roman"/>
          <w:sz w:val="24"/>
          <w:szCs w:val="24"/>
        </w:rPr>
        <w:t>9:</w:t>
      </w:r>
    </w:p>
    <w:p w14:paraId="15DF01A5" w14:textId="77777777" w:rsidR="00B10778" w:rsidRPr="00221C89" w:rsidRDefault="00B10778" w:rsidP="00B10778">
      <w:pPr>
        <w:tabs>
          <w:tab w:val="left" w:pos="720"/>
        </w:tabs>
        <w:spacing w:after="0" w:line="240" w:lineRule="auto"/>
        <w:jc w:val="both"/>
        <w:rPr>
          <w:rFonts w:ascii="Times New Roman" w:hAnsi="Times New Roman" w:cs="Times New Roman"/>
          <w:sz w:val="24"/>
          <w:szCs w:val="24"/>
        </w:rPr>
      </w:pPr>
    </w:p>
    <w:p w14:paraId="2922FC0C" w14:textId="0AAB534D" w:rsidR="005642B6" w:rsidRPr="00221C89" w:rsidRDefault="002B01D2" w:rsidP="00161F07">
      <w:pPr>
        <w:spacing w:after="0" w:line="240" w:lineRule="auto"/>
        <w:ind w:left="720" w:right="720"/>
        <w:jc w:val="both"/>
        <w:rPr>
          <w:rFonts w:ascii="Times New Roman" w:hAnsi="Times New Roman" w:cs="Times New Roman"/>
          <w:sz w:val="24"/>
          <w:szCs w:val="24"/>
        </w:rPr>
      </w:pPr>
      <w:r w:rsidRPr="00221C89">
        <w:rPr>
          <w:rFonts w:ascii="Times New Roman" w:hAnsi="Times New Roman" w:cs="Times New Roman"/>
          <w:sz w:val="24"/>
          <w:szCs w:val="24"/>
        </w:rPr>
        <w:t>“</w:t>
      </w:r>
      <w:r w:rsidR="005642B6" w:rsidRPr="00221C89">
        <w:rPr>
          <w:rFonts w:ascii="Times New Roman" w:hAnsi="Times New Roman" w:cs="Times New Roman"/>
          <w:sz w:val="24"/>
          <w:szCs w:val="24"/>
        </w:rPr>
        <w:t xml:space="preserve">The </w:t>
      </w:r>
      <w:r w:rsidR="005642B6" w:rsidRPr="00221C89">
        <w:rPr>
          <w:rFonts w:ascii="Times New Roman" w:hAnsi="Times New Roman" w:cs="Times New Roman"/>
          <w:i/>
          <w:iCs/>
          <w:sz w:val="24"/>
          <w:szCs w:val="24"/>
        </w:rPr>
        <w:t xml:space="preserve">Carroll </w:t>
      </w:r>
      <w:r w:rsidR="005642B6" w:rsidRPr="00221C89">
        <w:rPr>
          <w:rFonts w:ascii="Times New Roman" w:hAnsi="Times New Roman" w:cs="Times New Roman"/>
          <w:sz w:val="24"/>
          <w:szCs w:val="24"/>
        </w:rPr>
        <w:t xml:space="preserve">court observed that without statutory modification, persons who would take certain property under the terms of A's will in the event of B's invalid exercise of a power of appointment given by A lacked standing to bar testimony by B's appointees regarding their dealings with the now-deceased B on the issue of the validity of B's exercise of the power.  The persons who would take in the case of default were deemed to derive their property from A, rather than B. This created the potential for jury confusion and inconsistent results in cases in which appointees might be named in B's will as beneficiaries of property not covered by the power of appointment.  With respect to the same will, such appointee-beneficiaries could </w:t>
      </w:r>
      <w:r w:rsidR="005642B6" w:rsidRPr="00221C89">
        <w:rPr>
          <w:rFonts w:ascii="Times New Roman" w:hAnsi="Times New Roman" w:cs="Times New Roman"/>
          <w:sz w:val="24"/>
          <w:szCs w:val="24"/>
        </w:rPr>
        <w:lastRenderedPageBreak/>
        <w:t>testify to transactions with B on the issue of the validity of the exercise of the power of appointment but not on the issue of the validity of the will in general.  The statutory language changes this result by prohibiting interested witnesses from testifying in their own behalf with respect to personal transactions or communications with the now-deceased donee of a power of appointment in probate proceedings involving the will in which the power of appointment was exercised</w:t>
      </w:r>
      <w:r w:rsidR="00F8060B" w:rsidRPr="00221C89">
        <w:rPr>
          <w:rFonts w:ascii="Times New Roman" w:hAnsi="Times New Roman" w:cs="Times New Roman"/>
          <w:sz w:val="24"/>
          <w:szCs w:val="24"/>
        </w:rPr>
        <w:t>” (CPLR C4519:3).</w:t>
      </w:r>
    </w:p>
    <w:p w14:paraId="69A75FA7" w14:textId="77777777" w:rsidR="00B10778" w:rsidRPr="00221C89" w:rsidRDefault="00B10778" w:rsidP="00161F07">
      <w:pPr>
        <w:spacing w:after="0" w:line="240" w:lineRule="auto"/>
        <w:jc w:val="both"/>
        <w:rPr>
          <w:rFonts w:ascii="Times New Roman" w:hAnsi="Times New Roman" w:cs="Times New Roman"/>
          <w:sz w:val="24"/>
          <w:szCs w:val="24"/>
        </w:rPr>
      </w:pPr>
    </w:p>
    <w:p w14:paraId="30A6F35F" w14:textId="7E9DD929" w:rsidR="006801AE" w:rsidRPr="00221C89" w:rsidRDefault="00B10778" w:rsidP="00B10778">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b/>
          <w:bCs/>
          <w:sz w:val="24"/>
          <w:szCs w:val="24"/>
        </w:rPr>
        <w:tab/>
      </w:r>
      <w:r w:rsidR="00E420A8" w:rsidRPr="00221C89">
        <w:rPr>
          <w:rFonts w:ascii="Times New Roman" w:hAnsi="Times New Roman" w:cs="Times New Roman"/>
          <w:b/>
          <w:bCs/>
          <w:sz w:val="24"/>
          <w:szCs w:val="24"/>
        </w:rPr>
        <w:t>Subdivision (5)</w:t>
      </w:r>
      <w:r w:rsidR="00E420A8" w:rsidRPr="00221C89">
        <w:rPr>
          <w:rFonts w:ascii="Times New Roman" w:hAnsi="Times New Roman" w:cs="Times New Roman"/>
          <w:sz w:val="24"/>
          <w:szCs w:val="24"/>
        </w:rPr>
        <w:t xml:space="preserve"> of the rule </w:t>
      </w:r>
      <w:r w:rsidR="006801AE" w:rsidRPr="00221C89">
        <w:rPr>
          <w:rFonts w:ascii="Times New Roman" w:hAnsi="Times New Roman" w:cs="Times New Roman"/>
          <w:sz w:val="24"/>
          <w:szCs w:val="24"/>
        </w:rPr>
        <w:t>covers the type of testimony (“facts of an accident or the results therefrom”) by</w:t>
      </w:r>
      <w:r w:rsidR="00004E5E" w:rsidRPr="00221C89">
        <w:rPr>
          <w:rFonts w:ascii="Times New Roman" w:hAnsi="Times New Roman" w:cs="Times New Roman"/>
          <w:sz w:val="24"/>
          <w:szCs w:val="24"/>
        </w:rPr>
        <w:t xml:space="preserve"> a</w:t>
      </w:r>
      <w:r w:rsidR="006801AE" w:rsidRPr="00221C89">
        <w:rPr>
          <w:rFonts w:ascii="Times New Roman" w:hAnsi="Times New Roman" w:cs="Times New Roman"/>
          <w:sz w:val="24"/>
          <w:szCs w:val="24"/>
        </w:rPr>
        <w:t xml:space="preserve"> witness in personal injury or wrongful death cases that does not render the</w:t>
      </w:r>
      <w:r w:rsidR="00946552" w:rsidRPr="00221C89">
        <w:rPr>
          <w:rFonts w:ascii="Times New Roman" w:hAnsi="Times New Roman" w:cs="Times New Roman"/>
          <w:sz w:val="24"/>
          <w:szCs w:val="24"/>
        </w:rPr>
        <w:t xml:space="preserve"> witness</w:t>
      </w:r>
      <w:r w:rsidR="006801AE" w:rsidRPr="00221C89">
        <w:rPr>
          <w:rFonts w:ascii="Times New Roman" w:hAnsi="Times New Roman" w:cs="Times New Roman"/>
          <w:sz w:val="24"/>
          <w:szCs w:val="24"/>
        </w:rPr>
        <w:t xml:space="preserve"> incompetent to testify under the statute </w:t>
      </w:r>
      <w:r w:rsidR="00093CCB" w:rsidRPr="00221C89">
        <w:rPr>
          <w:rFonts w:ascii="Times New Roman" w:hAnsi="Times New Roman" w:cs="Times New Roman"/>
          <w:sz w:val="24"/>
          <w:szCs w:val="24"/>
        </w:rPr>
        <w:t>(</w:t>
      </w:r>
      <w:r w:rsidR="006801AE" w:rsidRPr="00221C89">
        <w:rPr>
          <w:rFonts w:ascii="Times New Roman" w:hAnsi="Times New Roman" w:cs="Times New Roman"/>
          <w:i/>
          <w:iCs/>
          <w:sz w:val="24"/>
          <w:szCs w:val="24"/>
        </w:rPr>
        <w:t>Rost v Kessler</w:t>
      </w:r>
      <w:r w:rsidR="006801AE" w:rsidRPr="00221C89">
        <w:rPr>
          <w:rFonts w:ascii="Times New Roman" w:hAnsi="Times New Roman" w:cs="Times New Roman"/>
          <w:iCs/>
          <w:sz w:val="24"/>
          <w:szCs w:val="24"/>
        </w:rPr>
        <w:t>,</w:t>
      </w:r>
      <w:r w:rsidR="006801AE" w:rsidRPr="00221C89">
        <w:rPr>
          <w:rFonts w:ascii="Times New Roman" w:hAnsi="Times New Roman" w:cs="Times New Roman"/>
          <w:sz w:val="24"/>
          <w:szCs w:val="24"/>
        </w:rPr>
        <w:t xml:space="preserve"> 267 App Div 686,</w:t>
      </w:r>
      <w:r w:rsidR="004243AA" w:rsidRPr="00221C89">
        <w:rPr>
          <w:rFonts w:ascii="Times New Roman" w:hAnsi="Times New Roman" w:cs="Times New Roman"/>
          <w:sz w:val="24"/>
          <w:szCs w:val="24"/>
        </w:rPr>
        <w:t xml:space="preserve"> </w:t>
      </w:r>
      <w:r w:rsidR="006801AE" w:rsidRPr="00221C89">
        <w:rPr>
          <w:rFonts w:ascii="Times New Roman" w:hAnsi="Times New Roman" w:cs="Times New Roman"/>
          <w:sz w:val="24"/>
          <w:szCs w:val="24"/>
        </w:rPr>
        <w:t>687 [4</w:t>
      </w:r>
      <w:r w:rsidR="00F8060B" w:rsidRPr="00221C89">
        <w:rPr>
          <w:rFonts w:ascii="Times New Roman" w:hAnsi="Times New Roman" w:cs="Times New Roman"/>
          <w:sz w:val="24"/>
          <w:szCs w:val="24"/>
        </w:rPr>
        <w:t>th</w:t>
      </w:r>
      <w:r w:rsidR="006801AE" w:rsidRPr="00221C89">
        <w:rPr>
          <w:rFonts w:ascii="Times New Roman" w:hAnsi="Times New Roman" w:cs="Times New Roman"/>
          <w:sz w:val="24"/>
          <w:szCs w:val="24"/>
        </w:rPr>
        <w:t xml:space="preserve"> </w:t>
      </w:r>
      <w:r w:rsidR="00E420A8" w:rsidRPr="00221C89">
        <w:rPr>
          <w:rFonts w:ascii="Times New Roman" w:hAnsi="Times New Roman" w:cs="Times New Roman"/>
          <w:sz w:val="24"/>
          <w:szCs w:val="24"/>
        </w:rPr>
        <w:t>Dept</w:t>
      </w:r>
      <w:r w:rsidR="006801AE" w:rsidRPr="00221C89">
        <w:rPr>
          <w:rFonts w:ascii="Times New Roman" w:hAnsi="Times New Roman" w:cs="Times New Roman"/>
          <w:sz w:val="24"/>
          <w:szCs w:val="24"/>
        </w:rPr>
        <w:t xml:space="preserve"> 1944]</w:t>
      </w:r>
      <w:r w:rsidR="00093CCB" w:rsidRPr="00221C89">
        <w:rPr>
          <w:rFonts w:ascii="Times New Roman" w:hAnsi="Times New Roman" w:cs="Times New Roman"/>
          <w:sz w:val="24"/>
          <w:szCs w:val="24"/>
        </w:rPr>
        <w:t>)</w:t>
      </w:r>
      <w:r w:rsidR="004243AA" w:rsidRPr="00221C89">
        <w:rPr>
          <w:rFonts w:ascii="Times New Roman" w:hAnsi="Times New Roman" w:cs="Times New Roman"/>
          <w:sz w:val="24"/>
          <w:szCs w:val="24"/>
        </w:rPr>
        <w:t xml:space="preserve">.  </w:t>
      </w:r>
      <w:r w:rsidR="006A08A3" w:rsidRPr="00221C89">
        <w:rPr>
          <w:rFonts w:ascii="Times New Roman" w:hAnsi="Times New Roman" w:cs="Times New Roman"/>
          <w:sz w:val="24"/>
          <w:szCs w:val="24"/>
        </w:rPr>
        <w:t xml:space="preserve">In </w:t>
      </w:r>
      <w:r w:rsidR="006A08A3" w:rsidRPr="00221C89">
        <w:rPr>
          <w:rFonts w:ascii="Times New Roman" w:hAnsi="Times New Roman" w:cs="Times New Roman"/>
          <w:i/>
          <w:iCs/>
          <w:sz w:val="24"/>
          <w:szCs w:val="24"/>
        </w:rPr>
        <w:t>Rost</w:t>
      </w:r>
      <w:r w:rsidR="006A08A3" w:rsidRPr="00221C89">
        <w:rPr>
          <w:rFonts w:ascii="Times New Roman" w:hAnsi="Times New Roman" w:cs="Times New Roman"/>
          <w:sz w:val="24"/>
          <w:szCs w:val="24"/>
        </w:rPr>
        <w:t>, t</w:t>
      </w:r>
      <w:r w:rsidR="006801AE" w:rsidRPr="00221C89">
        <w:rPr>
          <w:rFonts w:ascii="Times New Roman" w:hAnsi="Times New Roman" w:cs="Times New Roman"/>
          <w:sz w:val="24"/>
          <w:szCs w:val="24"/>
        </w:rPr>
        <w:t xml:space="preserve">he “fact” was the identity of the driver of the car and the Appellate Division held that the defendant should have been permitted to testify that the decedent </w:t>
      </w:r>
      <w:r w:rsidR="003D64D1" w:rsidRPr="00221C89">
        <w:rPr>
          <w:rFonts w:ascii="Times New Roman" w:hAnsi="Times New Roman" w:cs="Times New Roman"/>
          <w:sz w:val="24"/>
          <w:szCs w:val="24"/>
        </w:rPr>
        <w:t xml:space="preserve">was the driver </w:t>
      </w:r>
      <w:r w:rsidR="006801AE" w:rsidRPr="00221C89">
        <w:rPr>
          <w:rFonts w:ascii="Times New Roman" w:hAnsi="Times New Roman" w:cs="Times New Roman"/>
          <w:sz w:val="24"/>
          <w:szCs w:val="24"/>
        </w:rPr>
        <w:t>since the testimony did not require the recitation of a communication with the decedent.</w:t>
      </w:r>
    </w:p>
    <w:p w14:paraId="08A0FCDF" w14:textId="77777777" w:rsidR="00B10778" w:rsidRPr="00221C89" w:rsidRDefault="00B10778" w:rsidP="00B10778">
      <w:pPr>
        <w:tabs>
          <w:tab w:val="left" w:pos="720"/>
        </w:tabs>
        <w:spacing w:after="0" w:line="240" w:lineRule="auto"/>
        <w:jc w:val="both"/>
        <w:rPr>
          <w:rFonts w:ascii="Times New Roman" w:hAnsi="Times New Roman" w:cs="Times New Roman"/>
          <w:sz w:val="24"/>
          <w:szCs w:val="24"/>
        </w:rPr>
      </w:pPr>
    </w:p>
    <w:p w14:paraId="441710B1" w14:textId="2311BDF9" w:rsidR="00CD4B03" w:rsidRPr="00221C89" w:rsidRDefault="00EA4642" w:rsidP="00CE66C6">
      <w:pPr>
        <w:spacing w:after="0" w:line="240" w:lineRule="auto"/>
        <w:jc w:val="both"/>
        <w:rPr>
          <w:rFonts w:ascii="Times New Roman" w:hAnsi="Times New Roman" w:cs="Times New Roman"/>
          <w:b/>
          <w:bCs/>
          <w:sz w:val="24"/>
          <w:szCs w:val="24"/>
        </w:rPr>
      </w:pPr>
      <w:r w:rsidRPr="00221C89">
        <w:rPr>
          <w:rFonts w:ascii="Times New Roman" w:hAnsi="Times New Roman" w:cs="Times New Roman"/>
          <w:b/>
          <w:bCs/>
          <w:sz w:val="24"/>
          <w:szCs w:val="24"/>
        </w:rPr>
        <w:t>Procedural issues</w:t>
      </w:r>
    </w:p>
    <w:p w14:paraId="7AB1AD74" w14:textId="77777777" w:rsidR="00B10778" w:rsidRPr="00221C89" w:rsidRDefault="00B10778" w:rsidP="00CE66C6">
      <w:pPr>
        <w:spacing w:after="0" w:line="240" w:lineRule="auto"/>
        <w:jc w:val="both"/>
        <w:rPr>
          <w:rFonts w:ascii="Times New Roman" w:hAnsi="Times New Roman" w:cs="Times New Roman"/>
          <w:b/>
          <w:bCs/>
          <w:sz w:val="24"/>
          <w:szCs w:val="24"/>
        </w:rPr>
      </w:pPr>
    </w:p>
    <w:p w14:paraId="06428032" w14:textId="4FB5867A" w:rsidR="00F84FE3" w:rsidRPr="00221C89" w:rsidRDefault="00B10778" w:rsidP="00B10778">
      <w:pPr>
        <w:tabs>
          <w:tab w:val="left" w:pos="720"/>
        </w:tabs>
        <w:spacing w:after="0" w:line="240" w:lineRule="auto"/>
        <w:jc w:val="both"/>
        <w:rPr>
          <w:rFonts w:ascii="Times New Roman" w:eastAsia="Times New Roman" w:hAnsi="Times New Roman" w:cs="Times New Roman"/>
          <w:sz w:val="24"/>
          <w:szCs w:val="24"/>
        </w:rPr>
      </w:pPr>
      <w:r w:rsidRPr="00221C89">
        <w:rPr>
          <w:rFonts w:ascii="Times New Roman" w:hAnsi="Times New Roman" w:cs="Times New Roman"/>
          <w:sz w:val="24"/>
          <w:szCs w:val="24"/>
        </w:rPr>
        <w:tab/>
      </w:r>
      <w:r w:rsidR="00D633AA" w:rsidRPr="00221C89">
        <w:rPr>
          <w:rFonts w:ascii="Times New Roman" w:hAnsi="Times New Roman" w:cs="Times New Roman"/>
          <w:sz w:val="24"/>
          <w:szCs w:val="24"/>
        </w:rPr>
        <w:t xml:space="preserve">The </w:t>
      </w:r>
      <w:r w:rsidR="00CB1CB4" w:rsidRPr="00221C89">
        <w:rPr>
          <w:rFonts w:ascii="Times New Roman" w:hAnsi="Times New Roman" w:cs="Times New Roman"/>
          <w:sz w:val="24"/>
          <w:szCs w:val="24"/>
        </w:rPr>
        <w:t xml:space="preserve">party objecting to </w:t>
      </w:r>
      <w:r w:rsidR="001F604F" w:rsidRPr="00221C89">
        <w:rPr>
          <w:rFonts w:ascii="Times New Roman" w:hAnsi="Times New Roman" w:cs="Times New Roman"/>
          <w:sz w:val="24"/>
          <w:szCs w:val="24"/>
        </w:rPr>
        <w:t>the competenc</w:t>
      </w:r>
      <w:r w:rsidR="00FA6B9B" w:rsidRPr="00221C89">
        <w:rPr>
          <w:rFonts w:ascii="Times New Roman" w:hAnsi="Times New Roman" w:cs="Times New Roman"/>
          <w:sz w:val="24"/>
          <w:szCs w:val="24"/>
        </w:rPr>
        <w:t>y</w:t>
      </w:r>
      <w:r w:rsidR="001F604F" w:rsidRPr="00221C89">
        <w:rPr>
          <w:rFonts w:ascii="Times New Roman" w:hAnsi="Times New Roman" w:cs="Times New Roman"/>
          <w:sz w:val="24"/>
          <w:szCs w:val="24"/>
        </w:rPr>
        <w:t xml:space="preserve"> of </w:t>
      </w:r>
      <w:r w:rsidR="00C241D9" w:rsidRPr="00221C89">
        <w:rPr>
          <w:rFonts w:ascii="Times New Roman" w:hAnsi="Times New Roman" w:cs="Times New Roman"/>
          <w:sz w:val="24"/>
          <w:szCs w:val="24"/>
        </w:rPr>
        <w:t xml:space="preserve"> a </w:t>
      </w:r>
      <w:r w:rsidR="000C7223" w:rsidRPr="00221C89">
        <w:rPr>
          <w:rFonts w:ascii="Times New Roman" w:hAnsi="Times New Roman" w:cs="Times New Roman"/>
          <w:sz w:val="24"/>
          <w:szCs w:val="24"/>
        </w:rPr>
        <w:t xml:space="preserve">witness </w:t>
      </w:r>
      <w:r w:rsidR="00960A73" w:rsidRPr="00221C89">
        <w:rPr>
          <w:rFonts w:ascii="Times New Roman" w:hAnsi="Times New Roman" w:cs="Times New Roman"/>
          <w:sz w:val="24"/>
          <w:szCs w:val="24"/>
        </w:rPr>
        <w:t xml:space="preserve">under the Dead Man’s Statute </w:t>
      </w:r>
      <w:r w:rsidR="000C7223" w:rsidRPr="00221C89">
        <w:rPr>
          <w:rFonts w:ascii="Times New Roman" w:hAnsi="Times New Roman" w:cs="Times New Roman"/>
          <w:sz w:val="24"/>
          <w:szCs w:val="24"/>
        </w:rPr>
        <w:t>has the burden</w:t>
      </w:r>
      <w:r w:rsidR="00FA6B9B" w:rsidRPr="00221C89">
        <w:rPr>
          <w:rFonts w:ascii="Times New Roman" w:hAnsi="Times New Roman" w:cs="Times New Roman"/>
          <w:sz w:val="24"/>
          <w:szCs w:val="24"/>
        </w:rPr>
        <w:t xml:space="preserve"> of</w:t>
      </w:r>
      <w:r w:rsidR="00DC6B14" w:rsidRPr="00221C89">
        <w:rPr>
          <w:rFonts w:ascii="Times New Roman" w:hAnsi="Times New Roman" w:cs="Times New Roman"/>
          <w:sz w:val="24"/>
          <w:szCs w:val="24"/>
        </w:rPr>
        <w:t xml:space="preserve">  </w:t>
      </w:r>
      <w:r w:rsidR="00FA6B9B" w:rsidRPr="00221C89">
        <w:rPr>
          <w:rFonts w:ascii="Times New Roman" w:hAnsi="Times New Roman" w:cs="Times New Roman"/>
          <w:sz w:val="24"/>
          <w:szCs w:val="24"/>
        </w:rPr>
        <w:t>proving incompetency</w:t>
      </w:r>
      <w:r w:rsidR="004E7078" w:rsidRPr="00221C89">
        <w:rPr>
          <w:rFonts w:ascii="Times New Roman" w:hAnsi="Times New Roman" w:cs="Times New Roman"/>
          <w:sz w:val="24"/>
          <w:szCs w:val="24"/>
        </w:rPr>
        <w:t xml:space="preserve">  (</w:t>
      </w:r>
      <w:r w:rsidR="00967CA7" w:rsidRPr="00221C89">
        <w:rPr>
          <w:rFonts w:ascii="Times New Roman" w:eastAsia="Times New Roman" w:hAnsi="Times New Roman" w:cs="Times New Roman"/>
          <w:i/>
          <w:iCs/>
          <w:sz w:val="24"/>
          <w:szCs w:val="24"/>
        </w:rPr>
        <w:t>Stay v Horvath</w:t>
      </w:r>
      <w:r w:rsidR="004E7078" w:rsidRPr="00221C89">
        <w:rPr>
          <w:rFonts w:ascii="Times New Roman" w:eastAsia="Times New Roman" w:hAnsi="Times New Roman" w:cs="Times New Roman"/>
          <w:sz w:val="24"/>
          <w:szCs w:val="24"/>
        </w:rPr>
        <w:t>,</w:t>
      </w:r>
      <w:r w:rsidR="0057134F" w:rsidRPr="00221C89">
        <w:rPr>
          <w:rFonts w:ascii="Times New Roman" w:eastAsia="Times New Roman" w:hAnsi="Times New Roman" w:cs="Times New Roman"/>
          <w:sz w:val="24"/>
          <w:szCs w:val="24"/>
        </w:rPr>
        <w:t xml:space="preserve"> 177 A</w:t>
      </w:r>
      <w:r w:rsidR="00F8060B" w:rsidRPr="00221C89">
        <w:rPr>
          <w:rFonts w:ascii="Times New Roman" w:eastAsia="Times New Roman" w:hAnsi="Times New Roman" w:cs="Times New Roman"/>
          <w:sz w:val="24"/>
          <w:szCs w:val="24"/>
        </w:rPr>
        <w:t>D</w:t>
      </w:r>
      <w:r w:rsidR="0057134F" w:rsidRPr="00221C89">
        <w:rPr>
          <w:rFonts w:ascii="Times New Roman" w:eastAsia="Times New Roman" w:hAnsi="Times New Roman" w:cs="Times New Roman"/>
          <w:sz w:val="24"/>
          <w:szCs w:val="24"/>
        </w:rPr>
        <w:t>2d 897</w:t>
      </w:r>
      <w:r w:rsidR="00F8060B" w:rsidRPr="00221C89">
        <w:rPr>
          <w:rFonts w:ascii="Times New Roman" w:eastAsia="Times New Roman" w:hAnsi="Times New Roman" w:cs="Times New Roman"/>
          <w:sz w:val="24"/>
          <w:szCs w:val="24"/>
        </w:rPr>
        <w:t>, 899</w:t>
      </w:r>
      <w:r w:rsidR="0057134F" w:rsidRPr="00221C89">
        <w:rPr>
          <w:rFonts w:ascii="Times New Roman" w:eastAsia="Times New Roman" w:hAnsi="Times New Roman" w:cs="Times New Roman"/>
          <w:sz w:val="24"/>
          <w:szCs w:val="24"/>
        </w:rPr>
        <w:t xml:space="preserve"> [</w:t>
      </w:r>
      <w:r w:rsidR="00E44D2F" w:rsidRPr="00221C89">
        <w:rPr>
          <w:rFonts w:ascii="Times New Roman" w:eastAsia="Times New Roman" w:hAnsi="Times New Roman" w:cs="Times New Roman"/>
          <w:sz w:val="24"/>
          <w:szCs w:val="24"/>
        </w:rPr>
        <w:t>3</w:t>
      </w:r>
      <w:r w:rsidR="00880461" w:rsidRPr="00221C89">
        <w:rPr>
          <w:rFonts w:ascii="Times New Roman" w:eastAsia="Times New Roman" w:hAnsi="Times New Roman" w:cs="Times New Roman"/>
          <w:sz w:val="24"/>
          <w:szCs w:val="24"/>
        </w:rPr>
        <w:t>d</w:t>
      </w:r>
      <w:r w:rsidR="00E44D2F" w:rsidRPr="00221C89">
        <w:rPr>
          <w:rFonts w:ascii="Times New Roman" w:eastAsia="Times New Roman" w:hAnsi="Times New Roman" w:cs="Times New Roman"/>
          <w:sz w:val="24"/>
          <w:szCs w:val="24"/>
        </w:rPr>
        <w:t xml:space="preserve"> Dept</w:t>
      </w:r>
      <w:r w:rsidR="001537F4" w:rsidRPr="00221C89">
        <w:rPr>
          <w:rFonts w:ascii="Times New Roman" w:eastAsia="Times New Roman" w:hAnsi="Times New Roman" w:cs="Times New Roman"/>
          <w:sz w:val="24"/>
          <w:szCs w:val="24"/>
        </w:rPr>
        <w:t xml:space="preserve"> 1991]</w:t>
      </w:r>
      <w:r w:rsidR="00F8060B" w:rsidRPr="00221C89">
        <w:rPr>
          <w:rFonts w:ascii="Times New Roman" w:eastAsia="Times New Roman" w:hAnsi="Times New Roman" w:cs="Times New Roman"/>
          <w:sz w:val="24"/>
          <w:szCs w:val="24"/>
        </w:rPr>
        <w:t xml:space="preserve"> </w:t>
      </w:r>
      <w:r w:rsidR="00E4396E" w:rsidRPr="00221C89">
        <w:rPr>
          <w:rFonts w:ascii="Times New Roman" w:eastAsia="Times New Roman" w:hAnsi="Times New Roman" w:cs="Times New Roman"/>
          <w:sz w:val="24"/>
          <w:szCs w:val="24"/>
        </w:rPr>
        <w:t>[</w:t>
      </w:r>
      <w:r w:rsidR="00D837DF" w:rsidRPr="00221C89">
        <w:rPr>
          <w:rFonts w:ascii="Times New Roman" w:eastAsia="Times New Roman" w:hAnsi="Times New Roman" w:cs="Times New Roman"/>
          <w:sz w:val="24"/>
          <w:szCs w:val="24"/>
        </w:rPr>
        <w:t>“</w:t>
      </w:r>
      <w:r w:rsidR="002403F6" w:rsidRPr="00221C89">
        <w:rPr>
          <w:rFonts w:ascii="Times New Roman" w:eastAsia="Times New Roman" w:hAnsi="Times New Roman" w:cs="Times New Roman"/>
          <w:sz w:val="24"/>
          <w:szCs w:val="24"/>
        </w:rPr>
        <w:t xml:space="preserve">the party </w:t>
      </w:r>
      <w:r w:rsidR="0041376E" w:rsidRPr="00221C89">
        <w:rPr>
          <w:rFonts w:ascii="Times New Roman" w:eastAsia="Times New Roman" w:hAnsi="Times New Roman" w:cs="Times New Roman"/>
          <w:sz w:val="24"/>
          <w:szCs w:val="24"/>
        </w:rPr>
        <w:t>claiming that a witness is a p</w:t>
      </w:r>
      <w:r w:rsidR="00B53B45" w:rsidRPr="00221C89">
        <w:rPr>
          <w:rFonts w:ascii="Times New Roman" w:eastAsia="Times New Roman" w:hAnsi="Times New Roman" w:cs="Times New Roman"/>
          <w:sz w:val="24"/>
          <w:szCs w:val="24"/>
        </w:rPr>
        <w:t xml:space="preserve">erson </w:t>
      </w:r>
      <w:r w:rsidR="00D756DE" w:rsidRPr="00221C89">
        <w:rPr>
          <w:rFonts w:ascii="Times New Roman" w:eastAsia="Times New Roman" w:hAnsi="Times New Roman" w:cs="Times New Roman"/>
          <w:sz w:val="24"/>
          <w:szCs w:val="24"/>
        </w:rPr>
        <w:t>‘</w:t>
      </w:r>
      <w:r w:rsidR="0041376E" w:rsidRPr="00221C89">
        <w:rPr>
          <w:rFonts w:ascii="Times New Roman" w:eastAsia="Times New Roman" w:hAnsi="Times New Roman" w:cs="Times New Roman"/>
          <w:sz w:val="24"/>
          <w:szCs w:val="24"/>
        </w:rPr>
        <w:t xml:space="preserve">interested in the </w:t>
      </w:r>
      <w:r w:rsidR="0071675F" w:rsidRPr="00221C89">
        <w:rPr>
          <w:rFonts w:ascii="Times New Roman" w:eastAsia="Times New Roman" w:hAnsi="Times New Roman" w:cs="Times New Roman"/>
          <w:sz w:val="24"/>
          <w:szCs w:val="24"/>
        </w:rPr>
        <w:t>event</w:t>
      </w:r>
      <w:r w:rsidR="00D756DE" w:rsidRPr="00221C89">
        <w:rPr>
          <w:rFonts w:ascii="Times New Roman" w:eastAsia="Times New Roman" w:hAnsi="Times New Roman" w:cs="Times New Roman"/>
          <w:sz w:val="24"/>
          <w:szCs w:val="24"/>
        </w:rPr>
        <w:t xml:space="preserve">’ </w:t>
      </w:r>
      <w:r w:rsidR="0071675F" w:rsidRPr="00221C89">
        <w:rPr>
          <w:rFonts w:ascii="Times New Roman" w:eastAsia="Times New Roman" w:hAnsi="Times New Roman" w:cs="Times New Roman"/>
          <w:sz w:val="24"/>
          <w:szCs w:val="24"/>
        </w:rPr>
        <w:t xml:space="preserve">(CPLR 4519) carries the burden </w:t>
      </w:r>
      <w:r w:rsidR="00F65ECC" w:rsidRPr="00221C89">
        <w:rPr>
          <w:rFonts w:ascii="Times New Roman" w:eastAsia="Times New Roman" w:hAnsi="Times New Roman" w:cs="Times New Roman"/>
          <w:sz w:val="24"/>
          <w:szCs w:val="24"/>
        </w:rPr>
        <w:t>of proving that the witness’s</w:t>
      </w:r>
      <w:r w:rsidR="00434188" w:rsidRPr="00221C89">
        <w:rPr>
          <w:rFonts w:ascii="Times New Roman" w:eastAsia="Times New Roman" w:hAnsi="Times New Roman" w:cs="Times New Roman"/>
          <w:sz w:val="24"/>
          <w:szCs w:val="24"/>
        </w:rPr>
        <w:t xml:space="preserve"> testimony is subject to </w:t>
      </w:r>
      <w:r w:rsidR="00F8060B" w:rsidRPr="00221C89">
        <w:rPr>
          <w:rFonts w:ascii="Times New Roman" w:eastAsia="Times New Roman" w:hAnsi="Times New Roman" w:cs="Times New Roman"/>
          <w:sz w:val="24"/>
          <w:szCs w:val="24"/>
        </w:rPr>
        <w:t>this</w:t>
      </w:r>
      <w:r w:rsidR="00434188" w:rsidRPr="00221C89">
        <w:rPr>
          <w:rFonts w:ascii="Times New Roman" w:eastAsia="Times New Roman" w:hAnsi="Times New Roman" w:cs="Times New Roman"/>
          <w:sz w:val="24"/>
          <w:szCs w:val="24"/>
        </w:rPr>
        <w:t xml:space="preserve"> statutory exclusion</w:t>
      </w:r>
      <w:r w:rsidR="00D756DE" w:rsidRPr="00221C89">
        <w:rPr>
          <w:rFonts w:ascii="Times New Roman" w:eastAsia="Times New Roman" w:hAnsi="Times New Roman" w:cs="Times New Roman"/>
          <w:sz w:val="24"/>
          <w:szCs w:val="24"/>
        </w:rPr>
        <w:t xml:space="preserve">” </w:t>
      </w:r>
      <w:r w:rsidR="00F8060B" w:rsidRPr="00221C89">
        <w:rPr>
          <w:rFonts w:ascii="Times New Roman" w:eastAsia="Times New Roman" w:hAnsi="Times New Roman" w:cs="Times New Roman"/>
          <w:sz w:val="24"/>
          <w:szCs w:val="24"/>
        </w:rPr>
        <w:t>(</w:t>
      </w:r>
      <w:r w:rsidR="001F0AA1" w:rsidRPr="00221C89">
        <w:rPr>
          <w:rFonts w:ascii="Times New Roman" w:eastAsia="Times New Roman" w:hAnsi="Times New Roman" w:cs="Times New Roman"/>
          <w:sz w:val="24"/>
          <w:szCs w:val="24"/>
        </w:rPr>
        <w:t>citations</w:t>
      </w:r>
      <w:r w:rsidR="00D837DF" w:rsidRPr="00221C89">
        <w:rPr>
          <w:rFonts w:ascii="Times New Roman" w:eastAsia="Times New Roman" w:hAnsi="Times New Roman" w:cs="Times New Roman"/>
          <w:sz w:val="24"/>
          <w:szCs w:val="24"/>
        </w:rPr>
        <w:t xml:space="preserve"> omitte</w:t>
      </w:r>
      <w:r w:rsidR="006E7AF9" w:rsidRPr="00221C89">
        <w:rPr>
          <w:rFonts w:ascii="Times New Roman" w:eastAsia="Times New Roman" w:hAnsi="Times New Roman" w:cs="Times New Roman"/>
          <w:sz w:val="24"/>
          <w:szCs w:val="24"/>
        </w:rPr>
        <w:t>d</w:t>
      </w:r>
      <w:r w:rsidR="00F8060B" w:rsidRPr="00221C89">
        <w:rPr>
          <w:rFonts w:ascii="Times New Roman" w:eastAsia="Times New Roman" w:hAnsi="Times New Roman" w:cs="Times New Roman"/>
          <w:sz w:val="24"/>
          <w:szCs w:val="24"/>
        </w:rPr>
        <w:t>)</w:t>
      </w:r>
      <w:r w:rsidR="00490B43" w:rsidRPr="00221C89">
        <w:rPr>
          <w:rFonts w:ascii="Times New Roman" w:eastAsia="Times New Roman" w:hAnsi="Times New Roman" w:cs="Times New Roman"/>
          <w:sz w:val="24"/>
          <w:szCs w:val="24"/>
        </w:rPr>
        <w:t>]</w:t>
      </w:r>
      <w:r w:rsidR="00514626" w:rsidRPr="00221C89">
        <w:rPr>
          <w:rFonts w:ascii="Times New Roman" w:eastAsia="Times New Roman" w:hAnsi="Times New Roman" w:cs="Times New Roman"/>
          <w:sz w:val="24"/>
          <w:szCs w:val="24"/>
        </w:rPr>
        <w:t>;</w:t>
      </w:r>
      <w:r w:rsidR="00514626" w:rsidRPr="00221C89">
        <w:rPr>
          <w:rFonts w:ascii="Times New Roman" w:hAnsi="Times New Roman" w:cs="Times New Roman"/>
          <w:i/>
          <w:iCs/>
          <w:sz w:val="24"/>
          <w:szCs w:val="24"/>
        </w:rPr>
        <w:t xml:space="preserve"> Matter of Mead</w:t>
      </w:r>
      <w:r w:rsidR="00514626" w:rsidRPr="00221C89">
        <w:rPr>
          <w:rFonts w:ascii="Times New Roman" w:hAnsi="Times New Roman" w:cs="Times New Roman"/>
          <w:iCs/>
          <w:sz w:val="24"/>
          <w:szCs w:val="24"/>
        </w:rPr>
        <w:t>,</w:t>
      </w:r>
      <w:r w:rsidR="00514626" w:rsidRPr="00221C89">
        <w:rPr>
          <w:rFonts w:ascii="Times New Roman" w:hAnsi="Times New Roman" w:cs="Times New Roman"/>
          <w:sz w:val="24"/>
          <w:szCs w:val="24"/>
        </w:rPr>
        <w:t xml:space="preserve"> 129 AD2d 1008</w:t>
      </w:r>
      <w:r w:rsidR="00514626" w:rsidRPr="00221C89">
        <w:rPr>
          <w:rFonts w:ascii="Times New Roman" w:eastAsia="Times New Roman" w:hAnsi="Times New Roman" w:cs="Times New Roman"/>
          <w:sz w:val="24"/>
          <w:szCs w:val="24"/>
        </w:rPr>
        <w:t xml:space="preserve"> [4th Dept 1987]</w:t>
      </w:r>
      <w:r w:rsidR="00880461" w:rsidRPr="00221C89">
        <w:rPr>
          <w:rFonts w:ascii="Times New Roman" w:eastAsia="Times New Roman" w:hAnsi="Times New Roman" w:cs="Times New Roman"/>
          <w:sz w:val="24"/>
          <w:szCs w:val="24"/>
        </w:rPr>
        <w:t>).</w:t>
      </w:r>
    </w:p>
    <w:p w14:paraId="18F6BB56" w14:textId="77777777" w:rsidR="00B10778" w:rsidRPr="00221C89" w:rsidRDefault="00B10778" w:rsidP="00B10778">
      <w:pPr>
        <w:tabs>
          <w:tab w:val="left" w:pos="720"/>
        </w:tabs>
        <w:spacing w:after="0" w:line="240" w:lineRule="auto"/>
        <w:jc w:val="both"/>
        <w:rPr>
          <w:rFonts w:ascii="Times New Roman" w:eastAsia="Times New Roman" w:hAnsi="Times New Roman" w:cs="Times New Roman"/>
          <w:sz w:val="24"/>
          <w:szCs w:val="24"/>
        </w:rPr>
      </w:pPr>
    </w:p>
    <w:p w14:paraId="60D75210" w14:textId="42D3C0E3" w:rsidR="00F0230F" w:rsidRPr="00221C89" w:rsidRDefault="00161F07" w:rsidP="00161F07">
      <w:pPr>
        <w:tabs>
          <w:tab w:val="left" w:pos="720"/>
        </w:tabs>
        <w:spacing w:after="0" w:line="240" w:lineRule="auto"/>
        <w:jc w:val="both"/>
        <w:rPr>
          <w:rFonts w:ascii="Times New Roman" w:eastAsia="Times New Roman" w:hAnsi="Times New Roman" w:cs="Times New Roman"/>
          <w:sz w:val="24"/>
          <w:szCs w:val="24"/>
        </w:rPr>
      </w:pPr>
      <w:r w:rsidRPr="00221C89">
        <w:rPr>
          <w:rFonts w:ascii="Times New Roman" w:eastAsia="Times New Roman" w:hAnsi="Times New Roman" w:cs="Times New Roman"/>
          <w:sz w:val="24"/>
          <w:szCs w:val="24"/>
        </w:rPr>
        <w:tab/>
      </w:r>
      <w:r w:rsidR="00343811" w:rsidRPr="00221C89">
        <w:rPr>
          <w:rFonts w:ascii="Times New Roman" w:eastAsia="Times New Roman" w:hAnsi="Times New Roman" w:cs="Times New Roman"/>
          <w:sz w:val="24"/>
          <w:szCs w:val="24"/>
        </w:rPr>
        <w:t xml:space="preserve">The objection must be to the competency of the witness, not to the competency of the testimony because the testimony may be relevant, but the witness not competent to </w:t>
      </w:r>
      <w:r w:rsidR="00EA2C57" w:rsidRPr="00221C89">
        <w:rPr>
          <w:rFonts w:ascii="Times New Roman" w:eastAsia="Times New Roman" w:hAnsi="Times New Roman" w:cs="Times New Roman"/>
          <w:sz w:val="24"/>
          <w:szCs w:val="24"/>
        </w:rPr>
        <w:t>give that testimony</w:t>
      </w:r>
      <w:r w:rsidR="00564CC7" w:rsidRPr="00221C89">
        <w:rPr>
          <w:rFonts w:ascii="Times New Roman" w:eastAsia="Times New Roman" w:hAnsi="Times New Roman" w:cs="Times New Roman"/>
          <w:sz w:val="24"/>
          <w:szCs w:val="24"/>
        </w:rPr>
        <w:t xml:space="preserve"> </w:t>
      </w:r>
      <w:r w:rsidR="00D756DE" w:rsidRPr="00221C89">
        <w:rPr>
          <w:rFonts w:ascii="Times New Roman" w:eastAsia="Times New Roman" w:hAnsi="Times New Roman" w:cs="Times New Roman"/>
          <w:sz w:val="24"/>
          <w:szCs w:val="24"/>
        </w:rPr>
        <w:t>(</w:t>
      </w:r>
      <w:r w:rsidR="00564CC7" w:rsidRPr="00221C89">
        <w:rPr>
          <w:rFonts w:ascii="Times New Roman" w:eastAsia="Times New Roman" w:hAnsi="Times New Roman" w:cs="Times New Roman"/>
          <w:i/>
          <w:iCs/>
          <w:sz w:val="24"/>
          <w:szCs w:val="24"/>
        </w:rPr>
        <w:t>Hoag v</w:t>
      </w:r>
      <w:r w:rsidR="00D756DE" w:rsidRPr="00221C89">
        <w:rPr>
          <w:rFonts w:ascii="Times New Roman" w:eastAsia="Times New Roman" w:hAnsi="Times New Roman" w:cs="Times New Roman"/>
          <w:i/>
          <w:iCs/>
          <w:sz w:val="24"/>
          <w:szCs w:val="24"/>
        </w:rPr>
        <w:t xml:space="preserve"> </w:t>
      </w:r>
      <w:r w:rsidR="00564CC7" w:rsidRPr="00221C89">
        <w:rPr>
          <w:rFonts w:ascii="Times New Roman" w:eastAsia="Times New Roman" w:hAnsi="Times New Roman" w:cs="Times New Roman"/>
          <w:i/>
          <w:iCs/>
          <w:sz w:val="24"/>
          <w:szCs w:val="24"/>
        </w:rPr>
        <w:t>Wright</w:t>
      </w:r>
      <w:r w:rsidR="005534DB" w:rsidRPr="00221C89">
        <w:rPr>
          <w:rFonts w:ascii="Times New Roman" w:eastAsia="Times New Roman" w:hAnsi="Times New Roman" w:cs="Times New Roman"/>
          <w:iCs/>
          <w:sz w:val="24"/>
          <w:szCs w:val="24"/>
        </w:rPr>
        <w:t>,</w:t>
      </w:r>
      <w:r w:rsidR="005534DB" w:rsidRPr="00221C89">
        <w:rPr>
          <w:rFonts w:ascii="Times New Roman" w:eastAsia="Times New Roman" w:hAnsi="Times New Roman" w:cs="Times New Roman"/>
          <w:sz w:val="24"/>
          <w:szCs w:val="24"/>
        </w:rPr>
        <w:t xml:space="preserve"> 174 NY</w:t>
      </w:r>
      <w:r w:rsidR="00D756DE" w:rsidRPr="00221C89">
        <w:rPr>
          <w:rFonts w:ascii="Times New Roman" w:eastAsia="Times New Roman" w:hAnsi="Times New Roman" w:cs="Times New Roman"/>
          <w:sz w:val="24"/>
          <w:szCs w:val="24"/>
        </w:rPr>
        <w:t xml:space="preserve"> </w:t>
      </w:r>
      <w:r w:rsidR="005534DB" w:rsidRPr="00221C89">
        <w:rPr>
          <w:rFonts w:ascii="Times New Roman" w:eastAsia="Times New Roman" w:hAnsi="Times New Roman" w:cs="Times New Roman"/>
          <w:sz w:val="24"/>
          <w:szCs w:val="24"/>
        </w:rPr>
        <w:t>36</w:t>
      </w:r>
      <w:r w:rsidR="00EA2C57" w:rsidRPr="00221C89">
        <w:rPr>
          <w:rFonts w:ascii="Times New Roman" w:eastAsia="Times New Roman" w:hAnsi="Times New Roman" w:cs="Times New Roman"/>
          <w:sz w:val="24"/>
          <w:szCs w:val="24"/>
        </w:rPr>
        <w:t>, 39 [1903]</w:t>
      </w:r>
      <w:r w:rsidR="005534DB" w:rsidRPr="00221C89">
        <w:rPr>
          <w:rFonts w:ascii="Times New Roman" w:eastAsia="Times New Roman" w:hAnsi="Times New Roman" w:cs="Times New Roman"/>
          <w:sz w:val="24"/>
          <w:szCs w:val="24"/>
        </w:rPr>
        <w:t>;</w:t>
      </w:r>
      <w:r w:rsidR="00E05B73" w:rsidRPr="00221C89">
        <w:rPr>
          <w:rFonts w:ascii="Times New Roman" w:eastAsia="Times New Roman" w:hAnsi="Times New Roman" w:cs="Times New Roman"/>
          <w:sz w:val="24"/>
          <w:szCs w:val="24"/>
        </w:rPr>
        <w:t xml:space="preserve"> </w:t>
      </w:r>
      <w:r w:rsidR="00E05B73" w:rsidRPr="00221C89">
        <w:rPr>
          <w:rFonts w:ascii="Times New Roman" w:eastAsia="Times New Roman" w:hAnsi="Times New Roman" w:cs="Times New Roman"/>
          <w:i/>
          <w:iCs/>
          <w:sz w:val="24"/>
          <w:szCs w:val="24"/>
        </w:rPr>
        <w:t>Matter of Farley</w:t>
      </w:r>
      <w:r w:rsidR="00E05B73" w:rsidRPr="00221C89">
        <w:rPr>
          <w:rFonts w:ascii="Times New Roman" w:eastAsia="Times New Roman" w:hAnsi="Times New Roman" w:cs="Times New Roman"/>
          <w:iCs/>
          <w:sz w:val="24"/>
          <w:szCs w:val="24"/>
        </w:rPr>
        <w:t>,</w:t>
      </w:r>
      <w:r w:rsidR="00E05B73" w:rsidRPr="00221C89">
        <w:rPr>
          <w:rFonts w:ascii="Times New Roman" w:eastAsia="Times New Roman" w:hAnsi="Times New Roman" w:cs="Times New Roman"/>
          <w:sz w:val="24"/>
          <w:szCs w:val="24"/>
        </w:rPr>
        <w:t xml:space="preserve"> 91 Misc 185</w:t>
      </w:r>
      <w:r w:rsidR="006636E7" w:rsidRPr="00221C89">
        <w:rPr>
          <w:rFonts w:ascii="Times New Roman" w:eastAsia="Times New Roman" w:hAnsi="Times New Roman" w:cs="Times New Roman"/>
          <w:sz w:val="24"/>
          <w:szCs w:val="24"/>
        </w:rPr>
        <w:t>, 196</w:t>
      </w:r>
      <w:r w:rsidR="00EA2C57" w:rsidRPr="00221C89">
        <w:rPr>
          <w:rFonts w:ascii="Times New Roman" w:eastAsia="Times New Roman" w:hAnsi="Times New Roman" w:cs="Times New Roman"/>
          <w:sz w:val="24"/>
          <w:szCs w:val="24"/>
        </w:rPr>
        <w:t xml:space="preserve"> [Sur Ct</w:t>
      </w:r>
      <w:r w:rsidR="00F0230F" w:rsidRPr="00221C89">
        <w:rPr>
          <w:rFonts w:ascii="Times New Roman" w:eastAsia="Times New Roman" w:hAnsi="Times New Roman" w:cs="Times New Roman"/>
          <w:sz w:val="24"/>
          <w:szCs w:val="24"/>
        </w:rPr>
        <w:t>,</w:t>
      </w:r>
      <w:r w:rsidR="00EA2C57" w:rsidRPr="00221C89">
        <w:rPr>
          <w:rFonts w:ascii="Times New Roman" w:eastAsia="Times New Roman" w:hAnsi="Times New Roman" w:cs="Times New Roman"/>
          <w:sz w:val="24"/>
          <w:szCs w:val="24"/>
        </w:rPr>
        <w:t xml:space="preserve"> Clinton County 1915])</w:t>
      </w:r>
      <w:r w:rsidR="00E35BD8" w:rsidRPr="00221C89">
        <w:rPr>
          <w:rFonts w:ascii="Times New Roman" w:eastAsia="Times New Roman" w:hAnsi="Times New Roman" w:cs="Times New Roman"/>
          <w:sz w:val="24"/>
          <w:szCs w:val="24"/>
        </w:rPr>
        <w:t>.</w:t>
      </w:r>
    </w:p>
    <w:p w14:paraId="05FB7B78" w14:textId="77777777" w:rsidR="00B10778" w:rsidRPr="00221C89" w:rsidRDefault="00B10778" w:rsidP="00161F07">
      <w:pPr>
        <w:spacing w:after="0" w:line="240" w:lineRule="auto"/>
        <w:jc w:val="both"/>
        <w:rPr>
          <w:rFonts w:ascii="Times New Roman" w:hAnsi="Times New Roman" w:cs="Times New Roman"/>
          <w:sz w:val="24"/>
          <w:szCs w:val="24"/>
        </w:rPr>
      </w:pPr>
    </w:p>
    <w:p w14:paraId="49FEFD39" w14:textId="7337540E" w:rsidR="0010051E" w:rsidRPr="00221C89" w:rsidRDefault="00161F07" w:rsidP="00161F07">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FB0454" w:rsidRPr="00221C89">
        <w:rPr>
          <w:rFonts w:ascii="Times New Roman" w:hAnsi="Times New Roman" w:cs="Times New Roman"/>
          <w:sz w:val="24"/>
          <w:szCs w:val="24"/>
        </w:rPr>
        <w:t>An o</w:t>
      </w:r>
      <w:r w:rsidR="00102767" w:rsidRPr="00221C89">
        <w:rPr>
          <w:rFonts w:ascii="Times New Roman" w:hAnsi="Times New Roman" w:cs="Times New Roman"/>
          <w:sz w:val="24"/>
          <w:szCs w:val="24"/>
        </w:rPr>
        <w:t>bjection to the competency of a witness must be timel</w:t>
      </w:r>
      <w:r w:rsidR="00A62E80" w:rsidRPr="00221C89">
        <w:rPr>
          <w:rFonts w:ascii="Times New Roman" w:hAnsi="Times New Roman" w:cs="Times New Roman"/>
          <w:sz w:val="24"/>
          <w:szCs w:val="24"/>
        </w:rPr>
        <w:t>y.</w:t>
      </w:r>
      <w:r w:rsidR="00B53B45" w:rsidRPr="00221C89">
        <w:rPr>
          <w:rFonts w:ascii="Times New Roman" w:hAnsi="Times New Roman" w:cs="Times New Roman"/>
          <w:sz w:val="24"/>
          <w:szCs w:val="24"/>
        </w:rPr>
        <w:t xml:space="preserve"> </w:t>
      </w:r>
      <w:r w:rsidR="00DF0C0E" w:rsidRPr="00221C89">
        <w:rPr>
          <w:rFonts w:ascii="Times New Roman" w:hAnsi="Times New Roman" w:cs="Times New Roman"/>
          <w:sz w:val="24"/>
          <w:szCs w:val="24"/>
        </w:rPr>
        <w:t>The testimony of the witness</w:t>
      </w:r>
      <w:r w:rsidR="00614A8B" w:rsidRPr="00221C89">
        <w:rPr>
          <w:rFonts w:ascii="Times New Roman" w:hAnsi="Times New Roman" w:cs="Times New Roman"/>
          <w:sz w:val="24"/>
          <w:szCs w:val="24"/>
        </w:rPr>
        <w:t>, given without objection,</w:t>
      </w:r>
      <w:r w:rsidR="00A62E80" w:rsidRPr="00221C89">
        <w:rPr>
          <w:rFonts w:ascii="Times New Roman" w:hAnsi="Times New Roman" w:cs="Times New Roman"/>
          <w:b/>
          <w:bCs/>
          <w:sz w:val="24"/>
          <w:szCs w:val="24"/>
        </w:rPr>
        <w:t xml:space="preserve"> </w:t>
      </w:r>
      <w:r w:rsidR="00A62E80" w:rsidRPr="00221C89">
        <w:rPr>
          <w:rFonts w:ascii="Times New Roman" w:hAnsi="Times New Roman" w:cs="Times New Roman"/>
          <w:sz w:val="24"/>
          <w:szCs w:val="24"/>
        </w:rPr>
        <w:t>will not be stricken</w:t>
      </w:r>
      <w:r w:rsidR="00E35BD8" w:rsidRPr="00221C89">
        <w:rPr>
          <w:rFonts w:ascii="Times New Roman" w:hAnsi="Times New Roman" w:cs="Times New Roman"/>
          <w:sz w:val="24"/>
          <w:szCs w:val="24"/>
        </w:rPr>
        <w:t xml:space="preserve"> (</w:t>
      </w:r>
      <w:r w:rsidR="00DD578C" w:rsidRPr="00221C89">
        <w:rPr>
          <w:rFonts w:ascii="Times New Roman" w:hAnsi="Times New Roman" w:cs="Times New Roman"/>
          <w:i/>
          <w:iCs/>
          <w:sz w:val="24"/>
          <w:szCs w:val="24"/>
        </w:rPr>
        <w:t>Matter of Maijgren</w:t>
      </w:r>
      <w:r w:rsidR="00006895" w:rsidRPr="00221C89">
        <w:rPr>
          <w:rFonts w:ascii="Times New Roman" w:hAnsi="Times New Roman" w:cs="Times New Roman"/>
          <w:sz w:val="24"/>
          <w:szCs w:val="24"/>
        </w:rPr>
        <w:t>,</w:t>
      </w:r>
      <w:r w:rsidR="00B60C90" w:rsidRPr="00221C89">
        <w:rPr>
          <w:rFonts w:ascii="Times New Roman" w:hAnsi="Times New Roman" w:cs="Times New Roman"/>
          <w:sz w:val="24"/>
          <w:szCs w:val="24"/>
        </w:rPr>
        <w:t xml:space="preserve"> </w:t>
      </w:r>
      <w:r w:rsidR="005B730C" w:rsidRPr="00221C89">
        <w:rPr>
          <w:rFonts w:ascii="Times New Roman" w:hAnsi="Times New Roman" w:cs="Times New Roman"/>
          <w:sz w:val="24"/>
          <w:szCs w:val="24"/>
        </w:rPr>
        <w:t>193 Misc</w:t>
      </w:r>
      <w:r w:rsidR="00B60C90" w:rsidRPr="00221C89">
        <w:rPr>
          <w:rFonts w:ascii="Times New Roman" w:hAnsi="Times New Roman" w:cs="Times New Roman"/>
          <w:sz w:val="24"/>
          <w:szCs w:val="24"/>
        </w:rPr>
        <w:t xml:space="preserve"> </w:t>
      </w:r>
      <w:r w:rsidR="005B730C" w:rsidRPr="00221C89">
        <w:rPr>
          <w:rFonts w:ascii="Times New Roman" w:hAnsi="Times New Roman" w:cs="Times New Roman"/>
          <w:sz w:val="24"/>
          <w:szCs w:val="24"/>
        </w:rPr>
        <w:t>8</w:t>
      </w:r>
      <w:r w:rsidR="00F4760F" w:rsidRPr="00221C89">
        <w:rPr>
          <w:rFonts w:ascii="Times New Roman" w:hAnsi="Times New Roman" w:cs="Times New Roman"/>
          <w:sz w:val="24"/>
          <w:szCs w:val="24"/>
        </w:rPr>
        <w:t xml:space="preserve">14 </w:t>
      </w:r>
      <w:r w:rsidR="00E35BD8" w:rsidRPr="00221C89">
        <w:rPr>
          <w:rFonts w:ascii="Times New Roman" w:hAnsi="Times New Roman" w:cs="Times New Roman"/>
          <w:sz w:val="24"/>
          <w:szCs w:val="24"/>
        </w:rPr>
        <w:t>[</w:t>
      </w:r>
      <w:r w:rsidR="00F4760F" w:rsidRPr="00221C89">
        <w:rPr>
          <w:rFonts w:ascii="Times New Roman" w:hAnsi="Times New Roman" w:cs="Times New Roman"/>
          <w:sz w:val="24"/>
          <w:szCs w:val="24"/>
        </w:rPr>
        <w:t>Sur Ct</w:t>
      </w:r>
      <w:r w:rsidR="00074184" w:rsidRPr="00221C89">
        <w:rPr>
          <w:rFonts w:ascii="Times New Roman" w:hAnsi="Times New Roman" w:cs="Times New Roman"/>
          <w:sz w:val="24"/>
          <w:szCs w:val="24"/>
        </w:rPr>
        <w:t>, Monroe County</w:t>
      </w:r>
      <w:r w:rsidR="00F4760F" w:rsidRPr="00221C89">
        <w:rPr>
          <w:rFonts w:ascii="Times New Roman" w:hAnsi="Times New Roman" w:cs="Times New Roman"/>
          <w:sz w:val="24"/>
          <w:szCs w:val="24"/>
        </w:rPr>
        <w:t xml:space="preserve"> 1948</w:t>
      </w:r>
      <w:r w:rsidR="00E35BD8" w:rsidRPr="00221C89">
        <w:rPr>
          <w:rFonts w:ascii="Times New Roman" w:hAnsi="Times New Roman" w:cs="Times New Roman"/>
          <w:sz w:val="24"/>
          <w:szCs w:val="24"/>
        </w:rPr>
        <w:t>])</w:t>
      </w:r>
      <w:r w:rsidR="00F51597" w:rsidRPr="00221C89">
        <w:rPr>
          <w:rFonts w:ascii="Times New Roman" w:hAnsi="Times New Roman" w:cs="Times New Roman"/>
          <w:sz w:val="24"/>
          <w:szCs w:val="24"/>
        </w:rPr>
        <w:t>.</w:t>
      </w:r>
    </w:p>
    <w:p w14:paraId="35B4CEF2" w14:textId="77777777" w:rsidR="00B10778" w:rsidRPr="00221C89" w:rsidRDefault="00B10778" w:rsidP="00161F07">
      <w:pPr>
        <w:spacing w:after="0" w:line="240" w:lineRule="auto"/>
        <w:jc w:val="both"/>
        <w:rPr>
          <w:rFonts w:ascii="Times New Roman" w:hAnsi="Times New Roman" w:cs="Times New Roman"/>
          <w:sz w:val="24"/>
          <w:szCs w:val="24"/>
        </w:rPr>
      </w:pPr>
    </w:p>
    <w:p w14:paraId="3EE43AFE" w14:textId="08F8B3C0" w:rsidR="00E17BAB" w:rsidRPr="00221C89" w:rsidRDefault="00161F07" w:rsidP="00161F07">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10051E" w:rsidRPr="00221C89">
        <w:rPr>
          <w:rFonts w:ascii="Times New Roman" w:hAnsi="Times New Roman" w:cs="Times New Roman"/>
          <w:sz w:val="24"/>
          <w:szCs w:val="24"/>
        </w:rPr>
        <w:t>An o</w:t>
      </w:r>
      <w:r w:rsidR="00F51597" w:rsidRPr="00221C89">
        <w:rPr>
          <w:rFonts w:ascii="Times New Roman" w:hAnsi="Times New Roman" w:cs="Times New Roman"/>
          <w:sz w:val="24"/>
          <w:szCs w:val="24"/>
        </w:rPr>
        <w:t>bjection must be made to each</w:t>
      </w:r>
      <w:r w:rsidR="00333292" w:rsidRPr="00221C89">
        <w:rPr>
          <w:rFonts w:ascii="Times New Roman" w:hAnsi="Times New Roman" w:cs="Times New Roman"/>
          <w:sz w:val="24"/>
          <w:szCs w:val="24"/>
        </w:rPr>
        <w:t xml:space="preserve"> transaction</w:t>
      </w:r>
      <w:r w:rsidR="00E35BD8" w:rsidRPr="00221C89">
        <w:rPr>
          <w:rFonts w:ascii="Times New Roman" w:hAnsi="Times New Roman" w:cs="Times New Roman"/>
          <w:sz w:val="24"/>
          <w:szCs w:val="24"/>
        </w:rPr>
        <w:t>;</w:t>
      </w:r>
      <w:r w:rsidR="00333292" w:rsidRPr="00221C89">
        <w:rPr>
          <w:rFonts w:ascii="Times New Roman" w:hAnsi="Times New Roman" w:cs="Times New Roman"/>
          <w:sz w:val="24"/>
          <w:szCs w:val="24"/>
        </w:rPr>
        <w:t xml:space="preserve"> but f</w:t>
      </w:r>
      <w:r w:rsidR="00143020" w:rsidRPr="00221C89">
        <w:rPr>
          <w:rFonts w:ascii="Times New Roman" w:hAnsi="Times New Roman" w:cs="Times New Roman"/>
          <w:sz w:val="24"/>
          <w:szCs w:val="24"/>
        </w:rPr>
        <w:t>ailure to object to one transaction does not bar objection</w:t>
      </w:r>
      <w:r w:rsidR="00106FE4" w:rsidRPr="00221C89">
        <w:rPr>
          <w:rFonts w:ascii="Times New Roman" w:hAnsi="Times New Roman" w:cs="Times New Roman"/>
          <w:sz w:val="24"/>
          <w:szCs w:val="24"/>
        </w:rPr>
        <w:t>s</w:t>
      </w:r>
      <w:r w:rsidR="00F6319A" w:rsidRPr="00221C89">
        <w:rPr>
          <w:rFonts w:ascii="Times New Roman" w:hAnsi="Times New Roman" w:cs="Times New Roman"/>
          <w:sz w:val="24"/>
          <w:szCs w:val="24"/>
        </w:rPr>
        <w:t xml:space="preserve"> to subsequent trans</w:t>
      </w:r>
      <w:r w:rsidR="008566FF" w:rsidRPr="00221C89">
        <w:rPr>
          <w:rFonts w:ascii="Times New Roman" w:hAnsi="Times New Roman" w:cs="Times New Roman"/>
          <w:sz w:val="24"/>
          <w:szCs w:val="24"/>
        </w:rPr>
        <w:t>actions</w:t>
      </w:r>
      <w:r w:rsidR="000A3D83" w:rsidRPr="00221C89">
        <w:rPr>
          <w:rFonts w:ascii="Times New Roman" w:hAnsi="Times New Roman" w:cs="Times New Roman"/>
          <w:sz w:val="24"/>
          <w:szCs w:val="24"/>
        </w:rPr>
        <w:t xml:space="preserve">  (</w:t>
      </w:r>
      <w:r w:rsidR="00EA74F3" w:rsidRPr="00221C89">
        <w:rPr>
          <w:rFonts w:ascii="Times New Roman" w:hAnsi="Times New Roman" w:cs="Times New Roman"/>
          <w:i/>
          <w:iCs/>
          <w:sz w:val="24"/>
          <w:szCs w:val="24"/>
        </w:rPr>
        <w:t>Matter of Johnson</w:t>
      </w:r>
      <w:r w:rsidR="00D756DE" w:rsidRPr="00221C89">
        <w:rPr>
          <w:rFonts w:ascii="Times New Roman" w:hAnsi="Times New Roman" w:cs="Times New Roman"/>
          <w:iCs/>
          <w:sz w:val="24"/>
          <w:szCs w:val="24"/>
        </w:rPr>
        <w:t>,</w:t>
      </w:r>
      <w:r w:rsidR="00EA74F3" w:rsidRPr="00221C89">
        <w:rPr>
          <w:rFonts w:ascii="Times New Roman" w:hAnsi="Times New Roman" w:cs="Times New Roman"/>
          <w:sz w:val="24"/>
          <w:szCs w:val="24"/>
        </w:rPr>
        <w:t xml:space="preserve"> 17 Misc </w:t>
      </w:r>
      <w:r w:rsidR="00F74E17" w:rsidRPr="00221C89">
        <w:rPr>
          <w:rFonts w:ascii="Times New Roman" w:hAnsi="Times New Roman" w:cs="Times New Roman"/>
          <w:sz w:val="24"/>
          <w:szCs w:val="24"/>
        </w:rPr>
        <w:t>2d 489</w:t>
      </w:r>
      <w:r w:rsidR="00365AA8" w:rsidRPr="00221C89">
        <w:rPr>
          <w:rFonts w:ascii="Times New Roman" w:hAnsi="Times New Roman" w:cs="Times New Roman"/>
          <w:sz w:val="24"/>
          <w:szCs w:val="24"/>
        </w:rPr>
        <w:t>,</w:t>
      </w:r>
      <w:r w:rsidR="000A3D83" w:rsidRPr="00221C89">
        <w:rPr>
          <w:rFonts w:ascii="Times New Roman" w:hAnsi="Times New Roman" w:cs="Times New Roman"/>
          <w:sz w:val="24"/>
          <w:szCs w:val="24"/>
        </w:rPr>
        <w:t xml:space="preserve"> </w:t>
      </w:r>
      <w:r w:rsidR="00365AA8" w:rsidRPr="00221C89">
        <w:rPr>
          <w:rFonts w:ascii="Times New Roman" w:hAnsi="Times New Roman" w:cs="Times New Roman"/>
          <w:sz w:val="24"/>
          <w:szCs w:val="24"/>
        </w:rPr>
        <w:t>490</w:t>
      </w:r>
      <w:r w:rsidR="00D756DE" w:rsidRPr="00221C89">
        <w:rPr>
          <w:rFonts w:ascii="Times New Roman" w:hAnsi="Times New Roman" w:cs="Times New Roman"/>
          <w:sz w:val="24"/>
          <w:szCs w:val="24"/>
        </w:rPr>
        <w:t xml:space="preserve"> </w:t>
      </w:r>
      <w:r w:rsidR="000A3D83" w:rsidRPr="00221C89">
        <w:rPr>
          <w:rFonts w:ascii="Times New Roman" w:hAnsi="Times New Roman" w:cs="Times New Roman"/>
          <w:sz w:val="24"/>
          <w:szCs w:val="24"/>
        </w:rPr>
        <w:t>[</w:t>
      </w:r>
      <w:r w:rsidR="00F74E17" w:rsidRPr="00221C89">
        <w:rPr>
          <w:rFonts w:ascii="Times New Roman" w:hAnsi="Times New Roman" w:cs="Times New Roman"/>
          <w:sz w:val="24"/>
          <w:szCs w:val="24"/>
        </w:rPr>
        <w:t>Sur Ct</w:t>
      </w:r>
      <w:r w:rsidR="00D756DE" w:rsidRPr="00221C89">
        <w:rPr>
          <w:rFonts w:ascii="Times New Roman" w:hAnsi="Times New Roman" w:cs="Times New Roman"/>
          <w:sz w:val="24"/>
          <w:szCs w:val="24"/>
        </w:rPr>
        <w:t>,</w:t>
      </w:r>
      <w:r w:rsidR="00F74E17" w:rsidRPr="00221C89">
        <w:rPr>
          <w:rFonts w:ascii="Times New Roman" w:hAnsi="Times New Roman" w:cs="Times New Roman"/>
          <w:sz w:val="24"/>
          <w:szCs w:val="24"/>
        </w:rPr>
        <w:t xml:space="preserve"> N</w:t>
      </w:r>
      <w:r w:rsidR="0010586F" w:rsidRPr="00221C89">
        <w:rPr>
          <w:rFonts w:ascii="Times New Roman" w:hAnsi="Times New Roman" w:cs="Times New Roman"/>
          <w:sz w:val="24"/>
          <w:szCs w:val="24"/>
        </w:rPr>
        <w:t>Y</w:t>
      </w:r>
      <w:r w:rsidR="00F74E17" w:rsidRPr="00221C89">
        <w:rPr>
          <w:rFonts w:ascii="Times New Roman" w:hAnsi="Times New Roman" w:cs="Times New Roman"/>
          <w:sz w:val="24"/>
          <w:szCs w:val="24"/>
        </w:rPr>
        <w:t xml:space="preserve"> County 1959</w:t>
      </w:r>
      <w:r w:rsidR="000A3D83" w:rsidRPr="00221C89">
        <w:rPr>
          <w:rFonts w:ascii="Times New Roman" w:hAnsi="Times New Roman" w:cs="Times New Roman"/>
          <w:sz w:val="24"/>
          <w:szCs w:val="24"/>
        </w:rPr>
        <w:t>]</w:t>
      </w:r>
      <w:r w:rsidR="00D85E28" w:rsidRPr="00221C89">
        <w:rPr>
          <w:rFonts w:ascii="Times New Roman" w:hAnsi="Times New Roman" w:cs="Times New Roman"/>
          <w:sz w:val="24"/>
          <w:szCs w:val="24"/>
        </w:rPr>
        <w:t xml:space="preserve"> [“The fact that objection had not been made earlier in the testimony and the consequent waiver of the incompetency of the witness at that time did not extend to later testimony and did not preclude objection to further transactions”]).</w:t>
      </w:r>
    </w:p>
    <w:p w14:paraId="1B98101D" w14:textId="77777777" w:rsidR="00B10778" w:rsidRPr="00221C89" w:rsidRDefault="00B10778" w:rsidP="00161F07">
      <w:pPr>
        <w:spacing w:after="0" w:line="240" w:lineRule="auto"/>
        <w:jc w:val="both"/>
        <w:rPr>
          <w:rFonts w:ascii="Times New Roman" w:hAnsi="Times New Roman" w:cs="Times New Roman"/>
          <w:sz w:val="24"/>
          <w:szCs w:val="24"/>
        </w:rPr>
      </w:pPr>
    </w:p>
    <w:p w14:paraId="23E9B4E2" w14:textId="4AC9313F" w:rsidR="00A43ABD" w:rsidRPr="00221C89" w:rsidRDefault="00161F07" w:rsidP="00161F07">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A43ABD" w:rsidRPr="00221C89">
        <w:rPr>
          <w:rFonts w:ascii="Times New Roman" w:hAnsi="Times New Roman" w:cs="Times New Roman"/>
          <w:sz w:val="24"/>
          <w:szCs w:val="24"/>
        </w:rPr>
        <w:t>CPLR 4519 does not bar documentary evidence against a deceased’s estate but</w:t>
      </w:r>
      <w:r w:rsidR="008F61AD" w:rsidRPr="00221C89">
        <w:rPr>
          <w:rFonts w:ascii="Times New Roman" w:hAnsi="Times New Roman" w:cs="Times New Roman"/>
          <w:sz w:val="24"/>
          <w:szCs w:val="24"/>
        </w:rPr>
        <w:t xml:space="preserve"> the evidence </w:t>
      </w:r>
      <w:r w:rsidR="00A43ABD" w:rsidRPr="00221C89">
        <w:rPr>
          <w:rFonts w:ascii="Times New Roman" w:hAnsi="Times New Roman" w:cs="Times New Roman"/>
          <w:sz w:val="24"/>
          <w:szCs w:val="24"/>
        </w:rPr>
        <w:t xml:space="preserve">must be authenticated by </w:t>
      </w:r>
      <w:r w:rsidR="008F61AD" w:rsidRPr="00221C89">
        <w:rPr>
          <w:rFonts w:ascii="Times New Roman" w:hAnsi="Times New Roman" w:cs="Times New Roman"/>
          <w:sz w:val="24"/>
          <w:szCs w:val="24"/>
        </w:rPr>
        <w:t xml:space="preserve">a </w:t>
      </w:r>
      <w:r w:rsidR="00A43ABD" w:rsidRPr="00221C89">
        <w:rPr>
          <w:rFonts w:ascii="Times New Roman" w:hAnsi="Times New Roman" w:cs="Times New Roman"/>
          <w:sz w:val="24"/>
          <w:szCs w:val="24"/>
        </w:rPr>
        <w:t>non</w:t>
      </w:r>
      <w:r w:rsidR="008F61AD" w:rsidRPr="00221C89">
        <w:rPr>
          <w:rFonts w:ascii="Times New Roman" w:hAnsi="Times New Roman" w:cs="Times New Roman"/>
          <w:sz w:val="24"/>
          <w:szCs w:val="24"/>
        </w:rPr>
        <w:t>-</w:t>
      </w:r>
      <w:r w:rsidR="00A43ABD" w:rsidRPr="00221C89">
        <w:rPr>
          <w:rFonts w:ascii="Times New Roman" w:hAnsi="Times New Roman" w:cs="Times New Roman"/>
          <w:sz w:val="24"/>
          <w:szCs w:val="24"/>
        </w:rPr>
        <w:t>interested party</w:t>
      </w:r>
      <w:r w:rsidR="00E35BD8" w:rsidRPr="00221C89">
        <w:rPr>
          <w:rFonts w:ascii="Times New Roman" w:hAnsi="Times New Roman" w:cs="Times New Roman"/>
          <w:sz w:val="24"/>
          <w:szCs w:val="24"/>
        </w:rPr>
        <w:t xml:space="preserve"> (</w:t>
      </w:r>
      <w:r w:rsidR="00A43ABD" w:rsidRPr="00221C89">
        <w:rPr>
          <w:rFonts w:ascii="Times New Roman" w:hAnsi="Times New Roman" w:cs="Times New Roman"/>
          <w:i/>
          <w:iCs/>
          <w:sz w:val="24"/>
          <w:szCs w:val="24"/>
        </w:rPr>
        <w:t>Acevedo v Audubon Mgt</w:t>
      </w:r>
      <w:r w:rsidR="004B0DDC" w:rsidRPr="00221C89">
        <w:rPr>
          <w:rFonts w:ascii="Times New Roman" w:hAnsi="Times New Roman" w:cs="Times New Roman"/>
          <w:i/>
          <w:iCs/>
          <w:sz w:val="24"/>
          <w:szCs w:val="24"/>
        </w:rPr>
        <w:t>.</w:t>
      </w:r>
      <w:r w:rsidR="00A43ABD" w:rsidRPr="00221C89">
        <w:rPr>
          <w:rFonts w:ascii="Times New Roman" w:hAnsi="Times New Roman" w:cs="Times New Roman"/>
          <w:sz w:val="24"/>
          <w:szCs w:val="24"/>
        </w:rPr>
        <w:t>, 280 AD2d 91, 95</w:t>
      </w:r>
      <w:r w:rsidR="00774274" w:rsidRPr="00221C89">
        <w:rPr>
          <w:rFonts w:ascii="Times New Roman" w:hAnsi="Times New Roman" w:cs="Times New Roman"/>
          <w:sz w:val="24"/>
          <w:szCs w:val="24"/>
        </w:rPr>
        <w:t xml:space="preserve"> </w:t>
      </w:r>
      <w:r w:rsidR="00A43ABD" w:rsidRPr="00221C89">
        <w:rPr>
          <w:rFonts w:ascii="Times New Roman" w:hAnsi="Times New Roman" w:cs="Times New Roman"/>
          <w:sz w:val="24"/>
          <w:szCs w:val="24"/>
        </w:rPr>
        <w:t>[1</w:t>
      </w:r>
      <w:r w:rsidR="004B0DDC" w:rsidRPr="00221C89">
        <w:rPr>
          <w:rFonts w:ascii="Times New Roman" w:hAnsi="Times New Roman" w:cs="Times New Roman"/>
          <w:sz w:val="24"/>
          <w:szCs w:val="24"/>
        </w:rPr>
        <w:t>st</w:t>
      </w:r>
      <w:r w:rsidR="00A43ABD" w:rsidRPr="00221C89">
        <w:rPr>
          <w:rFonts w:ascii="Times New Roman" w:hAnsi="Times New Roman" w:cs="Times New Roman"/>
          <w:sz w:val="24"/>
          <w:szCs w:val="24"/>
        </w:rPr>
        <w:t xml:space="preserve"> Dep</w:t>
      </w:r>
      <w:r w:rsidR="00774274" w:rsidRPr="00221C89">
        <w:rPr>
          <w:rFonts w:ascii="Times New Roman" w:hAnsi="Times New Roman" w:cs="Times New Roman"/>
          <w:sz w:val="24"/>
          <w:szCs w:val="24"/>
        </w:rPr>
        <w:t>t</w:t>
      </w:r>
      <w:r w:rsidR="00A43ABD" w:rsidRPr="00221C89">
        <w:rPr>
          <w:rFonts w:ascii="Times New Roman" w:hAnsi="Times New Roman" w:cs="Times New Roman"/>
          <w:sz w:val="24"/>
          <w:szCs w:val="24"/>
        </w:rPr>
        <w:t xml:space="preserve"> 2001]</w:t>
      </w:r>
      <w:r w:rsidR="00E35BD8" w:rsidRPr="00221C89">
        <w:rPr>
          <w:rFonts w:ascii="Times New Roman" w:hAnsi="Times New Roman" w:cs="Times New Roman"/>
          <w:sz w:val="24"/>
          <w:szCs w:val="24"/>
        </w:rPr>
        <w:t>)</w:t>
      </w:r>
      <w:r w:rsidR="004E4CA6" w:rsidRPr="00221C89">
        <w:rPr>
          <w:rFonts w:ascii="Times New Roman" w:hAnsi="Times New Roman" w:cs="Times New Roman"/>
          <w:sz w:val="24"/>
          <w:szCs w:val="24"/>
        </w:rPr>
        <w:t>.</w:t>
      </w:r>
    </w:p>
    <w:p w14:paraId="5618B250" w14:textId="77777777" w:rsidR="00B10778" w:rsidRPr="00221C89" w:rsidRDefault="00B10778" w:rsidP="00161F07">
      <w:pPr>
        <w:spacing w:after="0" w:line="240" w:lineRule="auto"/>
        <w:jc w:val="both"/>
        <w:rPr>
          <w:rFonts w:ascii="Times New Roman" w:hAnsi="Times New Roman" w:cs="Times New Roman"/>
          <w:sz w:val="24"/>
          <w:szCs w:val="24"/>
        </w:rPr>
      </w:pPr>
    </w:p>
    <w:p w14:paraId="42B4F51E" w14:textId="210EE7B5" w:rsidR="00A43ABD" w:rsidRPr="00221C89" w:rsidRDefault="00161F07" w:rsidP="00161F07">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lastRenderedPageBreak/>
        <w:tab/>
      </w:r>
      <w:r w:rsidR="000E63E4" w:rsidRPr="00221C89">
        <w:rPr>
          <w:rFonts w:ascii="Times New Roman" w:hAnsi="Times New Roman" w:cs="Times New Roman"/>
          <w:sz w:val="24"/>
          <w:szCs w:val="24"/>
        </w:rPr>
        <w:t>By a separate statute</w:t>
      </w:r>
      <w:r w:rsidR="00A86640" w:rsidRPr="00221C89">
        <w:rPr>
          <w:rFonts w:ascii="Times New Roman" w:hAnsi="Times New Roman" w:cs="Times New Roman"/>
          <w:sz w:val="24"/>
          <w:szCs w:val="24"/>
        </w:rPr>
        <w:t>, i</w:t>
      </w:r>
      <w:r w:rsidR="001C5DF3" w:rsidRPr="00221C89">
        <w:rPr>
          <w:rFonts w:ascii="Times New Roman" w:hAnsi="Times New Roman" w:cs="Times New Roman"/>
          <w:sz w:val="24"/>
          <w:szCs w:val="24"/>
        </w:rPr>
        <w:t>n a right</w:t>
      </w:r>
      <w:r w:rsidR="00837F40" w:rsidRPr="00221C89">
        <w:rPr>
          <w:rFonts w:ascii="Times New Roman" w:hAnsi="Times New Roman" w:cs="Times New Roman"/>
          <w:sz w:val="24"/>
          <w:szCs w:val="24"/>
        </w:rPr>
        <w:t>-</w:t>
      </w:r>
      <w:r w:rsidR="001C5DF3" w:rsidRPr="00221C89">
        <w:rPr>
          <w:rFonts w:ascii="Times New Roman" w:hAnsi="Times New Roman" w:cs="Times New Roman"/>
          <w:sz w:val="24"/>
          <w:szCs w:val="24"/>
        </w:rPr>
        <w:t>of</w:t>
      </w:r>
      <w:r w:rsidR="00837F40" w:rsidRPr="00221C89">
        <w:rPr>
          <w:rFonts w:ascii="Times New Roman" w:hAnsi="Times New Roman" w:cs="Times New Roman"/>
          <w:sz w:val="24"/>
          <w:szCs w:val="24"/>
        </w:rPr>
        <w:t>-</w:t>
      </w:r>
      <w:r w:rsidR="001C5DF3" w:rsidRPr="00221C89">
        <w:rPr>
          <w:rFonts w:ascii="Times New Roman" w:hAnsi="Times New Roman" w:cs="Times New Roman"/>
          <w:sz w:val="24"/>
          <w:szCs w:val="24"/>
        </w:rPr>
        <w:t xml:space="preserve">election case, </w:t>
      </w:r>
      <w:r w:rsidR="00B306B7" w:rsidRPr="00221C89">
        <w:rPr>
          <w:rFonts w:ascii="Times New Roman" w:hAnsi="Times New Roman" w:cs="Times New Roman"/>
          <w:sz w:val="24"/>
          <w:szCs w:val="24"/>
        </w:rPr>
        <w:t xml:space="preserve">while </w:t>
      </w:r>
      <w:r w:rsidR="001C5DF3" w:rsidRPr="00221C89">
        <w:rPr>
          <w:rFonts w:ascii="Times New Roman" w:hAnsi="Times New Roman" w:cs="Times New Roman"/>
          <w:sz w:val="24"/>
          <w:szCs w:val="24"/>
        </w:rPr>
        <w:t>a</w:t>
      </w:r>
      <w:r w:rsidR="00A43ABD" w:rsidRPr="00221C89">
        <w:rPr>
          <w:rFonts w:ascii="Times New Roman" w:hAnsi="Times New Roman" w:cs="Times New Roman"/>
          <w:sz w:val="24"/>
          <w:szCs w:val="24"/>
        </w:rPr>
        <w:t xml:space="preserve"> spouse  may not testify  in support of his or her right of election filed against the estate</w:t>
      </w:r>
      <w:r w:rsidR="00B306B7" w:rsidRPr="00221C89">
        <w:rPr>
          <w:rFonts w:ascii="Times New Roman" w:hAnsi="Times New Roman" w:cs="Times New Roman"/>
          <w:sz w:val="24"/>
          <w:szCs w:val="24"/>
        </w:rPr>
        <w:t>, the spouse</w:t>
      </w:r>
      <w:r w:rsidR="00A43ABD" w:rsidRPr="00221C89">
        <w:rPr>
          <w:rFonts w:ascii="Times New Roman" w:hAnsi="Times New Roman" w:cs="Times New Roman"/>
          <w:sz w:val="24"/>
          <w:szCs w:val="24"/>
        </w:rPr>
        <w:t xml:space="preserve"> is not disqualified from testifying to his or her contribution to jointly held property that is claimed as a testamentary substitute</w:t>
      </w:r>
      <w:r w:rsidR="004B0DDC" w:rsidRPr="00221C89">
        <w:rPr>
          <w:rFonts w:ascii="Times New Roman" w:hAnsi="Times New Roman" w:cs="Times New Roman"/>
          <w:sz w:val="24"/>
          <w:szCs w:val="24"/>
        </w:rPr>
        <w:t xml:space="preserve"> (</w:t>
      </w:r>
      <w:r w:rsidR="00A43ABD" w:rsidRPr="00221C89">
        <w:rPr>
          <w:rFonts w:ascii="Times New Roman" w:hAnsi="Times New Roman" w:cs="Times New Roman"/>
          <w:sz w:val="24"/>
          <w:szCs w:val="24"/>
        </w:rPr>
        <w:t>EP</w:t>
      </w:r>
      <w:r w:rsidR="004B0DDC" w:rsidRPr="00221C89">
        <w:rPr>
          <w:rFonts w:ascii="Times New Roman" w:hAnsi="Times New Roman" w:cs="Times New Roman"/>
          <w:sz w:val="24"/>
          <w:szCs w:val="24"/>
        </w:rPr>
        <w:t>T</w:t>
      </w:r>
      <w:r w:rsidR="00A43ABD" w:rsidRPr="00221C89">
        <w:rPr>
          <w:rFonts w:ascii="Times New Roman" w:hAnsi="Times New Roman" w:cs="Times New Roman"/>
          <w:sz w:val="24"/>
          <w:szCs w:val="24"/>
        </w:rPr>
        <w:t>L 5-1.1</w:t>
      </w:r>
      <w:r w:rsidR="004B0DDC" w:rsidRPr="00221C89">
        <w:rPr>
          <w:rFonts w:ascii="Times New Roman" w:hAnsi="Times New Roman" w:cs="Times New Roman"/>
          <w:sz w:val="24"/>
          <w:szCs w:val="24"/>
        </w:rPr>
        <w:t xml:space="preserve"> [</w:t>
      </w:r>
      <w:r w:rsidR="00A43ABD" w:rsidRPr="00221C89">
        <w:rPr>
          <w:rFonts w:ascii="Times New Roman" w:hAnsi="Times New Roman" w:cs="Times New Roman"/>
          <w:sz w:val="24"/>
          <w:szCs w:val="24"/>
        </w:rPr>
        <w:t>b</w:t>
      </w:r>
      <w:r w:rsidR="004B0DDC" w:rsidRPr="00221C89">
        <w:rPr>
          <w:rFonts w:ascii="Times New Roman" w:hAnsi="Times New Roman" w:cs="Times New Roman"/>
          <w:sz w:val="24"/>
          <w:szCs w:val="24"/>
        </w:rPr>
        <w:t>] [</w:t>
      </w:r>
      <w:r w:rsidR="00A43ABD" w:rsidRPr="00221C89">
        <w:rPr>
          <w:rFonts w:ascii="Times New Roman" w:hAnsi="Times New Roman" w:cs="Times New Roman"/>
          <w:sz w:val="24"/>
          <w:szCs w:val="24"/>
        </w:rPr>
        <w:t>3</w:t>
      </w:r>
      <w:r w:rsidR="004B0DDC" w:rsidRPr="00221C89">
        <w:rPr>
          <w:rFonts w:ascii="Times New Roman" w:hAnsi="Times New Roman" w:cs="Times New Roman"/>
          <w:sz w:val="24"/>
          <w:szCs w:val="24"/>
        </w:rPr>
        <w:t>];</w:t>
      </w:r>
      <w:r w:rsidR="00A43ABD" w:rsidRPr="00221C89">
        <w:rPr>
          <w:rFonts w:ascii="Times New Roman" w:hAnsi="Times New Roman" w:cs="Times New Roman"/>
          <w:sz w:val="24"/>
          <w:szCs w:val="24"/>
        </w:rPr>
        <w:t xml:space="preserve"> 5</w:t>
      </w:r>
      <w:r w:rsidR="00B53B45" w:rsidRPr="00221C89">
        <w:rPr>
          <w:rFonts w:ascii="Times New Roman" w:hAnsi="Times New Roman" w:cs="Times New Roman"/>
          <w:sz w:val="24"/>
          <w:szCs w:val="24"/>
        </w:rPr>
        <w:t>-</w:t>
      </w:r>
      <w:r w:rsidR="00A43ABD" w:rsidRPr="00221C89">
        <w:rPr>
          <w:rFonts w:ascii="Times New Roman" w:hAnsi="Times New Roman" w:cs="Times New Roman"/>
          <w:sz w:val="24"/>
          <w:szCs w:val="24"/>
        </w:rPr>
        <w:t>1.1-A</w:t>
      </w:r>
      <w:r w:rsidR="004B0DDC" w:rsidRPr="00221C89">
        <w:rPr>
          <w:rFonts w:ascii="Times New Roman" w:hAnsi="Times New Roman" w:cs="Times New Roman"/>
          <w:sz w:val="24"/>
          <w:szCs w:val="24"/>
        </w:rPr>
        <w:t xml:space="preserve"> [</w:t>
      </w:r>
      <w:r w:rsidR="00A43ABD" w:rsidRPr="00221C89">
        <w:rPr>
          <w:rFonts w:ascii="Times New Roman" w:hAnsi="Times New Roman" w:cs="Times New Roman"/>
          <w:sz w:val="24"/>
          <w:szCs w:val="24"/>
        </w:rPr>
        <w:t>b</w:t>
      </w:r>
      <w:r w:rsidR="004B0DDC" w:rsidRPr="00221C89">
        <w:rPr>
          <w:rFonts w:ascii="Times New Roman" w:hAnsi="Times New Roman" w:cs="Times New Roman"/>
          <w:sz w:val="24"/>
          <w:szCs w:val="24"/>
        </w:rPr>
        <w:t>])</w:t>
      </w:r>
      <w:r w:rsidR="00356990" w:rsidRPr="00221C89">
        <w:rPr>
          <w:rFonts w:ascii="Times New Roman" w:hAnsi="Times New Roman" w:cs="Times New Roman"/>
          <w:sz w:val="24"/>
          <w:szCs w:val="24"/>
        </w:rPr>
        <w:t>.</w:t>
      </w:r>
      <w:r w:rsidR="00014BC0" w:rsidRPr="00221C89">
        <w:rPr>
          <w:rFonts w:ascii="Times New Roman" w:hAnsi="Times New Roman" w:cs="Times New Roman"/>
          <w:sz w:val="24"/>
          <w:szCs w:val="24"/>
        </w:rPr>
        <w:t xml:space="preserve"> </w:t>
      </w:r>
    </w:p>
    <w:p w14:paraId="475F1D3A" w14:textId="77777777" w:rsidR="00B10778" w:rsidRPr="00221C89" w:rsidRDefault="00B10778" w:rsidP="00161F07">
      <w:pPr>
        <w:spacing w:after="0" w:line="240" w:lineRule="auto"/>
        <w:jc w:val="both"/>
        <w:rPr>
          <w:rFonts w:ascii="Times New Roman" w:hAnsi="Times New Roman" w:cs="Times New Roman"/>
          <w:sz w:val="24"/>
          <w:szCs w:val="24"/>
        </w:rPr>
      </w:pPr>
    </w:p>
    <w:p w14:paraId="7E4987F9" w14:textId="26F109B9" w:rsidR="00B548AB" w:rsidRPr="00221C89" w:rsidRDefault="00B548AB" w:rsidP="00CE66C6">
      <w:pPr>
        <w:spacing w:after="0" w:line="240" w:lineRule="auto"/>
        <w:jc w:val="both"/>
        <w:rPr>
          <w:rFonts w:ascii="Times New Roman" w:hAnsi="Times New Roman" w:cs="Times New Roman"/>
          <w:b/>
          <w:bCs/>
          <w:sz w:val="24"/>
          <w:szCs w:val="24"/>
        </w:rPr>
      </w:pPr>
      <w:r w:rsidRPr="00221C89">
        <w:rPr>
          <w:rFonts w:ascii="Times New Roman" w:hAnsi="Times New Roman" w:cs="Times New Roman"/>
          <w:b/>
          <w:bCs/>
          <w:sz w:val="24"/>
          <w:szCs w:val="24"/>
        </w:rPr>
        <w:t>Waiver</w:t>
      </w:r>
    </w:p>
    <w:p w14:paraId="080EB4E9" w14:textId="77777777" w:rsidR="00B10778" w:rsidRPr="00221C89" w:rsidRDefault="00B10778" w:rsidP="00CE66C6">
      <w:pPr>
        <w:spacing w:after="0" w:line="240" w:lineRule="auto"/>
        <w:jc w:val="both"/>
        <w:rPr>
          <w:rFonts w:ascii="Times New Roman" w:hAnsi="Times New Roman" w:cs="Times New Roman"/>
          <w:b/>
          <w:bCs/>
          <w:sz w:val="24"/>
          <w:szCs w:val="24"/>
        </w:rPr>
      </w:pPr>
    </w:p>
    <w:p w14:paraId="741F7129" w14:textId="5A2AA1F1" w:rsidR="00D85E28" w:rsidRPr="00221C89" w:rsidRDefault="00161F07" w:rsidP="00161F07">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F7019D" w:rsidRPr="00221C89">
        <w:rPr>
          <w:rFonts w:ascii="Times New Roman" w:hAnsi="Times New Roman" w:cs="Times New Roman"/>
          <w:sz w:val="24"/>
          <w:szCs w:val="24"/>
        </w:rPr>
        <w:t>A</w:t>
      </w:r>
      <w:r w:rsidR="004209FB" w:rsidRPr="00221C89">
        <w:rPr>
          <w:rFonts w:ascii="Times New Roman" w:hAnsi="Times New Roman" w:cs="Times New Roman"/>
          <w:sz w:val="24"/>
          <w:szCs w:val="24"/>
        </w:rPr>
        <w:t xml:space="preserve"> </w:t>
      </w:r>
      <w:r w:rsidR="00863218" w:rsidRPr="00221C89">
        <w:rPr>
          <w:rFonts w:ascii="Times New Roman" w:hAnsi="Times New Roman" w:cs="Times New Roman"/>
          <w:sz w:val="24"/>
          <w:szCs w:val="24"/>
        </w:rPr>
        <w:t>“</w:t>
      </w:r>
      <w:r w:rsidR="004209FB" w:rsidRPr="00221C89">
        <w:rPr>
          <w:rFonts w:ascii="Times New Roman" w:hAnsi="Times New Roman" w:cs="Times New Roman"/>
          <w:sz w:val="24"/>
          <w:szCs w:val="24"/>
        </w:rPr>
        <w:t>protected party</w:t>
      </w:r>
      <w:r w:rsidR="00863218" w:rsidRPr="00221C89">
        <w:rPr>
          <w:rFonts w:ascii="Times New Roman" w:hAnsi="Times New Roman" w:cs="Times New Roman"/>
          <w:sz w:val="24"/>
          <w:szCs w:val="24"/>
        </w:rPr>
        <w:t>”</w:t>
      </w:r>
      <w:r w:rsidR="004209FB" w:rsidRPr="00221C89">
        <w:rPr>
          <w:rFonts w:ascii="Times New Roman" w:hAnsi="Times New Roman" w:cs="Times New Roman"/>
          <w:sz w:val="24"/>
          <w:szCs w:val="24"/>
        </w:rPr>
        <w:t xml:space="preserve"> </w:t>
      </w:r>
      <w:r w:rsidR="0014199A" w:rsidRPr="00221C89">
        <w:rPr>
          <w:rFonts w:ascii="Times New Roman" w:hAnsi="Times New Roman" w:cs="Times New Roman"/>
          <w:sz w:val="24"/>
          <w:szCs w:val="24"/>
        </w:rPr>
        <w:t xml:space="preserve">may </w:t>
      </w:r>
      <w:r w:rsidR="004209FB" w:rsidRPr="00221C89">
        <w:rPr>
          <w:rFonts w:ascii="Times New Roman" w:hAnsi="Times New Roman" w:cs="Times New Roman"/>
          <w:sz w:val="24"/>
          <w:szCs w:val="24"/>
        </w:rPr>
        <w:t>wai</w:t>
      </w:r>
      <w:r w:rsidR="00C13706" w:rsidRPr="00221C89">
        <w:rPr>
          <w:rFonts w:ascii="Times New Roman" w:hAnsi="Times New Roman" w:cs="Times New Roman"/>
          <w:sz w:val="24"/>
          <w:szCs w:val="24"/>
        </w:rPr>
        <w:t>ve the provisions of CPLR</w:t>
      </w:r>
      <w:r w:rsidR="00086496" w:rsidRPr="00221C89">
        <w:rPr>
          <w:rFonts w:ascii="Times New Roman" w:hAnsi="Times New Roman" w:cs="Times New Roman"/>
          <w:sz w:val="24"/>
          <w:szCs w:val="24"/>
        </w:rPr>
        <w:t xml:space="preserve"> </w:t>
      </w:r>
      <w:r w:rsidR="00CC4A1D" w:rsidRPr="00221C89">
        <w:rPr>
          <w:rFonts w:ascii="Times New Roman" w:hAnsi="Times New Roman" w:cs="Times New Roman"/>
          <w:sz w:val="24"/>
          <w:szCs w:val="24"/>
        </w:rPr>
        <w:t>4519</w:t>
      </w:r>
      <w:r w:rsidR="008348ED" w:rsidRPr="00221C89">
        <w:rPr>
          <w:rFonts w:ascii="Times New Roman" w:hAnsi="Times New Roman" w:cs="Times New Roman"/>
          <w:sz w:val="24"/>
          <w:szCs w:val="24"/>
        </w:rPr>
        <w:t xml:space="preserve"> only </w:t>
      </w:r>
      <w:r w:rsidR="004B0DDC" w:rsidRPr="00221C89">
        <w:rPr>
          <w:rFonts w:ascii="Times New Roman" w:hAnsi="Times New Roman" w:cs="Times New Roman"/>
          <w:sz w:val="24"/>
          <w:szCs w:val="24"/>
        </w:rPr>
        <w:t xml:space="preserve">at a </w:t>
      </w:r>
      <w:r w:rsidR="00A62501" w:rsidRPr="00221C89">
        <w:rPr>
          <w:rFonts w:ascii="Times New Roman" w:hAnsi="Times New Roman" w:cs="Times New Roman"/>
          <w:sz w:val="24"/>
          <w:szCs w:val="24"/>
        </w:rPr>
        <w:t>trial</w:t>
      </w:r>
      <w:r w:rsidR="008554A8" w:rsidRPr="00221C89">
        <w:rPr>
          <w:rFonts w:ascii="Times New Roman" w:hAnsi="Times New Roman" w:cs="Times New Roman"/>
          <w:sz w:val="24"/>
          <w:szCs w:val="24"/>
        </w:rPr>
        <w:t xml:space="preserve"> of an action or hearing on the merits of a special proceeding</w:t>
      </w:r>
      <w:r w:rsidR="004B0DDC" w:rsidRPr="00221C89">
        <w:rPr>
          <w:rFonts w:ascii="Times New Roman" w:hAnsi="Times New Roman" w:cs="Times New Roman"/>
          <w:sz w:val="24"/>
          <w:szCs w:val="24"/>
        </w:rPr>
        <w:t xml:space="preserve"> (</w:t>
      </w:r>
      <w:r w:rsidR="00C91F0D" w:rsidRPr="00221C89">
        <w:rPr>
          <w:rFonts w:ascii="Times New Roman" w:hAnsi="Times New Roman" w:cs="Times New Roman"/>
          <w:i/>
          <w:sz w:val="24"/>
          <w:szCs w:val="24"/>
        </w:rPr>
        <w:t>Matter</w:t>
      </w:r>
      <w:r w:rsidR="008E60D4" w:rsidRPr="00221C89">
        <w:rPr>
          <w:rFonts w:ascii="Times New Roman" w:hAnsi="Times New Roman" w:cs="Times New Roman"/>
          <w:i/>
          <w:sz w:val="24"/>
          <w:szCs w:val="24"/>
        </w:rPr>
        <w:t xml:space="preserve"> </w:t>
      </w:r>
      <w:r w:rsidR="00C91F0D" w:rsidRPr="00221C89">
        <w:rPr>
          <w:rFonts w:ascii="Times New Roman" w:hAnsi="Times New Roman" w:cs="Times New Roman"/>
          <w:i/>
          <w:sz w:val="24"/>
          <w:szCs w:val="24"/>
        </w:rPr>
        <w:t>of Van Volkenburgh</w:t>
      </w:r>
      <w:r w:rsidR="004B0DDC" w:rsidRPr="00221C89">
        <w:rPr>
          <w:rFonts w:ascii="Times New Roman" w:hAnsi="Times New Roman" w:cs="Times New Roman"/>
          <w:sz w:val="24"/>
          <w:szCs w:val="24"/>
        </w:rPr>
        <w:t>,</w:t>
      </w:r>
      <w:r w:rsidR="00C91F0D" w:rsidRPr="00221C89">
        <w:rPr>
          <w:rFonts w:ascii="Times New Roman" w:hAnsi="Times New Roman" w:cs="Times New Roman"/>
          <w:sz w:val="24"/>
          <w:szCs w:val="24"/>
        </w:rPr>
        <w:t xml:space="preserve"> 254</w:t>
      </w:r>
      <w:r w:rsidR="00462A38" w:rsidRPr="00221C89">
        <w:rPr>
          <w:rFonts w:ascii="Times New Roman" w:hAnsi="Times New Roman" w:cs="Times New Roman"/>
          <w:sz w:val="24"/>
          <w:szCs w:val="24"/>
        </w:rPr>
        <w:t xml:space="preserve"> NY 139</w:t>
      </w:r>
      <w:r w:rsidR="004B0DDC" w:rsidRPr="00221C89">
        <w:rPr>
          <w:rFonts w:ascii="Times New Roman" w:hAnsi="Times New Roman" w:cs="Times New Roman"/>
          <w:sz w:val="24"/>
          <w:szCs w:val="24"/>
        </w:rPr>
        <w:t xml:space="preserve"> [1930])</w:t>
      </w:r>
      <w:r w:rsidR="00462A38" w:rsidRPr="00221C89">
        <w:rPr>
          <w:rFonts w:ascii="Times New Roman" w:hAnsi="Times New Roman" w:cs="Times New Roman"/>
          <w:sz w:val="24"/>
          <w:szCs w:val="24"/>
        </w:rPr>
        <w:t xml:space="preserve">. </w:t>
      </w:r>
      <w:r w:rsidR="000D61B3" w:rsidRPr="00221C89">
        <w:rPr>
          <w:rFonts w:ascii="Times New Roman" w:hAnsi="Times New Roman" w:cs="Times New Roman"/>
          <w:sz w:val="24"/>
          <w:szCs w:val="24"/>
        </w:rPr>
        <w:t xml:space="preserve"> The “prote</w:t>
      </w:r>
      <w:r w:rsidR="00863218" w:rsidRPr="00221C89">
        <w:rPr>
          <w:rFonts w:ascii="Times New Roman" w:hAnsi="Times New Roman" w:cs="Times New Roman"/>
          <w:sz w:val="24"/>
          <w:szCs w:val="24"/>
        </w:rPr>
        <w:t>cted party</w:t>
      </w:r>
      <w:r w:rsidR="004A0C4B" w:rsidRPr="00221C89">
        <w:rPr>
          <w:rFonts w:ascii="Times New Roman" w:hAnsi="Times New Roman" w:cs="Times New Roman"/>
          <w:sz w:val="24"/>
          <w:szCs w:val="24"/>
        </w:rPr>
        <w:t>’s</w:t>
      </w:r>
      <w:r w:rsidR="00863218" w:rsidRPr="00221C89">
        <w:rPr>
          <w:rFonts w:ascii="Times New Roman" w:hAnsi="Times New Roman" w:cs="Times New Roman"/>
          <w:sz w:val="24"/>
          <w:szCs w:val="24"/>
        </w:rPr>
        <w:t>”</w:t>
      </w:r>
      <w:r w:rsidR="004A0C4B" w:rsidRPr="00221C89">
        <w:rPr>
          <w:rFonts w:ascii="Times New Roman" w:hAnsi="Times New Roman" w:cs="Times New Roman"/>
          <w:sz w:val="24"/>
          <w:szCs w:val="24"/>
        </w:rPr>
        <w:t xml:space="preserve"> </w:t>
      </w:r>
      <w:r w:rsidR="00863218" w:rsidRPr="00221C89">
        <w:rPr>
          <w:rFonts w:ascii="Times New Roman" w:hAnsi="Times New Roman" w:cs="Times New Roman"/>
          <w:sz w:val="24"/>
          <w:szCs w:val="24"/>
        </w:rPr>
        <w:t>w</w:t>
      </w:r>
      <w:r w:rsidR="009C4FB4" w:rsidRPr="00221C89">
        <w:rPr>
          <w:rFonts w:ascii="Times New Roman" w:hAnsi="Times New Roman" w:cs="Times New Roman"/>
          <w:sz w:val="24"/>
          <w:szCs w:val="24"/>
        </w:rPr>
        <w:t>aiver may be made in</w:t>
      </w:r>
      <w:r w:rsidR="0014199A" w:rsidRPr="00221C89">
        <w:rPr>
          <w:rFonts w:ascii="Times New Roman" w:hAnsi="Times New Roman" w:cs="Times New Roman"/>
          <w:sz w:val="24"/>
          <w:szCs w:val="24"/>
        </w:rPr>
        <w:t xml:space="preserve"> any one of </w:t>
      </w:r>
      <w:r w:rsidR="009E1AB1" w:rsidRPr="00221C89">
        <w:rPr>
          <w:rFonts w:ascii="Times New Roman" w:hAnsi="Times New Roman" w:cs="Times New Roman"/>
          <w:sz w:val="24"/>
          <w:szCs w:val="24"/>
        </w:rPr>
        <w:t>f</w:t>
      </w:r>
      <w:r w:rsidR="00CD12AF" w:rsidRPr="00221C89">
        <w:rPr>
          <w:rFonts w:ascii="Times New Roman" w:hAnsi="Times New Roman" w:cs="Times New Roman"/>
          <w:sz w:val="24"/>
          <w:szCs w:val="24"/>
        </w:rPr>
        <w:t xml:space="preserve">ive </w:t>
      </w:r>
      <w:r w:rsidR="0014199A" w:rsidRPr="00221C89">
        <w:rPr>
          <w:rFonts w:ascii="Times New Roman" w:hAnsi="Times New Roman" w:cs="Times New Roman"/>
          <w:sz w:val="24"/>
          <w:szCs w:val="24"/>
        </w:rPr>
        <w:t>ways:</w:t>
      </w:r>
    </w:p>
    <w:p w14:paraId="04F10B94" w14:textId="77777777" w:rsidR="00B10778" w:rsidRPr="00221C89" w:rsidRDefault="00B10778" w:rsidP="00161F07">
      <w:pPr>
        <w:spacing w:after="0" w:line="240" w:lineRule="auto"/>
        <w:jc w:val="both"/>
        <w:rPr>
          <w:rFonts w:ascii="Times New Roman" w:hAnsi="Times New Roman" w:cs="Times New Roman"/>
          <w:sz w:val="24"/>
          <w:szCs w:val="24"/>
        </w:rPr>
      </w:pPr>
    </w:p>
    <w:p w14:paraId="78DF4F00" w14:textId="0E0D46D0" w:rsidR="00BB076E" w:rsidRPr="00221C89" w:rsidRDefault="00BE601B" w:rsidP="00BE601B">
      <w:pPr>
        <w:pStyle w:val="ListParagraph"/>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1</w:t>
      </w:r>
      <w:r w:rsidR="00B53B45" w:rsidRPr="00221C89">
        <w:rPr>
          <w:rFonts w:ascii="Times New Roman" w:hAnsi="Times New Roman" w:cs="Times New Roman"/>
          <w:sz w:val="24"/>
          <w:szCs w:val="24"/>
        </w:rPr>
        <w:t>.</w:t>
      </w:r>
      <w:r w:rsidR="00E24E7D" w:rsidRPr="00221C89">
        <w:rPr>
          <w:rFonts w:ascii="Times New Roman" w:hAnsi="Times New Roman" w:cs="Times New Roman"/>
          <w:sz w:val="24"/>
          <w:szCs w:val="24"/>
        </w:rPr>
        <w:t xml:space="preserve"> by </w:t>
      </w:r>
      <w:r w:rsidR="006450BE" w:rsidRPr="00221C89">
        <w:rPr>
          <w:rFonts w:ascii="Times New Roman" w:hAnsi="Times New Roman" w:cs="Times New Roman"/>
          <w:sz w:val="24"/>
          <w:szCs w:val="24"/>
        </w:rPr>
        <w:t>expressly stating</w:t>
      </w:r>
      <w:r w:rsidR="00D111A6" w:rsidRPr="00221C89">
        <w:rPr>
          <w:rFonts w:ascii="Times New Roman" w:hAnsi="Times New Roman" w:cs="Times New Roman"/>
          <w:sz w:val="24"/>
          <w:szCs w:val="24"/>
        </w:rPr>
        <w:t xml:space="preserve"> a </w:t>
      </w:r>
      <w:r w:rsidR="00E24E7D" w:rsidRPr="00221C89">
        <w:rPr>
          <w:rFonts w:ascii="Times New Roman" w:hAnsi="Times New Roman" w:cs="Times New Roman"/>
          <w:sz w:val="24"/>
          <w:szCs w:val="24"/>
        </w:rPr>
        <w:t>waiver</w:t>
      </w:r>
      <w:r w:rsidR="00840ED2" w:rsidRPr="00221C89">
        <w:rPr>
          <w:rFonts w:ascii="Times New Roman" w:hAnsi="Times New Roman" w:cs="Times New Roman"/>
          <w:sz w:val="24"/>
          <w:szCs w:val="24"/>
        </w:rPr>
        <w:t>;</w:t>
      </w:r>
      <w:r w:rsidR="00FA609F" w:rsidRPr="00221C89">
        <w:rPr>
          <w:rFonts w:ascii="Times New Roman" w:hAnsi="Times New Roman" w:cs="Times New Roman"/>
          <w:sz w:val="24"/>
          <w:szCs w:val="24"/>
        </w:rPr>
        <w:t xml:space="preserve"> </w:t>
      </w:r>
    </w:p>
    <w:p w14:paraId="4204EADB" w14:textId="77777777" w:rsidR="004E4CA6" w:rsidRPr="00221C89" w:rsidRDefault="004E4CA6" w:rsidP="00CE66C6">
      <w:pPr>
        <w:pStyle w:val="ListParagraph"/>
        <w:spacing w:after="0" w:line="240" w:lineRule="auto"/>
        <w:jc w:val="both"/>
        <w:rPr>
          <w:rFonts w:ascii="Times New Roman" w:hAnsi="Times New Roman" w:cs="Times New Roman"/>
          <w:sz w:val="24"/>
          <w:szCs w:val="24"/>
        </w:rPr>
      </w:pPr>
    </w:p>
    <w:p w14:paraId="3CE5B158" w14:textId="0BF30D27" w:rsidR="00C457F8" w:rsidRPr="00221C89" w:rsidRDefault="00BE601B" w:rsidP="00BE601B">
      <w:pPr>
        <w:pStyle w:val="ListParagraph"/>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2</w:t>
      </w:r>
      <w:r w:rsidR="00B53B45" w:rsidRPr="00221C89">
        <w:rPr>
          <w:rFonts w:ascii="Times New Roman" w:hAnsi="Times New Roman" w:cs="Times New Roman"/>
          <w:sz w:val="24"/>
          <w:szCs w:val="24"/>
        </w:rPr>
        <w:t>.</w:t>
      </w:r>
      <w:r w:rsidRPr="00221C89">
        <w:rPr>
          <w:rFonts w:ascii="Times New Roman" w:hAnsi="Times New Roman" w:cs="Times New Roman"/>
          <w:sz w:val="24"/>
          <w:szCs w:val="24"/>
        </w:rPr>
        <w:t xml:space="preserve"> </w:t>
      </w:r>
      <w:r w:rsidR="00840ED2" w:rsidRPr="00221C89">
        <w:rPr>
          <w:rFonts w:ascii="Times New Roman" w:hAnsi="Times New Roman" w:cs="Times New Roman"/>
          <w:sz w:val="24"/>
          <w:szCs w:val="24"/>
        </w:rPr>
        <w:t xml:space="preserve">by </w:t>
      </w:r>
      <w:r w:rsidR="00C457F8" w:rsidRPr="00221C89">
        <w:rPr>
          <w:rFonts w:ascii="Times New Roman" w:hAnsi="Times New Roman" w:cs="Times New Roman"/>
          <w:sz w:val="24"/>
          <w:szCs w:val="24"/>
        </w:rPr>
        <w:t>failing to object</w:t>
      </w:r>
      <w:r w:rsidR="00840ED2" w:rsidRPr="00221C89">
        <w:rPr>
          <w:rFonts w:ascii="Times New Roman" w:hAnsi="Times New Roman" w:cs="Times New Roman"/>
          <w:sz w:val="24"/>
          <w:szCs w:val="24"/>
        </w:rPr>
        <w:t xml:space="preserve"> (</w:t>
      </w:r>
      <w:r w:rsidR="00C457F8" w:rsidRPr="00221C89">
        <w:rPr>
          <w:rFonts w:ascii="Times New Roman" w:hAnsi="Times New Roman" w:cs="Times New Roman"/>
          <w:i/>
          <w:iCs/>
          <w:sz w:val="24"/>
          <w:szCs w:val="24"/>
        </w:rPr>
        <w:t>Ralley</w:t>
      </w:r>
      <w:r w:rsidR="000D03F4" w:rsidRPr="00221C89">
        <w:rPr>
          <w:rFonts w:ascii="Times New Roman" w:hAnsi="Times New Roman" w:cs="Times New Roman"/>
          <w:i/>
          <w:iCs/>
          <w:sz w:val="24"/>
          <w:szCs w:val="24"/>
        </w:rPr>
        <w:t xml:space="preserve"> v</w:t>
      </w:r>
      <w:r w:rsidR="00C457F8" w:rsidRPr="00221C89">
        <w:rPr>
          <w:rFonts w:ascii="Times New Roman" w:hAnsi="Times New Roman" w:cs="Times New Roman"/>
          <w:i/>
          <w:iCs/>
          <w:sz w:val="24"/>
          <w:szCs w:val="24"/>
        </w:rPr>
        <w:t xml:space="preserve"> O’Connor</w:t>
      </w:r>
      <w:r w:rsidR="00C457F8" w:rsidRPr="00221C89">
        <w:rPr>
          <w:rFonts w:ascii="Times New Roman" w:hAnsi="Times New Roman" w:cs="Times New Roman"/>
          <w:sz w:val="24"/>
          <w:szCs w:val="24"/>
        </w:rPr>
        <w:t>, 71 A</w:t>
      </w:r>
      <w:r w:rsidR="004B0DDC" w:rsidRPr="00221C89">
        <w:rPr>
          <w:rFonts w:ascii="Times New Roman" w:hAnsi="Times New Roman" w:cs="Times New Roman"/>
          <w:sz w:val="24"/>
          <w:szCs w:val="24"/>
        </w:rPr>
        <w:t xml:space="preserve">pp </w:t>
      </w:r>
      <w:r w:rsidR="00C457F8" w:rsidRPr="00221C89">
        <w:rPr>
          <w:rFonts w:ascii="Times New Roman" w:hAnsi="Times New Roman" w:cs="Times New Roman"/>
          <w:sz w:val="24"/>
          <w:szCs w:val="24"/>
        </w:rPr>
        <w:t>D</w:t>
      </w:r>
      <w:r w:rsidR="004B0DDC" w:rsidRPr="00221C89">
        <w:rPr>
          <w:rFonts w:ascii="Times New Roman" w:hAnsi="Times New Roman" w:cs="Times New Roman"/>
          <w:sz w:val="24"/>
          <w:szCs w:val="24"/>
        </w:rPr>
        <w:t>iv</w:t>
      </w:r>
      <w:r w:rsidR="00C457F8" w:rsidRPr="00221C89">
        <w:rPr>
          <w:rFonts w:ascii="Times New Roman" w:hAnsi="Times New Roman" w:cs="Times New Roman"/>
          <w:sz w:val="24"/>
          <w:szCs w:val="24"/>
        </w:rPr>
        <w:t xml:space="preserve"> 328 </w:t>
      </w:r>
      <w:r w:rsidR="00840ED2" w:rsidRPr="00221C89">
        <w:rPr>
          <w:rFonts w:ascii="Times New Roman" w:hAnsi="Times New Roman" w:cs="Times New Roman"/>
          <w:sz w:val="24"/>
          <w:szCs w:val="24"/>
        </w:rPr>
        <w:t>[</w:t>
      </w:r>
      <w:r w:rsidR="00C457F8" w:rsidRPr="00221C89">
        <w:rPr>
          <w:rFonts w:ascii="Times New Roman" w:hAnsi="Times New Roman" w:cs="Times New Roman"/>
          <w:sz w:val="24"/>
          <w:szCs w:val="24"/>
        </w:rPr>
        <w:t>1st Dept 1902</w:t>
      </w:r>
      <w:r w:rsidR="00840ED2" w:rsidRPr="00221C89">
        <w:rPr>
          <w:rFonts w:ascii="Times New Roman" w:hAnsi="Times New Roman" w:cs="Times New Roman"/>
          <w:sz w:val="24"/>
          <w:szCs w:val="24"/>
        </w:rPr>
        <w:t>]</w:t>
      </w:r>
      <w:r w:rsidR="00C457F8" w:rsidRPr="00221C89">
        <w:rPr>
          <w:rFonts w:ascii="Times New Roman" w:hAnsi="Times New Roman" w:cs="Times New Roman"/>
          <w:sz w:val="24"/>
          <w:szCs w:val="24"/>
        </w:rPr>
        <w:t>)</w:t>
      </w:r>
      <w:r w:rsidR="00840ED2" w:rsidRPr="00221C89">
        <w:rPr>
          <w:rFonts w:ascii="Times New Roman" w:hAnsi="Times New Roman" w:cs="Times New Roman"/>
          <w:sz w:val="24"/>
          <w:szCs w:val="24"/>
        </w:rPr>
        <w:t>;</w:t>
      </w:r>
      <w:r w:rsidR="00FA609F" w:rsidRPr="00221C89">
        <w:rPr>
          <w:rFonts w:ascii="Times New Roman" w:hAnsi="Times New Roman" w:cs="Times New Roman"/>
          <w:sz w:val="24"/>
          <w:szCs w:val="24"/>
        </w:rPr>
        <w:t xml:space="preserve"> </w:t>
      </w:r>
    </w:p>
    <w:p w14:paraId="1365F706" w14:textId="77777777" w:rsidR="004E4CA6" w:rsidRPr="00221C89" w:rsidRDefault="004E4CA6" w:rsidP="00CE66C6">
      <w:pPr>
        <w:pStyle w:val="ListParagraph"/>
        <w:spacing w:after="0" w:line="240" w:lineRule="auto"/>
        <w:jc w:val="both"/>
        <w:rPr>
          <w:rFonts w:ascii="Times New Roman" w:hAnsi="Times New Roman" w:cs="Times New Roman"/>
          <w:sz w:val="24"/>
          <w:szCs w:val="24"/>
        </w:rPr>
      </w:pPr>
    </w:p>
    <w:p w14:paraId="2ED48B43" w14:textId="04FAFB44" w:rsidR="00272A55" w:rsidRPr="00221C89" w:rsidRDefault="00BE601B" w:rsidP="00BE601B">
      <w:pPr>
        <w:spacing w:after="0" w:line="240" w:lineRule="auto"/>
        <w:ind w:left="720"/>
        <w:jc w:val="both"/>
        <w:rPr>
          <w:rFonts w:ascii="Times New Roman" w:hAnsi="Times New Roman" w:cs="Times New Roman"/>
          <w:sz w:val="24"/>
          <w:szCs w:val="24"/>
        </w:rPr>
      </w:pPr>
      <w:r w:rsidRPr="00221C89">
        <w:rPr>
          <w:rFonts w:ascii="Times New Roman" w:hAnsi="Times New Roman" w:cs="Times New Roman"/>
          <w:sz w:val="24"/>
          <w:szCs w:val="24"/>
        </w:rPr>
        <w:t>3</w:t>
      </w:r>
      <w:r w:rsidR="00B53B45" w:rsidRPr="00221C89">
        <w:rPr>
          <w:rFonts w:ascii="Times New Roman" w:hAnsi="Times New Roman" w:cs="Times New Roman"/>
          <w:sz w:val="24"/>
          <w:szCs w:val="24"/>
        </w:rPr>
        <w:t>.</w:t>
      </w:r>
      <w:r w:rsidRPr="00221C89">
        <w:rPr>
          <w:rFonts w:ascii="Times New Roman" w:hAnsi="Times New Roman" w:cs="Times New Roman"/>
          <w:sz w:val="24"/>
          <w:szCs w:val="24"/>
        </w:rPr>
        <w:t xml:space="preserve"> </w:t>
      </w:r>
      <w:r w:rsidR="00840ED2" w:rsidRPr="00221C89">
        <w:rPr>
          <w:rFonts w:ascii="Times New Roman" w:hAnsi="Times New Roman" w:cs="Times New Roman"/>
          <w:sz w:val="24"/>
          <w:szCs w:val="24"/>
        </w:rPr>
        <w:t xml:space="preserve">by </w:t>
      </w:r>
      <w:r w:rsidR="00C457F8" w:rsidRPr="00221C89">
        <w:rPr>
          <w:rFonts w:ascii="Times New Roman" w:hAnsi="Times New Roman" w:cs="Times New Roman"/>
          <w:sz w:val="24"/>
          <w:szCs w:val="24"/>
        </w:rPr>
        <w:t xml:space="preserve">introducing prior testimony of the decedent or  person </w:t>
      </w:r>
      <w:r w:rsidR="00A97B56" w:rsidRPr="00221C89">
        <w:rPr>
          <w:rFonts w:ascii="Times New Roman" w:hAnsi="Times New Roman" w:cs="Times New Roman"/>
          <w:sz w:val="24"/>
          <w:szCs w:val="24"/>
        </w:rPr>
        <w:t xml:space="preserve">with a mental illness </w:t>
      </w:r>
      <w:r w:rsidR="00C457F8" w:rsidRPr="00221C89">
        <w:rPr>
          <w:rFonts w:ascii="Times New Roman" w:hAnsi="Times New Roman" w:cs="Times New Roman"/>
          <w:sz w:val="24"/>
          <w:szCs w:val="24"/>
        </w:rPr>
        <w:t>about the transaction or communication</w:t>
      </w:r>
      <w:r w:rsidR="00C13E92" w:rsidRPr="00221C89">
        <w:rPr>
          <w:rFonts w:ascii="Times New Roman" w:hAnsi="Times New Roman" w:cs="Times New Roman"/>
          <w:sz w:val="24"/>
          <w:szCs w:val="24"/>
        </w:rPr>
        <w:t xml:space="preserve"> (CPLR 4519</w:t>
      </w:r>
      <w:r w:rsidR="004E14B7" w:rsidRPr="00221C89">
        <w:rPr>
          <w:rFonts w:ascii="Times New Roman" w:hAnsi="Times New Roman" w:cs="Times New Roman"/>
          <w:sz w:val="24"/>
          <w:szCs w:val="24"/>
        </w:rPr>
        <w:t>)</w:t>
      </w:r>
      <w:r w:rsidR="00FA609F" w:rsidRPr="00221C89">
        <w:rPr>
          <w:rFonts w:ascii="Times New Roman" w:hAnsi="Times New Roman" w:cs="Times New Roman"/>
          <w:sz w:val="24"/>
          <w:szCs w:val="24"/>
        </w:rPr>
        <w:t xml:space="preserve">; </w:t>
      </w:r>
    </w:p>
    <w:p w14:paraId="0010EFD0" w14:textId="77777777" w:rsidR="004E4CA6" w:rsidRPr="00221C89" w:rsidRDefault="004E4CA6" w:rsidP="00CE66C6">
      <w:pPr>
        <w:pStyle w:val="ListParagraph"/>
        <w:spacing w:after="0" w:line="240" w:lineRule="auto"/>
        <w:jc w:val="both"/>
        <w:rPr>
          <w:rFonts w:ascii="Times New Roman" w:hAnsi="Times New Roman" w:cs="Times New Roman"/>
          <w:sz w:val="24"/>
          <w:szCs w:val="24"/>
        </w:rPr>
      </w:pPr>
    </w:p>
    <w:p w14:paraId="693D5027" w14:textId="2CF2DF52" w:rsidR="00956092" w:rsidRPr="00221C89" w:rsidRDefault="00BE601B" w:rsidP="00BE601B">
      <w:pPr>
        <w:spacing w:after="0" w:line="240" w:lineRule="auto"/>
        <w:ind w:left="720"/>
        <w:jc w:val="both"/>
        <w:rPr>
          <w:rFonts w:ascii="Times New Roman" w:hAnsi="Times New Roman" w:cs="Times New Roman"/>
          <w:sz w:val="24"/>
          <w:szCs w:val="24"/>
        </w:rPr>
      </w:pPr>
      <w:r w:rsidRPr="00221C89">
        <w:rPr>
          <w:rFonts w:ascii="Times New Roman" w:hAnsi="Times New Roman" w:cs="Times New Roman"/>
          <w:sz w:val="24"/>
          <w:szCs w:val="24"/>
        </w:rPr>
        <w:t>4</w:t>
      </w:r>
      <w:r w:rsidR="00B53B45" w:rsidRPr="00221C89">
        <w:rPr>
          <w:rFonts w:ascii="Times New Roman" w:hAnsi="Times New Roman" w:cs="Times New Roman"/>
          <w:sz w:val="24"/>
          <w:szCs w:val="24"/>
        </w:rPr>
        <w:t>.</w:t>
      </w:r>
      <w:r w:rsidRPr="00221C89">
        <w:rPr>
          <w:rFonts w:ascii="Times New Roman" w:hAnsi="Times New Roman" w:cs="Times New Roman"/>
          <w:sz w:val="24"/>
          <w:szCs w:val="24"/>
        </w:rPr>
        <w:t xml:space="preserve"> </w:t>
      </w:r>
      <w:r w:rsidR="00956092" w:rsidRPr="00221C89">
        <w:rPr>
          <w:rFonts w:ascii="Times New Roman" w:hAnsi="Times New Roman" w:cs="Times New Roman"/>
          <w:sz w:val="24"/>
          <w:szCs w:val="24"/>
        </w:rPr>
        <w:t xml:space="preserve">by testifying in his or her behalf about the transaction or communication CPLR 4519. </w:t>
      </w:r>
      <w:r w:rsidR="001521DB" w:rsidRPr="00221C89">
        <w:rPr>
          <w:rFonts w:ascii="Times New Roman" w:hAnsi="Times New Roman" w:cs="Times New Roman"/>
          <w:sz w:val="24"/>
          <w:szCs w:val="24"/>
        </w:rPr>
        <w:t>In this instance, h</w:t>
      </w:r>
      <w:r w:rsidR="00956092" w:rsidRPr="00221C89">
        <w:rPr>
          <w:rFonts w:ascii="Times New Roman" w:hAnsi="Times New Roman" w:cs="Times New Roman"/>
          <w:sz w:val="24"/>
          <w:szCs w:val="24"/>
        </w:rPr>
        <w:t xml:space="preserve">owever, the waiver is limited. “By introducing such testimony, the </w:t>
      </w:r>
      <w:r w:rsidR="00E91DDF" w:rsidRPr="00221C89">
        <w:rPr>
          <w:rFonts w:ascii="Times New Roman" w:hAnsi="Times New Roman" w:cs="Times New Roman"/>
          <w:sz w:val="24"/>
          <w:szCs w:val="24"/>
        </w:rPr>
        <w:t>[</w:t>
      </w:r>
      <w:r w:rsidR="00956092" w:rsidRPr="00221C89">
        <w:rPr>
          <w:rFonts w:ascii="Times New Roman" w:hAnsi="Times New Roman" w:cs="Times New Roman"/>
          <w:sz w:val="24"/>
          <w:szCs w:val="24"/>
        </w:rPr>
        <w:t xml:space="preserve">protected party] does not ‘open the door’ to any or all personal transactions with the decedent. Rather, the waiver of the statute is limited to the </w:t>
      </w:r>
      <w:r w:rsidR="00E91DDF" w:rsidRPr="00221C89">
        <w:rPr>
          <w:rFonts w:ascii="Times New Roman" w:hAnsi="Times New Roman" w:cs="Times New Roman"/>
          <w:sz w:val="24"/>
          <w:szCs w:val="24"/>
        </w:rPr>
        <w:t>‘</w:t>
      </w:r>
      <w:r w:rsidR="00956092" w:rsidRPr="00221C89">
        <w:rPr>
          <w:rFonts w:ascii="Times New Roman" w:hAnsi="Times New Roman" w:cs="Times New Roman"/>
          <w:sz w:val="24"/>
          <w:szCs w:val="24"/>
        </w:rPr>
        <w:t>personal transaction</w:t>
      </w:r>
      <w:r w:rsidR="00E91DDF" w:rsidRPr="00221C89">
        <w:rPr>
          <w:rFonts w:ascii="Times New Roman" w:hAnsi="Times New Roman" w:cs="Times New Roman"/>
          <w:sz w:val="24"/>
          <w:szCs w:val="24"/>
        </w:rPr>
        <w:t>’</w:t>
      </w:r>
      <w:r w:rsidR="00956092" w:rsidRPr="00221C89">
        <w:rPr>
          <w:rFonts w:ascii="Times New Roman" w:hAnsi="Times New Roman" w:cs="Times New Roman"/>
          <w:sz w:val="24"/>
          <w:szCs w:val="24"/>
        </w:rPr>
        <w:t xml:space="preserve"> in issue. </w:t>
      </w:r>
      <w:r w:rsidR="00CB56DD" w:rsidRPr="00221C89">
        <w:rPr>
          <w:rFonts w:ascii="Times New Roman" w:hAnsi="Times New Roman" w:cs="Times New Roman"/>
          <w:sz w:val="24"/>
          <w:szCs w:val="24"/>
        </w:rPr>
        <w:t>(</w:t>
      </w:r>
      <w:r w:rsidR="00956092" w:rsidRPr="00221C89">
        <w:rPr>
          <w:rFonts w:ascii="Times New Roman" w:hAnsi="Times New Roman" w:cs="Times New Roman"/>
          <w:i/>
          <w:iCs/>
          <w:sz w:val="24"/>
          <w:szCs w:val="24"/>
        </w:rPr>
        <w:t>Martin v Hille</w:t>
      </w:r>
      <w:r w:rsidR="00CB56DD" w:rsidRPr="00221C89">
        <w:rPr>
          <w:rFonts w:ascii="Times New Roman" w:hAnsi="Times New Roman" w:cs="Times New Roman"/>
          <w:i/>
          <w:iCs/>
          <w:sz w:val="24"/>
          <w:szCs w:val="24"/>
        </w:rPr>
        <w:t>n</w:t>
      </w:r>
      <w:r w:rsidR="00956092" w:rsidRPr="00221C89">
        <w:rPr>
          <w:rFonts w:ascii="Times New Roman" w:hAnsi="Times New Roman" w:cs="Times New Roman"/>
          <w:sz w:val="24"/>
          <w:szCs w:val="24"/>
        </w:rPr>
        <w:t>, 142 NY 140.)”  (</w:t>
      </w:r>
      <w:r w:rsidR="00956092" w:rsidRPr="00221C89">
        <w:rPr>
          <w:rFonts w:ascii="Times New Roman" w:hAnsi="Times New Roman" w:cs="Times New Roman"/>
          <w:i/>
          <w:iCs/>
          <w:sz w:val="24"/>
          <w:szCs w:val="24"/>
        </w:rPr>
        <w:t>Matter of Wood</w:t>
      </w:r>
      <w:r w:rsidR="00956092" w:rsidRPr="00221C89">
        <w:rPr>
          <w:rFonts w:ascii="Times New Roman" w:hAnsi="Times New Roman" w:cs="Times New Roman"/>
          <w:iCs/>
          <w:sz w:val="24"/>
          <w:szCs w:val="24"/>
        </w:rPr>
        <w:t>,</w:t>
      </w:r>
      <w:r w:rsidR="00956092" w:rsidRPr="00221C89">
        <w:rPr>
          <w:rFonts w:ascii="Times New Roman" w:hAnsi="Times New Roman" w:cs="Times New Roman"/>
          <w:sz w:val="24"/>
          <w:szCs w:val="24"/>
        </w:rPr>
        <w:t xml:space="preserve"> 52 NY2d at 145)</w:t>
      </w:r>
      <w:r w:rsidR="00FA609F" w:rsidRPr="00221C89">
        <w:rPr>
          <w:rFonts w:ascii="Times New Roman" w:hAnsi="Times New Roman" w:cs="Times New Roman"/>
          <w:sz w:val="24"/>
          <w:szCs w:val="24"/>
        </w:rPr>
        <w:t>; or</w:t>
      </w:r>
    </w:p>
    <w:p w14:paraId="37914119" w14:textId="77777777" w:rsidR="00790F01" w:rsidRPr="00221C89" w:rsidRDefault="00790F01" w:rsidP="00CE66C6">
      <w:pPr>
        <w:pStyle w:val="ListParagraph"/>
        <w:spacing w:after="0" w:line="240" w:lineRule="auto"/>
        <w:rPr>
          <w:rFonts w:ascii="Times New Roman" w:hAnsi="Times New Roman" w:cs="Times New Roman"/>
          <w:sz w:val="24"/>
          <w:szCs w:val="24"/>
        </w:rPr>
      </w:pPr>
    </w:p>
    <w:p w14:paraId="57B000A2" w14:textId="296DB8EB" w:rsidR="007E0A8C" w:rsidRPr="00221C89" w:rsidRDefault="00BE601B" w:rsidP="00BE601B">
      <w:pPr>
        <w:pStyle w:val="ListParagraph"/>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5</w:t>
      </w:r>
      <w:r w:rsidR="00B53B45" w:rsidRPr="00221C89">
        <w:rPr>
          <w:rFonts w:ascii="Times New Roman" w:hAnsi="Times New Roman" w:cs="Times New Roman"/>
          <w:sz w:val="24"/>
          <w:szCs w:val="24"/>
        </w:rPr>
        <w:t>.</w:t>
      </w:r>
      <w:r w:rsidRPr="00221C89">
        <w:rPr>
          <w:rFonts w:ascii="Times New Roman" w:hAnsi="Times New Roman" w:cs="Times New Roman"/>
          <w:sz w:val="24"/>
          <w:szCs w:val="24"/>
        </w:rPr>
        <w:t xml:space="preserve"> </w:t>
      </w:r>
      <w:r w:rsidR="00F8435D" w:rsidRPr="00221C89">
        <w:rPr>
          <w:rFonts w:ascii="Times New Roman" w:hAnsi="Times New Roman" w:cs="Times New Roman"/>
          <w:sz w:val="24"/>
          <w:szCs w:val="24"/>
        </w:rPr>
        <w:t>by examining the witness regarding the transaction or communication</w:t>
      </w:r>
      <w:r w:rsidR="009F2A27" w:rsidRPr="00221C89">
        <w:rPr>
          <w:rFonts w:ascii="Times New Roman" w:hAnsi="Times New Roman" w:cs="Times New Roman"/>
          <w:sz w:val="24"/>
          <w:szCs w:val="24"/>
        </w:rPr>
        <w:t xml:space="preserve"> </w:t>
      </w:r>
      <w:r w:rsidR="00CB56DD" w:rsidRPr="00221C89">
        <w:rPr>
          <w:rFonts w:ascii="Times New Roman" w:hAnsi="Times New Roman" w:cs="Times New Roman"/>
          <w:sz w:val="24"/>
          <w:szCs w:val="24"/>
        </w:rPr>
        <w:t>(</w:t>
      </w:r>
      <w:r w:rsidR="00F8435D" w:rsidRPr="00221C89">
        <w:rPr>
          <w:rFonts w:ascii="Times New Roman" w:hAnsi="Times New Roman" w:cs="Times New Roman"/>
          <w:i/>
          <w:iCs/>
          <w:sz w:val="24"/>
          <w:szCs w:val="24"/>
        </w:rPr>
        <w:t>Nay v Curle</w:t>
      </w:r>
      <w:r w:rsidR="00F8435D" w:rsidRPr="00221C89">
        <w:rPr>
          <w:rFonts w:ascii="Times New Roman" w:hAnsi="Times New Roman" w:cs="Times New Roman"/>
          <w:sz w:val="24"/>
          <w:szCs w:val="24"/>
        </w:rPr>
        <w:t xml:space="preserve">y, 113 NY 575 [1889]; </w:t>
      </w:r>
      <w:r w:rsidR="00CB56DD" w:rsidRPr="00221C89">
        <w:rPr>
          <w:rFonts w:ascii="Times New Roman" w:hAnsi="Times New Roman" w:cs="Times New Roman"/>
          <w:i/>
          <w:sz w:val="24"/>
          <w:szCs w:val="24"/>
        </w:rPr>
        <w:t>M</w:t>
      </w:r>
      <w:r w:rsidR="00F8435D" w:rsidRPr="00221C89">
        <w:rPr>
          <w:rFonts w:ascii="Times New Roman" w:hAnsi="Times New Roman" w:cs="Times New Roman"/>
          <w:i/>
          <w:iCs/>
          <w:sz w:val="24"/>
          <w:szCs w:val="24"/>
        </w:rPr>
        <w:t>atter of Dunbar</w:t>
      </w:r>
      <w:r w:rsidR="00F8435D" w:rsidRPr="00221C89">
        <w:rPr>
          <w:rFonts w:ascii="Times New Roman" w:hAnsi="Times New Roman" w:cs="Times New Roman"/>
          <w:iCs/>
          <w:sz w:val="24"/>
          <w:szCs w:val="24"/>
        </w:rPr>
        <w:t>,</w:t>
      </w:r>
      <w:r w:rsidR="00F8435D" w:rsidRPr="00221C89">
        <w:rPr>
          <w:rFonts w:ascii="Times New Roman" w:hAnsi="Times New Roman" w:cs="Times New Roman"/>
          <w:sz w:val="24"/>
          <w:szCs w:val="24"/>
        </w:rPr>
        <w:t xml:space="preserve"> 139 Misc</w:t>
      </w:r>
      <w:r w:rsidR="00CB56DD" w:rsidRPr="00221C89">
        <w:rPr>
          <w:rFonts w:ascii="Times New Roman" w:hAnsi="Times New Roman" w:cs="Times New Roman"/>
          <w:sz w:val="24"/>
          <w:szCs w:val="24"/>
        </w:rPr>
        <w:t xml:space="preserve"> </w:t>
      </w:r>
      <w:r w:rsidR="00F8435D" w:rsidRPr="00221C89">
        <w:rPr>
          <w:rFonts w:ascii="Times New Roman" w:hAnsi="Times New Roman" w:cs="Times New Roman"/>
          <w:sz w:val="24"/>
          <w:szCs w:val="24"/>
        </w:rPr>
        <w:t xml:space="preserve">2d 955 [Sur Ct, Bronx County 1988]; </w:t>
      </w:r>
      <w:r w:rsidR="00F8435D" w:rsidRPr="00221C89">
        <w:rPr>
          <w:rFonts w:ascii="Times New Roman" w:hAnsi="Times New Roman" w:cs="Times New Roman"/>
          <w:i/>
          <w:iCs/>
          <w:sz w:val="24"/>
          <w:szCs w:val="24"/>
        </w:rPr>
        <w:t>Matter of Smith</w:t>
      </w:r>
      <w:r w:rsidR="00F8435D" w:rsidRPr="00221C89">
        <w:rPr>
          <w:rFonts w:ascii="Times New Roman" w:hAnsi="Times New Roman" w:cs="Times New Roman"/>
          <w:iCs/>
          <w:sz w:val="24"/>
          <w:szCs w:val="24"/>
        </w:rPr>
        <w:t>,</w:t>
      </w:r>
      <w:r w:rsidR="00F8435D" w:rsidRPr="00221C89">
        <w:rPr>
          <w:rFonts w:ascii="Times New Roman" w:hAnsi="Times New Roman" w:cs="Times New Roman"/>
          <w:sz w:val="24"/>
          <w:szCs w:val="24"/>
        </w:rPr>
        <w:t xml:space="preserve"> 84 AD2d 664 [3d Dept 1981]</w:t>
      </w:r>
      <w:r w:rsidR="009F2A27" w:rsidRPr="00221C89">
        <w:rPr>
          <w:rFonts w:ascii="Times New Roman" w:hAnsi="Times New Roman" w:cs="Times New Roman"/>
          <w:sz w:val="24"/>
          <w:szCs w:val="24"/>
        </w:rPr>
        <w:t>)</w:t>
      </w:r>
      <w:r w:rsidR="00F8435D" w:rsidRPr="00221C89">
        <w:rPr>
          <w:rFonts w:ascii="Times New Roman" w:eastAsia="Times New Roman" w:hAnsi="Times New Roman" w:cs="Times New Roman"/>
          <w:sz w:val="24"/>
          <w:szCs w:val="24"/>
        </w:rPr>
        <w:t>.</w:t>
      </w:r>
    </w:p>
    <w:p w14:paraId="7514A9E9" w14:textId="724C9687" w:rsidR="007E0A8C" w:rsidRPr="00221C89" w:rsidRDefault="007E0A8C" w:rsidP="00BE601B">
      <w:pPr>
        <w:pStyle w:val="ListParagraph"/>
        <w:spacing w:after="0" w:line="240" w:lineRule="auto"/>
        <w:ind w:left="0"/>
        <w:rPr>
          <w:rFonts w:ascii="Times New Roman" w:hAnsi="Times New Roman" w:cs="Times New Roman"/>
          <w:sz w:val="24"/>
          <w:szCs w:val="24"/>
        </w:rPr>
      </w:pPr>
    </w:p>
    <w:p w14:paraId="7F37B98B" w14:textId="2E8D7F0C" w:rsidR="00A263C8" w:rsidRPr="00221C89" w:rsidRDefault="00A263C8" w:rsidP="00CE66C6">
      <w:pPr>
        <w:pStyle w:val="ListParagraph"/>
        <w:spacing w:after="0" w:line="240" w:lineRule="auto"/>
        <w:ind w:left="0"/>
        <w:rPr>
          <w:rFonts w:ascii="Times New Roman" w:hAnsi="Times New Roman" w:cs="Times New Roman"/>
          <w:b/>
          <w:bCs/>
          <w:sz w:val="24"/>
          <w:szCs w:val="24"/>
        </w:rPr>
      </w:pPr>
      <w:r w:rsidRPr="00221C89">
        <w:rPr>
          <w:rFonts w:ascii="Times New Roman" w:hAnsi="Times New Roman" w:cs="Times New Roman"/>
          <w:b/>
          <w:bCs/>
          <w:sz w:val="24"/>
          <w:szCs w:val="24"/>
        </w:rPr>
        <w:t>References</w:t>
      </w:r>
    </w:p>
    <w:p w14:paraId="054FCB00" w14:textId="77777777" w:rsidR="00BE601B" w:rsidRPr="00221C89" w:rsidRDefault="00BE601B" w:rsidP="00CE66C6">
      <w:pPr>
        <w:pStyle w:val="ListParagraph"/>
        <w:spacing w:after="0" w:line="240" w:lineRule="auto"/>
        <w:ind w:left="0"/>
        <w:rPr>
          <w:rFonts w:ascii="Times New Roman" w:hAnsi="Times New Roman" w:cs="Times New Roman"/>
          <w:b/>
          <w:bCs/>
          <w:sz w:val="24"/>
          <w:szCs w:val="24"/>
        </w:rPr>
      </w:pPr>
    </w:p>
    <w:p w14:paraId="57CD0769" w14:textId="15A1AE11" w:rsidR="00A43ABD" w:rsidRPr="00221C89" w:rsidRDefault="00BE601B" w:rsidP="00BE601B">
      <w:pPr>
        <w:tabs>
          <w:tab w:val="left" w:pos="720"/>
        </w:tabs>
        <w:spacing w:after="0" w:line="240" w:lineRule="auto"/>
        <w:jc w:val="both"/>
        <w:rPr>
          <w:rFonts w:ascii="Times New Roman" w:hAnsi="Times New Roman" w:cs="Times New Roman"/>
          <w:sz w:val="24"/>
          <w:szCs w:val="24"/>
        </w:rPr>
      </w:pPr>
      <w:r w:rsidRPr="00221C89">
        <w:rPr>
          <w:rFonts w:ascii="Times New Roman" w:hAnsi="Times New Roman" w:cs="Times New Roman"/>
          <w:sz w:val="24"/>
          <w:szCs w:val="24"/>
        </w:rPr>
        <w:tab/>
      </w:r>
      <w:r w:rsidR="00A263C8" w:rsidRPr="00221C89">
        <w:rPr>
          <w:rFonts w:ascii="Times New Roman" w:hAnsi="Times New Roman" w:cs="Times New Roman"/>
          <w:sz w:val="24"/>
          <w:szCs w:val="24"/>
        </w:rPr>
        <w:t xml:space="preserve">For further commentary on the intricacies of the Dead Man’s Statute, </w:t>
      </w:r>
      <w:r w:rsidR="00A263C8" w:rsidRPr="00221C89">
        <w:rPr>
          <w:rFonts w:ascii="Times New Roman" w:hAnsi="Times New Roman" w:cs="Times New Roman"/>
          <w:iCs/>
          <w:sz w:val="24"/>
          <w:szCs w:val="24"/>
        </w:rPr>
        <w:t>see</w:t>
      </w:r>
      <w:r w:rsidR="00A263C8" w:rsidRPr="00221C89">
        <w:rPr>
          <w:rFonts w:ascii="Times New Roman" w:hAnsi="Times New Roman" w:cs="Times New Roman"/>
          <w:sz w:val="24"/>
          <w:szCs w:val="24"/>
        </w:rPr>
        <w:t xml:space="preserve"> Alexander, Practice Commentaries CPLR 4519 </w:t>
      </w:r>
      <w:r w:rsidR="00A93C98" w:rsidRPr="00221C89">
        <w:rPr>
          <w:rFonts w:ascii="Times New Roman" w:hAnsi="Times New Roman" w:cs="Times New Roman"/>
          <w:sz w:val="24"/>
          <w:szCs w:val="24"/>
        </w:rPr>
        <w:t xml:space="preserve">and </w:t>
      </w:r>
      <w:r w:rsidR="00A263C8" w:rsidRPr="00221C89">
        <w:rPr>
          <w:rFonts w:ascii="Times New Roman" w:hAnsi="Times New Roman" w:cs="Times New Roman"/>
          <w:sz w:val="24"/>
          <w:szCs w:val="24"/>
        </w:rPr>
        <w:t xml:space="preserve">Prince, Richardson on </w:t>
      </w:r>
      <w:r w:rsidR="00025DF7" w:rsidRPr="00221C89">
        <w:rPr>
          <w:rFonts w:ascii="Times New Roman" w:hAnsi="Times New Roman" w:cs="Times New Roman"/>
          <w:sz w:val="24"/>
          <w:szCs w:val="24"/>
        </w:rPr>
        <w:t>E</w:t>
      </w:r>
      <w:r w:rsidR="00A263C8" w:rsidRPr="00221C89">
        <w:rPr>
          <w:rFonts w:ascii="Times New Roman" w:hAnsi="Times New Roman" w:cs="Times New Roman"/>
          <w:sz w:val="24"/>
          <w:szCs w:val="24"/>
        </w:rPr>
        <w:t>vidence § 6-121</w:t>
      </w:r>
      <w:r w:rsidR="009F2A27" w:rsidRPr="00221C89">
        <w:rPr>
          <w:rFonts w:ascii="Times New Roman" w:hAnsi="Times New Roman" w:cs="Times New Roman"/>
          <w:sz w:val="24"/>
          <w:szCs w:val="24"/>
        </w:rPr>
        <w:t xml:space="preserve"> </w:t>
      </w:r>
      <w:r w:rsidR="00A263C8" w:rsidRPr="00221C89">
        <w:rPr>
          <w:rFonts w:ascii="Times New Roman" w:hAnsi="Times New Roman" w:cs="Times New Roman"/>
          <w:i/>
          <w:sz w:val="24"/>
          <w:szCs w:val="24"/>
        </w:rPr>
        <w:t>et seq.</w:t>
      </w:r>
      <w:r w:rsidR="00A263C8" w:rsidRPr="00221C89">
        <w:rPr>
          <w:rFonts w:ascii="Times New Roman" w:hAnsi="Times New Roman" w:cs="Times New Roman"/>
          <w:sz w:val="24"/>
          <w:szCs w:val="24"/>
        </w:rPr>
        <w:t xml:space="preserve">  (Farrell 11</w:t>
      </w:r>
      <w:r w:rsidR="009F2A27" w:rsidRPr="00221C89">
        <w:rPr>
          <w:rFonts w:ascii="Times New Roman" w:hAnsi="Times New Roman" w:cs="Times New Roman"/>
          <w:sz w:val="24"/>
          <w:szCs w:val="24"/>
        </w:rPr>
        <w:t>th</w:t>
      </w:r>
      <w:r w:rsidR="00A263C8" w:rsidRPr="00221C89">
        <w:rPr>
          <w:rFonts w:ascii="Times New Roman" w:hAnsi="Times New Roman" w:cs="Times New Roman"/>
          <w:sz w:val="24"/>
          <w:szCs w:val="24"/>
        </w:rPr>
        <w:t xml:space="preserve"> ed 1995). For a discussion of the Dead Man’s </w:t>
      </w:r>
      <w:r w:rsidR="009F2A27" w:rsidRPr="00221C89">
        <w:rPr>
          <w:rFonts w:ascii="Times New Roman" w:hAnsi="Times New Roman" w:cs="Times New Roman"/>
          <w:sz w:val="24"/>
          <w:szCs w:val="24"/>
        </w:rPr>
        <w:t>S</w:t>
      </w:r>
      <w:r w:rsidR="00A263C8" w:rsidRPr="00221C89">
        <w:rPr>
          <w:rFonts w:ascii="Times New Roman" w:hAnsi="Times New Roman" w:cs="Times New Roman"/>
          <w:sz w:val="24"/>
          <w:szCs w:val="24"/>
        </w:rPr>
        <w:t xml:space="preserve">tatute as it is specifically applied in Surrogate’s Court proceedings, </w:t>
      </w:r>
      <w:r w:rsidR="00A263C8" w:rsidRPr="00221C89">
        <w:rPr>
          <w:rFonts w:ascii="Times New Roman" w:hAnsi="Times New Roman" w:cs="Times New Roman"/>
          <w:iCs/>
          <w:sz w:val="24"/>
          <w:szCs w:val="24"/>
        </w:rPr>
        <w:t>see</w:t>
      </w:r>
      <w:r w:rsidR="00A263C8" w:rsidRPr="00221C89">
        <w:rPr>
          <w:rFonts w:ascii="Times New Roman" w:hAnsi="Times New Roman" w:cs="Times New Roman"/>
          <w:sz w:val="24"/>
          <w:szCs w:val="24"/>
        </w:rPr>
        <w:t xml:space="preserve"> </w:t>
      </w:r>
      <w:r w:rsidR="0013689A" w:rsidRPr="00221C89">
        <w:rPr>
          <w:rFonts w:ascii="Times New Roman" w:hAnsi="Times New Roman" w:cs="Times New Roman"/>
          <w:sz w:val="24"/>
          <w:szCs w:val="24"/>
        </w:rPr>
        <w:t xml:space="preserve">2 </w:t>
      </w:r>
      <w:r w:rsidR="00A263C8" w:rsidRPr="00221C89">
        <w:rPr>
          <w:rFonts w:ascii="Times New Roman" w:hAnsi="Times New Roman" w:cs="Times New Roman"/>
          <w:sz w:val="24"/>
          <w:szCs w:val="24"/>
        </w:rPr>
        <w:t xml:space="preserve">Harris, New York Estates: Probate Administration and </w:t>
      </w:r>
      <w:r w:rsidR="0013689A" w:rsidRPr="00221C89">
        <w:rPr>
          <w:rFonts w:ascii="Times New Roman" w:hAnsi="Times New Roman" w:cs="Times New Roman"/>
          <w:sz w:val="24"/>
          <w:szCs w:val="24"/>
        </w:rPr>
        <w:t>Litigation</w:t>
      </w:r>
      <w:r w:rsidR="00A263C8" w:rsidRPr="00221C89">
        <w:rPr>
          <w:rFonts w:ascii="Times New Roman" w:hAnsi="Times New Roman" w:cs="Times New Roman"/>
          <w:sz w:val="24"/>
          <w:szCs w:val="24"/>
        </w:rPr>
        <w:t xml:space="preserve"> (6</w:t>
      </w:r>
      <w:r w:rsidR="009F2A27" w:rsidRPr="00221C89">
        <w:rPr>
          <w:rFonts w:ascii="Times New Roman" w:hAnsi="Times New Roman" w:cs="Times New Roman"/>
          <w:sz w:val="24"/>
          <w:szCs w:val="24"/>
        </w:rPr>
        <w:t>th</w:t>
      </w:r>
      <w:r w:rsidR="00A263C8" w:rsidRPr="00221C89">
        <w:rPr>
          <w:rFonts w:ascii="Times New Roman" w:hAnsi="Times New Roman" w:cs="Times New Roman"/>
          <w:sz w:val="24"/>
          <w:szCs w:val="24"/>
        </w:rPr>
        <w:t xml:space="preserve"> ed Thomson-Reuters) and Warren’s Heaton</w:t>
      </w:r>
      <w:r w:rsidR="0013689A" w:rsidRPr="00221C89">
        <w:rPr>
          <w:rFonts w:ascii="Times New Roman" w:hAnsi="Times New Roman" w:cs="Times New Roman"/>
          <w:sz w:val="24"/>
          <w:szCs w:val="24"/>
        </w:rPr>
        <w:t xml:space="preserve">, </w:t>
      </w:r>
      <w:r w:rsidR="00A263C8" w:rsidRPr="00221C89">
        <w:rPr>
          <w:rFonts w:ascii="Times New Roman" w:hAnsi="Times New Roman" w:cs="Times New Roman"/>
          <w:sz w:val="24"/>
          <w:szCs w:val="24"/>
        </w:rPr>
        <w:t>Surrogate’s Court Practice (7</w:t>
      </w:r>
      <w:r w:rsidR="009F2A27" w:rsidRPr="00221C89">
        <w:rPr>
          <w:rFonts w:ascii="Times New Roman" w:hAnsi="Times New Roman" w:cs="Times New Roman"/>
          <w:sz w:val="24"/>
          <w:szCs w:val="24"/>
        </w:rPr>
        <w:t>th</w:t>
      </w:r>
      <w:r w:rsidR="00A263C8" w:rsidRPr="00221C89">
        <w:rPr>
          <w:rFonts w:ascii="Times New Roman" w:hAnsi="Times New Roman" w:cs="Times New Roman"/>
          <w:sz w:val="24"/>
          <w:szCs w:val="24"/>
        </w:rPr>
        <w:t xml:space="preserve"> ed LexisNex</w:t>
      </w:r>
      <w:r w:rsidR="0064392D" w:rsidRPr="00221C89">
        <w:rPr>
          <w:rFonts w:ascii="Times New Roman" w:hAnsi="Times New Roman" w:cs="Times New Roman"/>
          <w:sz w:val="24"/>
          <w:szCs w:val="24"/>
        </w:rPr>
        <w:t>i</w:t>
      </w:r>
      <w:r w:rsidR="00A263C8" w:rsidRPr="00221C89">
        <w:rPr>
          <w:rFonts w:ascii="Times New Roman" w:hAnsi="Times New Roman" w:cs="Times New Roman"/>
          <w:sz w:val="24"/>
          <w:szCs w:val="24"/>
        </w:rPr>
        <w:t>s).</w:t>
      </w:r>
    </w:p>
    <w:sectPr w:rsidR="00A43ABD" w:rsidRPr="00221C89" w:rsidSect="00CE66C6">
      <w:footerReference w:type="default" r:id="rId8"/>
      <w:pgSz w:w="12240" w:h="15840" w:code="1"/>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082D4" w14:textId="77777777" w:rsidR="00F1662F" w:rsidRDefault="00F1662F" w:rsidP="00490B43">
      <w:pPr>
        <w:spacing w:after="0" w:line="240" w:lineRule="auto"/>
      </w:pPr>
      <w:r>
        <w:separator/>
      </w:r>
    </w:p>
  </w:endnote>
  <w:endnote w:type="continuationSeparator" w:id="0">
    <w:p w14:paraId="2D30EB6A" w14:textId="77777777" w:rsidR="00F1662F" w:rsidRDefault="00F1662F" w:rsidP="00490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142677"/>
      <w:docPartObj>
        <w:docPartGallery w:val="Page Numbers (Bottom of Page)"/>
        <w:docPartUnique/>
      </w:docPartObj>
    </w:sdtPr>
    <w:sdtEndPr>
      <w:rPr>
        <w:noProof/>
      </w:rPr>
    </w:sdtEndPr>
    <w:sdtContent>
      <w:p w14:paraId="1C178645" w14:textId="44991BB6" w:rsidR="00CE66C6" w:rsidRDefault="00CE66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29EFD7" w14:textId="77777777" w:rsidR="00CE66C6" w:rsidRDefault="00CE6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55C5E" w14:textId="77777777" w:rsidR="00F1662F" w:rsidRDefault="00F1662F" w:rsidP="00490B43">
      <w:pPr>
        <w:spacing w:after="0" w:line="240" w:lineRule="auto"/>
      </w:pPr>
      <w:r>
        <w:separator/>
      </w:r>
    </w:p>
  </w:footnote>
  <w:footnote w:type="continuationSeparator" w:id="0">
    <w:p w14:paraId="7CDABE2A" w14:textId="77777777" w:rsidR="00F1662F" w:rsidRDefault="00F1662F" w:rsidP="00490B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061A3"/>
    <w:multiLevelType w:val="hybridMultilevel"/>
    <w:tmpl w:val="F6EEAC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006B4"/>
    <w:multiLevelType w:val="hybridMultilevel"/>
    <w:tmpl w:val="1076EBDC"/>
    <w:lvl w:ilvl="0" w:tplc="D11EE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4821A9"/>
    <w:multiLevelType w:val="hybridMultilevel"/>
    <w:tmpl w:val="F6EEAC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746E0F"/>
    <w:multiLevelType w:val="hybridMultilevel"/>
    <w:tmpl w:val="F6EEAC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9E328E"/>
    <w:multiLevelType w:val="hybridMultilevel"/>
    <w:tmpl w:val="8F2C25DE"/>
    <w:lvl w:ilvl="0" w:tplc="1F66D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640FD1"/>
    <w:multiLevelType w:val="hybridMultilevel"/>
    <w:tmpl w:val="4574D1D8"/>
    <w:lvl w:ilvl="0" w:tplc="6144C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870917"/>
    <w:multiLevelType w:val="hybridMultilevel"/>
    <w:tmpl w:val="F256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DD261B"/>
    <w:multiLevelType w:val="hybridMultilevel"/>
    <w:tmpl w:val="1E68E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FE7C7A"/>
    <w:multiLevelType w:val="hybridMultilevel"/>
    <w:tmpl w:val="7240A17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
  </w:num>
  <w:num w:numId="5">
    <w:abstractNumId w:val="3"/>
  </w:num>
  <w:num w:numId="6">
    <w:abstractNumId w:val="2"/>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649"/>
    <w:rsid w:val="0000082C"/>
    <w:rsid w:val="000013BA"/>
    <w:rsid w:val="00001420"/>
    <w:rsid w:val="00004E5E"/>
    <w:rsid w:val="00006895"/>
    <w:rsid w:val="00006E52"/>
    <w:rsid w:val="00011640"/>
    <w:rsid w:val="00011895"/>
    <w:rsid w:val="00012287"/>
    <w:rsid w:val="00012D98"/>
    <w:rsid w:val="00014031"/>
    <w:rsid w:val="00014BC0"/>
    <w:rsid w:val="00016FB4"/>
    <w:rsid w:val="000170DC"/>
    <w:rsid w:val="00017BDD"/>
    <w:rsid w:val="00021564"/>
    <w:rsid w:val="00023809"/>
    <w:rsid w:val="00025DF7"/>
    <w:rsid w:val="00026155"/>
    <w:rsid w:val="00026D06"/>
    <w:rsid w:val="000302F1"/>
    <w:rsid w:val="00030527"/>
    <w:rsid w:val="000319FC"/>
    <w:rsid w:val="000323C8"/>
    <w:rsid w:val="000343D4"/>
    <w:rsid w:val="00034658"/>
    <w:rsid w:val="000379D2"/>
    <w:rsid w:val="00041724"/>
    <w:rsid w:val="00043221"/>
    <w:rsid w:val="00043FF7"/>
    <w:rsid w:val="000472EC"/>
    <w:rsid w:val="00055987"/>
    <w:rsid w:val="00057174"/>
    <w:rsid w:val="0006176B"/>
    <w:rsid w:val="00062572"/>
    <w:rsid w:val="00062EA2"/>
    <w:rsid w:val="00063523"/>
    <w:rsid w:val="0006732E"/>
    <w:rsid w:val="00067D12"/>
    <w:rsid w:val="0007162B"/>
    <w:rsid w:val="00072B4F"/>
    <w:rsid w:val="00072ECA"/>
    <w:rsid w:val="00072F70"/>
    <w:rsid w:val="0007361F"/>
    <w:rsid w:val="00074184"/>
    <w:rsid w:val="000765CF"/>
    <w:rsid w:val="0007670B"/>
    <w:rsid w:val="000775B8"/>
    <w:rsid w:val="00077E48"/>
    <w:rsid w:val="00080B1F"/>
    <w:rsid w:val="000821A9"/>
    <w:rsid w:val="00086496"/>
    <w:rsid w:val="00087B65"/>
    <w:rsid w:val="00093CCB"/>
    <w:rsid w:val="00093F52"/>
    <w:rsid w:val="00097404"/>
    <w:rsid w:val="000A0850"/>
    <w:rsid w:val="000A25A7"/>
    <w:rsid w:val="000A267E"/>
    <w:rsid w:val="000A3D83"/>
    <w:rsid w:val="000A4AFD"/>
    <w:rsid w:val="000A57D1"/>
    <w:rsid w:val="000A6D57"/>
    <w:rsid w:val="000B1D7D"/>
    <w:rsid w:val="000B72FC"/>
    <w:rsid w:val="000B790D"/>
    <w:rsid w:val="000B7A02"/>
    <w:rsid w:val="000B7AEE"/>
    <w:rsid w:val="000C05B0"/>
    <w:rsid w:val="000C0775"/>
    <w:rsid w:val="000C1186"/>
    <w:rsid w:val="000C1470"/>
    <w:rsid w:val="000C2105"/>
    <w:rsid w:val="000C7223"/>
    <w:rsid w:val="000D03F4"/>
    <w:rsid w:val="000D6181"/>
    <w:rsid w:val="000D61B3"/>
    <w:rsid w:val="000D66A9"/>
    <w:rsid w:val="000D74C3"/>
    <w:rsid w:val="000E0995"/>
    <w:rsid w:val="000E0EF3"/>
    <w:rsid w:val="000E15D5"/>
    <w:rsid w:val="000E195E"/>
    <w:rsid w:val="000E3699"/>
    <w:rsid w:val="000E3721"/>
    <w:rsid w:val="000E3CF8"/>
    <w:rsid w:val="000E4EE1"/>
    <w:rsid w:val="000E5289"/>
    <w:rsid w:val="000E63E4"/>
    <w:rsid w:val="000E64F1"/>
    <w:rsid w:val="000E6E95"/>
    <w:rsid w:val="000E6F11"/>
    <w:rsid w:val="000E72DF"/>
    <w:rsid w:val="000F008D"/>
    <w:rsid w:val="000F1D88"/>
    <w:rsid w:val="000F2632"/>
    <w:rsid w:val="000F3400"/>
    <w:rsid w:val="000F509A"/>
    <w:rsid w:val="000F5F42"/>
    <w:rsid w:val="000F6F90"/>
    <w:rsid w:val="000F7BA4"/>
    <w:rsid w:val="001003E3"/>
    <w:rsid w:val="001003EE"/>
    <w:rsid w:val="0010051E"/>
    <w:rsid w:val="0010054E"/>
    <w:rsid w:val="00101E37"/>
    <w:rsid w:val="00102767"/>
    <w:rsid w:val="00105086"/>
    <w:rsid w:val="0010586F"/>
    <w:rsid w:val="00106BA6"/>
    <w:rsid w:val="00106FE4"/>
    <w:rsid w:val="00111233"/>
    <w:rsid w:val="001118A9"/>
    <w:rsid w:val="00111B91"/>
    <w:rsid w:val="00113183"/>
    <w:rsid w:val="001162F1"/>
    <w:rsid w:val="00116BA4"/>
    <w:rsid w:val="001176A2"/>
    <w:rsid w:val="00117ED8"/>
    <w:rsid w:val="00124F41"/>
    <w:rsid w:val="00125516"/>
    <w:rsid w:val="00127C06"/>
    <w:rsid w:val="00127E0E"/>
    <w:rsid w:val="00130BC4"/>
    <w:rsid w:val="001312AA"/>
    <w:rsid w:val="001312C3"/>
    <w:rsid w:val="0013285B"/>
    <w:rsid w:val="001337F0"/>
    <w:rsid w:val="00133934"/>
    <w:rsid w:val="00133E22"/>
    <w:rsid w:val="00133EE9"/>
    <w:rsid w:val="00133EEE"/>
    <w:rsid w:val="0013689A"/>
    <w:rsid w:val="001402DD"/>
    <w:rsid w:val="001406E3"/>
    <w:rsid w:val="00140CC3"/>
    <w:rsid w:val="001412FE"/>
    <w:rsid w:val="0014166B"/>
    <w:rsid w:val="00141911"/>
    <w:rsid w:val="0014199A"/>
    <w:rsid w:val="00142038"/>
    <w:rsid w:val="00142C5D"/>
    <w:rsid w:val="00143020"/>
    <w:rsid w:val="0014396E"/>
    <w:rsid w:val="00143C7D"/>
    <w:rsid w:val="001446A8"/>
    <w:rsid w:val="001454AE"/>
    <w:rsid w:val="00145BDC"/>
    <w:rsid w:val="0014677D"/>
    <w:rsid w:val="001468E8"/>
    <w:rsid w:val="00147CAC"/>
    <w:rsid w:val="00151522"/>
    <w:rsid w:val="001521DB"/>
    <w:rsid w:val="001537F4"/>
    <w:rsid w:val="001538B8"/>
    <w:rsid w:val="00153B80"/>
    <w:rsid w:val="0015649F"/>
    <w:rsid w:val="00157C3C"/>
    <w:rsid w:val="00161B4F"/>
    <w:rsid w:val="00161B82"/>
    <w:rsid w:val="00161F07"/>
    <w:rsid w:val="00163620"/>
    <w:rsid w:val="00164643"/>
    <w:rsid w:val="00164ACB"/>
    <w:rsid w:val="001663A7"/>
    <w:rsid w:val="00174BF6"/>
    <w:rsid w:val="00175DD7"/>
    <w:rsid w:val="00176C86"/>
    <w:rsid w:val="001775D5"/>
    <w:rsid w:val="00182F9B"/>
    <w:rsid w:val="00185280"/>
    <w:rsid w:val="0018573B"/>
    <w:rsid w:val="00185F57"/>
    <w:rsid w:val="00186DB3"/>
    <w:rsid w:val="00187597"/>
    <w:rsid w:val="00187F1B"/>
    <w:rsid w:val="0019132C"/>
    <w:rsid w:val="00191F46"/>
    <w:rsid w:val="00192728"/>
    <w:rsid w:val="00192FEE"/>
    <w:rsid w:val="00193EBB"/>
    <w:rsid w:val="001948C1"/>
    <w:rsid w:val="00195098"/>
    <w:rsid w:val="001A2B5C"/>
    <w:rsid w:val="001B0B04"/>
    <w:rsid w:val="001B0E29"/>
    <w:rsid w:val="001B1239"/>
    <w:rsid w:val="001B38FF"/>
    <w:rsid w:val="001B4B1B"/>
    <w:rsid w:val="001B6A78"/>
    <w:rsid w:val="001B7211"/>
    <w:rsid w:val="001B74AA"/>
    <w:rsid w:val="001B7B7D"/>
    <w:rsid w:val="001C0C94"/>
    <w:rsid w:val="001C19B3"/>
    <w:rsid w:val="001C1AD8"/>
    <w:rsid w:val="001C1F48"/>
    <w:rsid w:val="001C3A80"/>
    <w:rsid w:val="001C4890"/>
    <w:rsid w:val="001C5DF3"/>
    <w:rsid w:val="001C6C5F"/>
    <w:rsid w:val="001D103F"/>
    <w:rsid w:val="001D4630"/>
    <w:rsid w:val="001D4734"/>
    <w:rsid w:val="001E2745"/>
    <w:rsid w:val="001E2B9D"/>
    <w:rsid w:val="001E5D47"/>
    <w:rsid w:val="001E68FD"/>
    <w:rsid w:val="001E6FFB"/>
    <w:rsid w:val="001E7816"/>
    <w:rsid w:val="001F0AA1"/>
    <w:rsid w:val="001F1235"/>
    <w:rsid w:val="001F2238"/>
    <w:rsid w:val="001F3532"/>
    <w:rsid w:val="001F37C0"/>
    <w:rsid w:val="001F3B95"/>
    <w:rsid w:val="001F4E83"/>
    <w:rsid w:val="001F604F"/>
    <w:rsid w:val="002011F2"/>
    <w:rsid w:val="00203941"/>
    <w:rsid w:val="00205DBD"/>
    <w:rsid w:val="00210FFA"/>
    <w:rsid w:val="002132A7"/>
    <w:rsid w:val="00214056"/>
    <w:rsid w:val="002176D2"/>
    <w:rsid w:val="00220F49"/>
    <w:rsid w:val="00221C89"/>
    <w:rsid w:val="00223609"/>
    <w:rsid w:val="002255EC"/>
    <w:rsid w:val="00226E81"/>
    <w:rsid w:val="002273BE"/>
    <w:rsid w:val="00227915"/>
    <w:rsid w:val="00227FE9"/>
    <w:rsid w:val="00230512"/>
    <w:rsid w:val="00230605"/>
    <w:rsid w:val="00231BDD"/>
    <w:rsid w:val="002326F2"/>
    <w:rsid w:val="00233AF3"/>
    <w:rsid w:val="0023529F"/>
    <w:rsid w:val="00237AB9"/>
    <w:rsid w:val="00237F2C"/>
    <w:rsid w:val="002403F6"/>
    <w:rsid w:val="00241DF7"/>
    <w:rsid w:val="00241EA8"/>
    <w:rsid w:val="002421AE"/>
    <w:rsid w:val="00242D05"/>
    <w:rsid w:val="0024426E"/>
    <w:rsid w:val="002453AC"/>
    <w:rsid w:val="0025097E"/>
    <w:rsid w:val="00251F27"/>
    <w:rsid w:val="00252877"/>
    <w:rsid w:val="00255C4B"/>
    <w:rsid w:val="00257A3F"/>
    <w:rsid w:val="00260E98"/>
    <w:rsid w:val="00261F3F"/>
    <w:rsid w:val="00262E7A"/>
    <w:rsid w:val="00265DF1"/>
    <w:rsid w:val="002662ED"/>
    <w:rsid w:val="002669DA"/>
    <w:rsid w:val="00266BEB"/>
    <w:rsid w:val="002672B9"/>
    <w:rsid w:val="002725F9"/>
    <w:rsid w:val="00272A55"/>
    <w:rsid w:val="00272D9D"/>
    <w:rsid w:val="00272F5D"/>
    <w:rsid w:val="0027321B"/>
    <w:rsid w:val="0027447D"/>
    <w:rsid w:val="00280722"/>
    <w:rsid w:val="00281263"/>
    <w:rsid w:val="00284409"/>
    <w:rsid w:val="00285130"/>
    <w:rsid w:val="002856D0"/>
    <w:rsid w:val="00287FA5"/>
    <w:rsid w:val="00290013"/>
    <w:rsid w:val="00292BD4"/>
    <w:rsid w:val="00293395"/>
    <w:rsid w:val="00295759"/>
    <w:rsid w:val="0029598E"/>
    <w:rsid w:val="00296F3C"/>
    <w:rsid w:val="002970FF"/>
    <w:rsid w:val="00297611"/>
    <w:rsid w:val="002A249C"/>
    <w:rsid w:val="002A39CF"/>
    <w:rsid w:val="002A6312"/>
    <w:rsid w:val="002B01D2"/>
    <w:rsid w:val="002B1D21"/>
    <w:rsid w:val="002B1DC7"/>
    <w:rsid w:val="002B45A1"/>
    <w:rsid w:val="002B5122"/>
    <w:rsid w:val="002B5532"/>
    <w:rsid w:val="002B7A0D"/>
    <w:rsid w:val="002C0306"/>
    <w:rsid w:val="002C0BCF"/>
    <w:rsid w:val="002C17D9"/>
    <w:rsid w:val="002C42C8"/>
    <w:rsid w:val="002C50CC"/>
    <w:rsid w:val="002C54C0"/>
    <w:rsid w:val="002C5551"/>
    <w:rsid w:val="002C5A6F"/>
    <w:rsid w:val="002D09F5"/>
    <w:rsid w:val="002D1FE0"/>
    <w:rsid w:val="002D3095"/>
    <w:rsid w:val="002D320C"/>
    <w:rsid w:val="002D4A46"/>
    <w:rsid w:val="002D765D"/>
    <w:rsid w:val="002E23F7"/>
    <w:rsid w:val="002E29BB"/>
    <w:rsid w:val="002E5D07"/>
    <w:rsid w:val="002F513D"/>
    <w:rsid w:val="002F54AB"/>
    <w:rsid w:val="002F694B"/>
    <w:rsid w:val="003026BE"/>
    <w:rsid w:val="003043E6"/>
    <w:rsid w:val="0030498D"/>
    <w:rsid w:val="00304BEB"/>
    <w:rsid w:val="00311962"/>
    <w:rsid w:val="0031346C"/>
    <w:rsid w:val="00313558"/>
    <w:rsid w:val="00313A87"/>
    <w:rsid w:val="00314475"/>
    <w:rsid w:val="003146F9"/>
    <w:rsid w:val="00314941"/>
    <w:rsid w:val="00314B02"/>
    <w:rsid w:val="00315161"/>
    <w:rsid w:val="00316D6D"/>
    <w:rsid w:val="003202E1"/>
    <w:rsid w:val="00322468"/>
    <w:rsid w:val="00324302"/>
    <w:rsid w:val="0032657D"/>
    <w:rsid w:val="00326D5E"/>
    <w:rsid w:val="0033037A"/>
    <w:rsid w:val="00330E57"/>
    <w:rsid w:val="0033104C"/>
    <w:rsid w:val="00333292"/>
    <w:rsid w:val="00333922"/>
    <w:rsid w:val="003376F8"/>
    <w:rsid w:val="003419F7"/>
    <w:rsid w:val="00343811"/>
    <w:rsid w:val="00344A8C"/>
    <w:rsid w:val="00347739"/>
    <w:rsid w:val="00347D38"/>
    <w:rsid w:val="003511BC"/>
    <w:rsid w:val="00352E08"/>
    <w:rsid w:val="003542DF"/>
    <w:rsid w:val="00356990"/>
    <w:rsid w:val="00360C96"/>
    <w:rsid w:val="003634BF"/>
    <w:rsid w:val="0036389A"/>
    <w:rsid w:val="00364292"/>
    <w:rsid w:val="003654FF"/>
    <w:rsid w:val="00365AA8"/>
    <w:rsid w:val="00370AB2"/>
    <w:rsid w:val="00370C17"/>
    <w:rsid w:val="003714E3"/>
    <w:rsid w:val="003716F9"/>
    <w:rsid w:val="00372A4C"/>
    <w:rsid w:val="00373B05"/>
    <w:rsid w:val="003743FC"/>
    <w:rsid w:val="0037462B"/>
    <w:rsid w:val="00374A3D"/>
    <w:rsid w:val="00374AC8"/>
    <w:rsid w:val="0037652E"/>
    <w:rsid w:val="00376B04"/>
    <w:rsid w:val="00376E32"/>
    <w:rsid w:val="0038090D"/>
    <w:rsid w:val="00381996"/>
    <w:rsid w:val="00382528"/>
    <w:rsid w:val="0038261E"/>
    <w:rsid w:val="00384B87"/>
    <w:rsid w:val="00384D53"/>
    <w:rsid w:val="00384DA0"/>
    <w:rsid w:val="00385F24"/>
    <w:rsid w:val="003902EC"/>
    <w:rsid w:val="00390B82"/>
    <w:rsid w:val="003915F0"/>
    <w:rsid w:val="00391B07"/>
    <w:rsid w:val="003921FE"/>
    <w:rsid w:val="00395E2B"/>
    <w:rsid w:val="00395FDD"/>
    <w:rsid w:val="003979C1"/>
    <w:rsid w:val="003A0A15"/>
    <w:rsid w:val="003A634C"/>
    <w:rsid w:val="003B2C2A"/>
    <w:rsid w:val="003B3499"/>
    <w:rsid w:val="003C3AD4"/>
    <w:rsid w:val="003C4CC3"/>
    <w:rsid w:val="003C5941"/>
    <w:rsid w:val="003D148D"/>
    <w:rsid w:val="003D152B"/>
    <w:rsid w:val="003D24A2"/>
    <w:rsid w:val="003D2767"/>
    <w:rsid w:val="003D34CC"/>
    <w:rsid w:val="003D5B85"/>
    <w:rsid w:val="003D6191"/>
    <w:rsid w:val="003D64D1"/>
    <w:rsid w:val="003E2CDF"/>
    <w:rsid w:val="003E53DC"/>
    <w:rsid w:val="003E74AA"/>
    <w:rsid w:val="003E785A"/>
    <w:rsid w:val="003F00C2"/>
    <w:rsid w:val="003F06E9"/>
    <w:rsid w:val="003F0F0C"/>
    <w:rsid w:val="003F6417"/>
    <w:rsid w:val="003F79BF"/>
    <w:rsid w:val="003F7C18"/>
    <w:rsid w:val="00404882"/>
    <w:rsid w:val="0040737A"/>
    <w:rsid w:val="00407CFF"/>
    <w:rsid w:val="0041246D"/>
    <w:rsid w:val="00412930"/>
    <w:rsid w:val="0041376E"/>
    <w:rsid w:val="004142CC"/>
    <w:rsid w:val="00415B06"/>
    <w:rsid w:val="004209FB"/>
    <w:rsid w:val="00421114"/>
    <w:rsid w:val="004222DB"/>
    <w:rsid w:val="00422658"/>
    <w:rsid w:val="004243AA"/>
    <w:rsid w:val="00425134"/>
    <w:rsid w:val="00426A25"/>
    <w:rsid w:val="00426A36"/>
    <w:rsid w:val="00427911"/>
    <w:rsid w:val="00427D3C"/>
    <w:rsid w:val="004307C1"/>
    <w:rsid w:val="00431473"/>
    <w:rsid w:val="00432A5E"/>
    <w:rsid w:val="00433FBD"/>
    <w:rsid w:val="00434188"/>
    <w:rsid w:val="0043442E"/>
    <w:rsid w:val="004361FF"/>
    <w:rsid w:val="00436952"/>
    <w:rsid w:val="00440AF9"/>
    <w:rsid w:val="00442020"/>
    <w:rsid w:val="00444CE7"/>
    <w:rsid w:val="00445C06"/>
    <w:rsid w:val="00451279"/>
    <w:rsid w:val="00452DE5"/>
    <w:rsid w:val="004548D4"/>
    <w:rsid w:val="00457AE5"/>
    <w:rsid w:val="0046282A"/>
    <w:rsid w:val="00462A38"/>
    <w:rsid w:val="00465A2F"/>
    <w:rsid w:val="00470A9F"/>
    <w:rsid w:val="00474715"/>
    <w:rsid w:val="00474865"/>
    <w:rsid w:val="00474C13"/>
    <w:rsid w:val="00474F9A"/>
    <w:rsid w:val="0047667B"/>
    <w:rsid w:val="00477A99"/>
    <w:rsid w:val="0048029B"/>
    <w:rsid w:val="00482F7A"/>
    <w:rsid w:val="00483C64"/>
    <w:rsid w:val="0048561D"/>
    <w:rsid w:val="00486ACE"/>
    <w:rsid w:val="00490B43"/>
    <w:rsid w:val="004911F1"/>
    <w:rsid w:val="00492B50"/>
    <w:rsid w:val="00494C94"/>
    <w:rsid w:val="004961B5"/>
    <w:rsid w:val="0049718E"/>
    <w:rsid w:val="004973EB"/>
    <w:rsid w:val="004A0C4B"/>
    <w:rsid w:val="004A0C93"/>
    <w:rsid w:val="004A0D46"/>
    <w:rsid w:val="004A26EC"/>
    <w:rsid w:val="004A66C4"/>
    <w:rsid w:val="004B09DC"/>
    <w:rsid w:val="004B0DDA"/>
    <w:rsid w:val="004B0DDC"/>
    <w:rsid w:val="004B0F10"/>
    <w:rsid w:val="004B3F6A"/>
    <w:rsid w:val="004B7007"/>
    <w:rsid w:val="004B74CC"/>
    <w:rsid w:val="004C01E8"/>
    <w:rsid w:val="004C0337"/>
    <w:rsid w:val="004C064D"/>
    <w:rsid w:val="004C2BFC"/>
    <w:rsid w:val="004C3128"/>
    <w:rsid w:val="004C3DC6"/>
    <w:rsid w:val="004C4767"/>
    <w:rsid w:val="004D22D6"/>
    <w:rsid w:val="004D3F49"/>
    <w:rsid w:val="004D4BC8"/>
    <w:rsid w:val="004D4F0A"/>
    <w:rsid w:val="004D697A"/>
    <w:rsid w:val="004D6F5F"/>
    <w:rsid w:val="004E0D0B"/>
    <w:rsid w:val="004E14B7"/>
    <w:rsid w:val="004E2C09"/>
    <w:rsid w:val="004E3441"/>
    <w:rsid w:val="004E45E2"/>
    <w:rsid w:val="004E4644"/>
    <w:rsid w:val="004E497B"/>
    <w:rsid w:val="004E4CA6"/>
    <w:rsid w:val="004E7078"/>
    <w:rsid w:val="004E7E14"/>
    <w:rsid w:val="004F0588"/>
    <w:rsid w:val="004F1B7B"/>
    <w:rsid w:val="004F2B47"/>
    <w:rsid w:val="004F6050"/>
    <w:rsid w:val="004F64E7"/>
    <w:rsid w:val="004F6CC6"/>
    <w:rsid w:val="005012C8"/>
    <w:rsid w:val="005025E0"/>
    <w:rsid w:val="005027D7"/>
    <w:rsid w:val="00505A87"/>
    <w:rsid w:val="00506339"/>
    <w:rsid w:val="00506403"/>
    <w:rsid w:val="00507021"/>
    <w:rsid w:val="0051083D"/>
    <w:rsid w:val="00512176"/>
    <w:rsid w:val="005134B6"/>
    <w:rsid w:val="00513D6B"/>
    <w:rsid w:val="00514626"/>
    <w:rsid w:val="00515024"/>
    <w:rsid w:val="00516E3E"/>
    <w:rsid w:val="00517BC7"/>
    <w:rsid w:val="0052326D"/>
    <w:rsid w:val="00530479"/>
    <w:rsid w:val="005315F8"/>
    <w:rsid w:val="0053227A"/>
    <w:rsid w:val="00532719"/>
    <w:rsid w:val="00532F2B"/>
    <w:rsid w:val="00533CB8"/>
    <w:rsid w:val="005353EE"/>
    <w:rsid w:val="00535685"/>
    <w:rsid w:val="005428AB"/>
    <w:rsid w:val="00543921"/>
    <w:rsid w:val="00547976"/>
    <w:rsid w:val="00550CCC"/>
    <w:rsid w:val="005518EF"/>
    <w:rsid w:val="00552878"/>
    <w:rsid w:val="005534DB"/>
    <w:rsid w:val="00554C63"/>
    <w:rsid w:val="005569B7"/>
    <w:rsid w:val="00556AE6"/>
    <w:rsid w:val="005573C0"/>
    <w:rsid w:val="00563AA6"/>
    <w:rsid w:val="005642B6"/>
    <w:rsid w:val="00564CC7"/>
    <w:rsid w:val="00565309"/>
    <w:rsid w:val="00567025"/>
    <w:rsid w:val="005712D9"/>
    <w:rsid w:val="0057134F"/>
    <w:rsid w:val="00572381"/>
    <w:rsid w:val="00573B57"/>
    <w:rsid w:val="00574466"/>
    <w:rsid w:val="0058142B"/>
    <w:rsid w:val="0058201B"/>
    <w:rsid w:val="0058327D"/>
    <w:rsid w:val="0058739E"/>
    <w:rsid w:val="00587AF0"/>
    <w:rsid w:val="00593A79"/>
    <w:rsid w:val="0059497B"/>
    <w:rsid w:val="00594A45"/>
    <w:rsid w:val="0059545D"/>
    <w:rsid w:val="005962C3"/>
    <w:rsid w:val="005A6023"/>
    <w:rsid w:val="005B10D6"/>
    <w:rsid w:val="005B1F00"/>
    <w:rsid w:val="005B557C"/>
    <w:rsid w:val="005B6B5C"/>
    <w:rsid w:val="005B730C"/>
    <w:rsid w:val="005C0E9A"/>
    <w:rsid w:val="005C291E"/>
    <w:rsid w:val="005C3062"/>
    <w:rsid w:val="005C3D44"/>
    <w:rsid w:val="005C50AA"/>
    <w:rsid w:val="005C5AD5"/>
    <w:rsid w:val="005C7742"/>
    <w:rsid w:val="005D04C6"/>
    <w:rsid w:val="005D4A42"/>
    <w:rsid w:val="005D5123"/>
    <w:rsid w:val="005D5AC1"/>
    <w:rsid w:val="005E05BF"/>
    <w:rsid w:val="005E0B5E"/>
    <w:rsid w:val="005E2A44"/>
    <w:rsid w:val="005E2E7D"/>
    <w:rsid w:val="005E3442"/>
    <w:rsid w:val="005E6C43"/>
    <w:rsid w:val="005F15E0"/>
    <w:rsid w:val="005F3C96"/>
    <w:rsid w:val="005F3E06"/>
    <w:rsid w:val="00601659"/>
    <w:rsid w:val="0060183D"/>
    <w:rsid w:val="00601970"/>
    <w:rsid w:val="00605991"/>
    <w:rsid w:val="00605E22"/>
    <w:rsid w:val="00606A75"/>
    <w:rsid w:val="00607BA1"/>
    <w:rsid w:val="00610158"/>
    <w:rsid w:val="006121AA"/>
    <w:rsid w:val="00612E67"/>
    <w:rsid w:val="006130CE"/>
    <w:rsid w:val="00614A8B"/>
    <w:rsid w:val="00615734"/>
    <w:rsid w:val="00615A72"/>
    <w:rsid w:val="00615EB5"/>
    <w:rsid w:val="00616856"/>
    <w:rsid w:val="0061733B"/>
    <w:rsid w:val="0061743A"/>
    <w:rsid w:val="00620EC1"/>
    <w:rsid w:val="006215F5"/>
    <w:rsid w:val="00621F62"/>
    <w:rsid w:val="00623921"/>
    <w:rsid w:val="00624127"/>
    <w:rsid w:val="006250DB"/>
    <w:rsid w:val="00627335"/>
    <w:rsid w:val="00630E53"/>
    <w:rsid w:val="00632562"/>
    <w:rsid w:val="0063439E"/>
    <w:rsid w:val="00634886"/>
    <w:rsid w:val="00634DA0"/>
    <w:rsid w:val="00635EE8"/>
    <w:rsid w:val="00636970"/>
    <w:rsid w:val="00636B8A"/>
    <w:rsid w:val="006379BB"/>
    <w:rsid w:val="00637A26"/>
    <w:rsid w:val="006401FE"/>
    <w:rsid w:val="00640A46"/>
    <w:rsid w:val="00641454"/>
    <w:rsid w:val="00642E8D"/>
    <w:rsid w:val="0064392D"/>
    <w:rsid w:val="006445C3"/>
    <w:rsid w:val="00644642"/>
    <w:rsid w:val="00644AD4"/>
    <w:rsid w:val="00644CA1"/>
    <w:rsid w:val="00644E4F"/>
    <w:rsid w:val="006450BE"/>
    <w:rsid w:val="00645359"/>
    <w:rsid w:val="00646770"/>
    <w:rsid w:val="00652A46"/>
    <w:rsid w:val="006535A9"/>
    <w:rsid w:val="00654A2D"/>
    <w:rsid w:val="00654D9E"/>
    <w:rsid w:val="006552EA"/>
    <w:rsid w:val="00655DD0"/>
    <w:rsid w:val="00662150"/>
    <w:rsid w:val="00662E35"/>
    <w:rsid w:val="00662EAA"/>
    <w:rsid w:val="006636E7"/>
    <w:rsid w:val="006661FC"/>
    <w:rsid w:val="00666601"/>
    <w:rsid w:val="00670B1F"/>
    <w:rsid w:val="0067145F"/>
    <w:rsid w:val="006716CD"/>
    <w:rsid w:val="006722D0"/>
    <w:rsid w:val="00674294"/>
    <w:rsid w:val="00675A30"/>
    <w:rsid w:val="00675F5C"/>
    <w:rsid w:val="00676080"/>
    <w:rsid w:val="006801AE"/>
    <w:rsid w:val="00680D6D"/>
    <w:rsid w:val="00681B5E"/>
    <w:rsid w:val="00682132"/>
    <w:rsid w:val="00683B35"/>
    <w:rsid w:val="0068423E"/>
    <w:rsid w:val="006848DB"/>
    <w:rsid w:val="006853ED"/>
    <w:rsid w:val="00686C83"/>
    <w:rsid w:val="0068786F"/>
    <w:rsid w:val="00690001"/>
    <w:rsid w:val="006908A4"/>
    <w:rsid w:val="0069246A"/>
    <w:rsid w:val="00693255"/>
    <w:rsid w:val="006932F0"/>
    <w:rsid w:val="00694116"/>
    <w:rsid w:val="00695F9D"/>
    <w:rsid w:val="006973C0"/>
    <w:rsid w:val="006A035C"/>
    <w:rsid w:val="006A08A3"/>
    <w:rsid w:val="006A0E93"/>
    <w:rsid w:val="006A1827"/>
    <w:rsid w:val="006A4B91"/>
    <w:rsid w:val="006B104E"/>
    <w:rsid w:val="006B14EB"/>
    <w:rsid w:val="006B2603"/>
    <w:rsid w:val="006B2B82"/>
    <w:rsid w:val="006B3352"/>
    <w:rsid w:val="006B4A0B"/>
    <w:rsid w:val="006C0E0B"/>
    <w:rsid w:val="006C1FD9"/>
    <w:rsid w:val="006C292F"/>
    <w:rsid w:val="006C2C4B"/>
    <w:rsid w:val="006C5CA7"/>
    <w:rsid w:val="006C7329"/>
    <w:rsid w:val="006D118D"/>
    <w:rsid w:val="006D4E29"/>
    <w:rsid w:val="006D7F7D"/>
    <w:rsid w:val="006E0537"/>
    <w:rsid w:val="006E30F6"/>
    <w:rsid w:val="006E4D2B"/>
    <w:rsid w:val="006E5480"/>
    <w:rsid w:val="006E7AF9"/>
    <w:rsid w:val="006E7CD2"/>
    <w:rsid w:val="006F1870"/>
    <w:rsid w:val="006F2469"/>
    <w:rsid w:val="006F2721"/>
    <w:rsid w:val="006F2A8B"/>
    <w:rsid w:val="006F3976"/>
    <w:rsid w:val="006F43A2"/>
    <w:rsid w:val="006F48B9"/>
    <w:rsid w:val="006F5492"/>
    <w:rsid w:val="006F65A3"/>
    <w:rsid w:val="006F67A5"/>
    <w:rsid w:val="006F6BFF"/>
    <w:rsid w:val="007009F9"/>
    <w:rsid w:val="00700D59"/>
    <w:rsid w:val="00701151"/>
    <w:rsid w:val="007014AE"/>
    <w:rsid w:val="0070306A"/>
    <w:rsid w:val="00703804"/>
    <w:rsid w:val="007060C9"/>
    <w:rsid w:val="00706715"/>
    <w:rsid w:val="00707DEE"/>
    <w:rsid w:val="00710328"/>
    <w:rsid w:val="00711279"/>
    <w:rsid w:val="00711DFE"/>
    <w:rsid w:val="0071489C"/>
    <w:rsid w:val="00714AB1"/>
    <w:rsid w:val="0071675F"/>
    <w:rsid w:val="00717ACC"/>
    <w:rsid w:val="007204C8"/>
    <w:rsid w:val="00722461"/>
    <w:rsid w:val="00724991"/>
    <w:rsid w:val="007257F2"/>
    <w:rsid w:val="00725C4F"/>
    <w:rsid w:val="00725C5C"/>
    <w:rsid w:val="00727A90"/>
    <w:rsid w:val="00730B30"/>
    <w:rsid w:val="007319F5"/>
    <w:rsid w:val="0073278C"/>
    <w:rsid w:val="00733922"/>
    <w:rsid w:val="00734DF2"/>
    <w:rsid w:val="00736FD9"/>
    <w:rsid w:val="00740D9D"/>
    <w:rsid w:val="00741EB2"/>
    <w:rsid w:val="00743164"/>
    <w:rsid w:val="00745844"/>
    <w:rsid w:val="00745BB6"/>
    <w:rsid w:val="00746938"/>
    <w:rsid w:val="00746975"/>
    <w:rsid w:val="00746DA1"/>
    <w:rsid w:val="007501A0"/>
    <w:rsid w:val="007531F6"/>
    <w:rsid w:val="00754698"/>
    <w:rsid w:val="00754A35"/>
    <w:rsid w:val="00754C8F"/>
    <w:rsid w:val="00755932"/>
    <w:rsid w:val="00761ED4"/>
    <w:rsid w:val="00765AA1"/>
    <w:rsid w:val="007662CA"/>
    <w:rsid w:val="00766B55"/>
    <w:rsid w:val="0077069A"/>
    <w:rsid w:val="007708DC"/>
    <w:rsid w:val="00773EDA"/>
    <w:rsid w:val="00774274"/>
    <w:rsid w:val="007743D3"/>
    <w:rsid w:val="007743EB"/>
    <w:rsid w:val="00774D95"/>
    <w:rsid w:val="00777289"/>
    <w:rsid w:val="00781B6C"/>
    <w:rsid w:val="00781E15"/>
    <w:rsid w:val="00782056"/>
    <w:rsid w:val="00782EC2"/>
    <w:rsid w:val="00784CEA"/>
    <w:rsid w:val="00785AE3"/>
    <w:rsid w:val="00790BC1"/>
    <w:rsid w:val="00790F01"/>
    <w:rsid w:val="007916EA"/>
    <w:rsid w:val="00791F25"/>
    <w:rsid w:val="00792953"/>
    <w:rsid w:val="007933C6"/>
    <w:rsid w:val="00794682"/>
    <w:rsid w:val="007967E3"/>
    <w:rsid w:val="007A041F"/>
    <w:rsid w:val="007A3645"/>
    <w:rsid w:val="007A3BBC"/>
    <w:rsid w:val="007A4485"/>
    <w:rsid w:val="007A4EC2"/>
    <w:rsid w:val="007A6D94"/>
    <w:rsid w:val="007A7A9B"/>
    <w:rsid w:val="007B0A18"/>
    <w:rsid w:val="007B1662"/>
    <w:rsid w:val="007B2415"/>
    <w:rsid w:val="007B434D"/>
    <w:rsid w:val="007B4829"/>
    <w:rsid w:val="007B7666"/>
    <w:rsid w:val="007B7AB7"/>
    <w:rsid w:val="007C190F"/>
    <w:rsid w:val="007C3AA9"/>
    <w:rsid w:val="007C661B"/>
    <w:rsid w:val="007C6E8E"/>
    <w:rsid w:val="007D134C"/>
    <w:rsid w:val="007D1B5D"/>
    <w:rsid w:val="007D3024"/>
    <w:rsid w:val="007D3BF3"/>
    <w:rsid w:val="007E0654"/>
    <w:rsid w:val="007E0A8C"/>
    <w:rsid w:val="007E0FE6"/>
    <w:rsid w:val="007E15ED"/>
    <w:rsid w:val="007E5699"/>
    <w:rsid w:val="007E6A5B"/>
    <w:rsid w:val="007E7648"/>
    <w:rsid w:val="007F1844"/>
    <w:rsid w:val="007F1C9B"/>
    <w:rsid w:val="007F58EC"/>
    <w:rsid w:val="007F5FF1"/>
    <w:rsid w:val="007F6860"/>
    <w:rsid w:val="007F6D66"/>
    <w:rsid w:val="007F73F6"/>
    <w:rsid w:val="007F78D8"/>
    <w:rsid w:val="0080038C"/>
    <w:rsid w:val="00800966"/>
    <w:rsid w:val="00800ED3"/>
    <w:rsid w:val="0080120F"/>
    <w:rsid w:val="00802CC4"/>
    <w:rsid w:val="0080524E"/>
    <w:rsid w:val="00811F29"/>
    <w:rsid w:val="00814CF4"/>
    <w:rsid w:val="008159B6"/>
    <w:rsid w:val="00815DF7"/>
    <w:rsid w:val="00816F86"/>
    <w:rsid w:val="00820289"/>
    <w:rsid w:val="00820420"/>
    <w:rsid w:val="00821FDB"/>
    <w:rsid w:val="00823EBB"/>
    <w:rsid w:val="008245B7"/>
    <w:rsid w:val="00825ACB"/>
    <w:rsid w:val="008265E2"/>
    <w:rsid w:val="008308DF"/>
    <w:rsid w:val="008324FD"/>
    <w:rsid w:val="00833F5D"/>
    <w:rsid w:val="008348ED"/>
    <w:rsid w:val="008375C8"/>
    <w:rsid w:val="00837F40"/>
    <w:rsid w:val="00840D7D"/>
    <w:rsid w:val="00840ED2"/>
    <w:rsid w:val="00841442"/>
    <w:rsid w:val="00843138"/>
    <w:rsid w:val="00843517"/>
    <w:rsid w:val="00843837"/>
    <w:rsid w:val="00846CA6"/>
    <w:rsid w:val="008554A8"/>
    <w:rsid w:val="008566FF"/>
    <w:rsid w:val="00860190"/>
    <w:rsid w:val="00860A12"/>
    <w:rsid w:val="00860D35"/>
    <w:rsid w:val="00861727"/>
    <w:rsid w:val="00863218"/>
    <w:rsid w:val="0086468F"/>
    <w:rsid w:val="00871B4C"/>
    <w:rsid w:val="008720C4"/>
    <w:rsid w:val="00872F11"/>
    <w:rsid w:val="00874E4D"/>
    <w:rsid w:val="0087628D"/>
    <w:rsid w:val="00880461"/>
    <w:rsid w:val="008845C6"/>
    <w:rsid w:val="00885C3B"/>
    <w:rsid w:val="0088602E"/>
    <w:rsid w:val="00887BCA"/>
    <w:rsid w:val="00892142"/>
    <w:rsid w:val="0089257D"/>
    <w:rsid w:val="008926B9"/>
    <w:rsid w:val="00892D5B"/>
    <w:rsid w:val="00893AC7"/>
    <w:rsid w:val="00896800"/>
    <w:rsid w:val="00896FF4"/>
    <w:rsid w:val="008A0ED2"/>
    <w:rsid w:val="008A1ABC"/>
    <w:rsid w:val="008A2C9D"/>
    <w:rsid w:val="008A2E89"/>
    <w:rsid w:val="008A3256"/>
    <w:rsid w:val="008A3E25"/>
    <w:rsid w:val="008A41A8"/>
    <w:rsid w:val="008A42F3"/>
    <w:rsid w:val="008A45D0"/>
    <w:rsid w:val="008A5D4D"/>
    <w:rsid w:val="008A6406"/>
    <w:rsid w:val="008B04A9"/>
    <w:rsid w:val="008B1912"/>
    <w:rsid w:val="008B32C5"/>
    <w:rsid w:val="008B3E91"/>
    <w:rsid w:val="008B4CA3"/>
    <w:rsid w:val="008B4FC2"/>
    <w:rsid w:val="008B6266"/>
    <w:rsid w:val="008B69A8"/>
    <w:rsid w:val="008C5888"/>
    <w:rsid w:val="008C6577"/>
    <w:rsid w:val="008C6912"/>
    <w:rsid w:val="008D0112"/>
    <w:rsid w:val="008D0393"/>
    <w:rsid w:val="008D16F9"/>
    <w:rsid w:val="008D1E80"/>
    <w:rsid w:val="008D3B68"/>
    <w:rsid w:val="008D564E"/>
    <w:rsid w:val="008D56DF"/>
    <w:rsid w:val="008D59E6"/>
    <w:rsid w:val="008E0D6E"/>
    <w:rsid w:val="008E0F71"/>
    <w:rsid w:val="008E1CF6"/>
    <w:rsid w:val="008E60D4"/>
    <w:rsid w:val="008E66F2"/>
    <w:rsid w:val="008F0A94"/>
    <w:rsid w:val="008F1EAC"/>
    <w:rsid w:val="008F25C3"/>
    <w:rsid w:val="008F35B1"/>
    <w:rsid w:val="008F4D6B"/>
    <w:rsid w:val="008F61AD"/>
    <w:rsid w:val="008F7D53"/>
    <w:rsid w:val="00901C0F"/>
    <w:rsid w:val="00903E11"/>
    <w:rsid w:val="00904587"/>
    <w:rsid w:val="00904D4C"/>
    <w:rsid w:val="00906D1E"/>
    <w:rsid w:val="00907122"/>
    <w:rsid w:val="00913A0F"/>
    <w:rsid w:val="009154DF"/>
    <w:rsid w:val="009218C6"/>
    <w:rsid w:val="0092244D"/>
    <w:rsid w:val="00922510"/>
    <w:rsid w:val="00923F31"/>
    <w:rsid w:val="00925BEE"/>
    <w:rsid w:val="00926639"/>
    <w:rsid w:val="009305AB"/>
    <w:rsid w:val="009313C0"/>
    <w:rsid w:val="009315C5"/>
    <w:rsid w:val="00932FD0"/>
    <w:rsid w:val="00935681"/>
    <w:rsid w:val="009362E0"/>
    <w:rsid w:val="0093667E"/>
    <w:rsid w:val="0094026A"/>
    <w:rsid w:val="00941F93"/>
    <w:rsid w:val="009435AC"/>
    <w:rsid w:val="00943CC6"/>
    <w:rsid w:val="009442C3"/>
    <w:rsid w:val="00945721"/>
    <w:rsid w:val="00946552"/>
    <w:rsid w:val="0094760B"/>
    <w:rsid w:val="00951E6F"/>
    <w:rsid w:val="00952678"/>
    <w:rsid w:val="0095367E"/>
    <w:rsid w:val="00954AB0"/>
    <w:rsid w:val="00954B67"/>
    <w:rsid w:val="00955606"/>
    <w:rsid w:val="00955E14"/>
    <w:rsid w:val="00956092"/>
    <w:rsid w:val="00956215"/>
    <w:rsid w:val="00957046"/>
    <w:rsid w:val="00957A91"/>
    <w:rsid w:val="00960A73"/>
    <w:rsid w:val="0096219A"/>
    <w:rsid w:val="00962FAC"/>
    <w:rsid w:val="0096325A"/>
    <w:rsid w:val="0096368A"/>
    <w:rsid w:val="00963EE6"/>
    <w:rsid w:val="00964BE0"/>
    <w:rsid w:val="00965ADB"/>
    <w:rsid w:val="00965C55"/>
    <w:rsid w:val="009666D8"/>
    <w:rsid w:val="00967CA7"/>
    <w:rsid w:val="00974D67"/>
    <w:rsid w:val="0098261D"/>
    <w:rsid w:val="009923CF"/>
    <w:rsid w:val="009927AA"/>
    <w:rsid w:val="00992DEB"/>
    <w:rsid w:val="00994A1C"/>
    <w:rsid w:val="00994F4A"/>
    <w:rsid w:val="00995E82"/>
    <w:rsid w:val="009A2296"/>
    <w:rsid w:val="009A23A3"/>
    <w:rsid w:val="009A2849"/>
    <w:rsid w:val="009A31D1"/>
    <w:rsid w:val="009A32D9"/>
    <w:rsid w:val="009A51F6"/>
    <w:rsid w:val="009A5A01"/>
    <w:rsid w:val="009A5E19"/>
    <w:rsid w:val="009A79FC"/>
    <w:rsid w:val="009B0347"/>
    <w:rsid w:val="009B1926"/>
    <w:rsid w:val="009B3D85"/>
    <w:rsid w:val="009B4620"/>
    <w:rsid w:val="009B4A7A"/>
    <w:rsid w:val="009B4BD4"/>
    <w:rsid w:val="009B5BAB"/>
    <w:rsid w:val="009B5F87"/>
    <w:rsid w:val="009B657A"/>
    <w:rsid w:val="009B6C97"/>
    <w:rsid w:val="009B7E48"/>
    <w:rsid w:val="009C01F7"/>
    <w:rsid w:val="009C086E"/>
    <w:rsid w:val="009C142F"/>
    <w:rsid w:val="009C352F"/>
    <w:rsid w:val="009C3AC2"/>
    <w:rsid w:val="009C4FB4"/>
    <w:rsid w:val="009D4458"/>
    <w:rsid w:val="009D65DC"/>
    <w:rsid w:val="009E1AB1"/>
    <w:rsid w:val="009E2FF7"/>
    <w:rsid w:val="009E6B5A"/>
    <w:rsid w:val="009F0ED3"/>
    <w:rsid w:val="009F246D"/>
    <w:rsid w:val="009F25F2"/>
    <w:rsid w:val="009F2A27"/>
    <w:rsid w:val="009F2DB7"/>
    <w:rsid w:val="009F3C54"/>
    <w:rsid w:val="009F44CC"/>
    <w:rsid w:val="009F46C7"/>
    <w:rsid w:val="009F5231"/>
    <w:rsid w:val="009F5994"/>
    <w:rsid w:val="009F5F88"/>
    <w:rsid w:val="009F7812"/>
    <w:rsid w:val="009F7F7D"/>
    <w:rsid w:val="00A000BC"/>
    <w:rsid w:val="00A00C25"/>
    <w:rsid w:val="00A01503"/>
    <w:rsid w:val="00A0256F"/>
    <w:rsid w:val="00A02CEF"/>
    <w:rsid w:val="00A04287"/>
    <w:rsid w:val="00A044A2"/>
    <w:rsid w:val="00A053DB"/>
    <w:rsid w:val="00A05702"/>
    <w:rsid w:val="00A06455"/>
    <w:rsid w:val="00A11993"/>
    <w:rsid w:val="00A141A0"/>
    <w:rsid w:val="00A157A3"/>
    <w:rsid w:val="00A15A90"/>
    <w:rsid w:val="00A1719F"/>
    <w:rsid w:val="00A17512"/>
    <w:rsid w:val="00A23443"/>
    <w:rsid w:val="00A263C8"/>
    <w:rsid w:val="00A318E6"/>
    <w:rsid w:val="00A32907"/>
    <w:rsid w:val="00A34B40"/>
    <w:rsid w:val="00A36D45"/>
    <w:rsid w:val="00A37D7D"/>
    <w:rsid w:val="00A40527"/>
    <w:rsid w:val="00A4061B"/>
    <w:rsid w:val="00A40BFA"/>
    <w:rsid w:val="00A41FC3"/>
    <w:rsid w:val="00A4273F"/>
    <w:rsid w:val="00A42ACE"/>
    <w:rsid w:val="00A43ABD"/>
    <w:rsid w:val="00A4426F"/>
    <w:rsid w:val="00A44661"/>
    <w:rsid w:val="00A44973"/>
    <w:rsid w:val="00A4608B"/>
    <w:rsid w:val="00A50960"/>
    <w:rsid w:val="00A512E4"/>
    <w:rsid w:val="00A533D0"/>
    <w:rsid w:val="00A55DAC"/>
    <w:rsid w:val="00A61DF0"/>
    <w:rsid w:val="00A62501"/>
    <w:rsid w:val="00A62E80"/>
    <w:rsid w:val="00A63099"/>
    <w:rsid w:val="00A63613"/>
    <w:rsid w:val="00A63CF9"/>
    <w:rsid w:val="00A6517F"/>
    <w:rsid w:val="00A67C0B"/>
    <w:rsid w:val="00A713AF"/>
    <w:rsid w:val="00A7229F"/>
    <w:rsid w:val="00A72365"/>
    <w:rsid w:val="00A763FD"/>
    <w:rsid w:val="00A7717D"/>
    <w:rsid w:val="00A8006E"/>
    <w:rsid w:val="00A80BE9"/>
    <w:rsid w:val="00A81D90"/>
    <w:rsid w:val="00A82899"/>
    <w:rsid w:val="00A82D42"/>
    <w:rsid w:val="00A86640"/>
    <w:rsid w:val="00A90C59"/>
    <w:rsid w:val="00A91C34"/>
    <w:rsid w:val="00A939E9"/>
    <w:rsid w:val="00A93C98"/>
    <w:rsid w:val="00A97B56"/>
    <w:rsid w:val="00AA027A"/>
    <w:rsid w:val="00AA0A31"/>
    <w:rsid w:val="00AA33A1"/>
    <w:rsid w:val="00AA378A"/>
    <w:rsid w:val="00AA3AE7"/>
    <w:rsid w:val="00AA3E66"/>
    <w:rsid w:val="00AA460A"/>
    <w:rsid w:val="00AA61BE"/>
    <w:rsid w:val="00AA68B7"/>
    <w:rsid w:val="00AA6AC9"/>
    <w:rsid w:val="00AA7C99"/>
    <w:rsid w:val="00AB0BF9"/>
    <w:rsid w:val="00AB11EC"/>
    <w:rsid w:val="00AB18D5"/>
    <w:rsid w:val="00AB1D73"/>
    <w:rsid w:val="00AB261E"/>
    <w:rsid w:val="00AB317B"/>
    <w:rsid w:val="00AB60E2"/>
    <w:rsid w:val="00AC52B6"/>
    <w:rsid w:val="00AC6D3B"/>
    <w:rsid w:val="00AC7253"/>
    <w:rsid w:val="00AC786C"/>
    <w:rsid w:val="00AD0E13"/>
    <w:rsid w:val="00AD1D93"/>
    <w:rsid w:val="00AD2E02"/>
    <w:rsid w:val="00AD39E9"/>
    <w:rsid w:val="00AD4169"/>
    <w:rsid w:val="00AD4469"/>
    <w:rsid w:val="00AD5AE4"/>
    <w:rsid w:val="00AD7A88"/>
    <w:rsid w:val="00AD7B25"/>
    <w:rsid w:val="00AE2978"/>
    <w:rsid w:val="00AF0937"/>
    <w:rsid w:val="00AF15F7"/>
    <w:rsid w:val="00AF2BFD"/>
    <w:rsid w:val="00AF43D8"/>
    <w:rsid w:val="00AF5082"/>
    <w:rsid w:val="00AF6ADC"/>
    <w:rsid w:val="00AF6B33"/>
    <w:rsid w:val="00AF7AA7"/>
    <w:rsid w:val="00B00CC5"/>
    <w:rsid w:val="00B02082"/>
    <w:rsid w:val="00B03219"/>
    <w:rsid w:val="00B04B6B"/>
    <w:rsid w:val="00B05FDF"/>
    <w:rsid w:val="00B0679C"/>
    <w:rsid w:val="00B10778"/>
    <w:rsid w:val="00B10DF2"/>
    <w:rsid w:val="00B10E7A"/>
    <w:rsid w:val="00B141C2"/>
    <w:rsid w:val="00B1592E"/>
    <w:rsid w:val="00B160AC"/>
    <w:rsid w:val="00B163B7"/>
    <w:rsid w:val="00B20366"/>
    <w:rsid w:val="00B20A0B"/>
    <w:rsid w:val="00B22991"/>
    <w:rsid w:val="00B25ED2"/>
    <w:rsid w:val="00B2613C"/>
    <w:rsid w:val="00B306B7"/>
    <w:rsid w:val="00B323B4"/>
    <w:rsid w:val="00B36B9A"/>
    <w:rsid w:val="00B400D0"/>
    <w:rsid w:val="00B42FC7"/>
    <w:rsid w:val="00B43D72"/>
    <w:rsid w:val="00B44246"/>
    <w:rsid w:val="00B46F99"/>
    <w:rsid w:val="00B50B34"/>
    <w:rsid w:val="00B517A1"/>
    <w:rsid w:val="00B53187"/>
    <w:rsid w:val="00B532E0"/>
    <w:rsid w:val="00B534F3"/>
    <w:rsid w:val="00B53B45"/>
    <w:rsid w:val="00B548AB"/>
    <w:rsid w:val="00B54DE7"/>
    <w:rsid w:val="00B60C90"/>
    <w:rsid w:val="00B61187"/>
    <w:rsid w:val="00B62818"/>
    <w:rsid w:val="00B62DBD"/>
    <w:rsid w:val="00B66B73"/>
    <w:rsid w:val="00B700DB"/>
    <w:rsid w:val="00B70AC8"/>
    <w:rsid w:val="00B70B6E"/>
    <w:rsid w:val="00B717E8"/>
    <w:rsid w:val="00B71F26"/>
    <w:rsid w:val="00B746EB"/>
    <w:rsid w:val="00B749A7"/>
    <w:rsid w:val="00B77BC7"/>
    <w:rsid w:val="00B806CF"/>
    <w:rsid w:val="00B8233E"/>
    <w:rsid w:val="00B829E1"/>
    <w:rsid w:val="00B829E5"/>
    <w:rsid w:val="00B84C25"/>
    <w:rsid w:val="00B87787"/>
    <w:rsid w:val="00B91DBA"/>
    <w:rsid w:val="00B9369E"/>
    <w:rsid w:val="00B93B33"/>
    <w:rsid w:val="00BA131B"/>
    <w:rsid w:val="00BA1356"/>
    <w:rsid w:val="00BA20C7"/>
    <w:rsid w:val="00BA2E49"/>
    <w:rsid w:val="00BA3C66"/>
    <w:rsid w:val="00BA3F78"/>
    <w:rsid w:val="00BA7940"/>
    <w:rsid w:val="00BA7DA5"/>
    <w:rsid w:val="00BB076E"/>
    <w:rsid w:val="00BB36D1"/>
    <w:rsid w:val="00BB378E"/>
    <w:rsid w:val="00BB563E"/>
    <w:rsid w:val="00BB61FE"/>
    <w:rsid w:val="00BB7574"/>
    <w:rsid w:val="00BC2B0C"/>
    <w:rsid w:val="00BC30A2"/>
    <w:rsid w:val="00BD30CA"/>
    <w:rsid w:val="00BD3521"/>
    <w:rsid w:val="00BD5B6C"/>
    <w:rsid w:val="00BD615B"/>
    <w:rsid w:val="00BD62DF"/>
    <w:rsid w:val="00BD6EA1"/>
    <w:rsid w:val="00BD7596"/>
    <w:rsid w:val="00BE34D3"/>
    <w:rsid w:val="00BE3F8E"/>
    <w:rsid w:val="00BE5531"/>
    <w:rsid w:val="00BE601B"/>
    <w:rsid w:val="00BE795F"/>
    <w:rsid w:val="00BF123D"/>
    <w:rsid w:val="00BF28F6"/>
    <w:rsid w:val="00BF3AEB"/>
    <w:rsid w:val="00BF472F"/>
    <w:rsid w:val="00BF731E"/>
    <w:rsid w:val="00C01320"/>
    <w:rsid w:val="00C01DB4"/>
    <w:rsid w:val="00C01F3D"/>
    <w:rsid w:val="00C03125"/>
    <w:rsid w:val="00C05391"/>
    <w:rsid w:val="00C05807"/>
    <w:rsid w:val="00C12209"/>
    <w:rsid w:val="00C135EE"/>
    <w:rsid w:val="00C13706"/>
    <w:rsid w:val="00C13E92"/>
    <w:rsid w:val="00C151C8"/>
    <w:rsid w:val="00C173F7"/>
    <w:rsid w:val="00C21168"/>
    <w:rsid w:val="00C22309"/>
    <w:rsid w:val="00C22DF4"/>
    <w:rsid w:val="00C23D55"/>
    <w:rsid w:val="00C241D9"/>
    <w:rsid w:val="00C2473D"/>
    <w:rsid w:val="00C24A6B"/>
    <w:rsid w:val="00C251B2"/>
    <w:rsid w:val="00C25758"/>
    <w:rsid w:val="00C260BB"/>
    <w:rsid w:val="00C26C9E"/>
    <w:rsid w:val="00C32366"/>
    <w:rsid w:val="00C32460"/>
    <w:rsid w:val="00C35DB1"/>
    <w:rsid w:val="00C366D3"/>
    <w:rsid w:val="00C37BB1"/>
    <w:rsid w:val="00C37CD1"/>
    <w:rsid w:val="00C37FC7"/>
    <w:rsid w:val="00C40C6E"/>
    <w:rsid w:val="00C418FF"/>
    <w:rsid w:val="00C42740"/>
    <w:rsid w:val="00C457F8"/>
    <w:rsid w:val="00C458B2"/>
    <w:rsid w:val="00C52E2A"/>
    <w:rsid w:val="00C53A7E"/>
    <w:rsid w:val="00C54BF4"/>
    <w:rsid w:val="00C608DF"/>
    <w:rsid w:val="00C60ED8"/>
    <w:rsid w:val="00C611A4"/>
    <w:rsid w:val="00C63308"/>
    <w:rsid w:val="00C64044"/>
    <w:rsid w:val="00C64F45"/>
    <w:rsid w:val="00C66CF3"/>
    <w:rsid w:val="00C675F5"/>
    <w:rsid w:val="00C679EA"/>
    <w:rsid w:val="00C7784C"/>
    <w:rsid w:val="00C80429"/>
    <w:rsid w:val="00C8143F"/>
    <w:rsid w:val="00C8156D"/>
    <w:rsid w:val="00C81B0B"/>
    <w:rsid w:val="00C829D4"/>
    <w:rsid w:val="00C84ED9"/>
    <w:rsid w:val="00C852C5"/>
    <w:rsid w:val="00C9078B"/>
    <w:rsid w:val="00C91F0D"/>
    <w:rsid w:val="00C92C45"/>
    <w:rsid w:val="00C92F26"/>
    <w:rsid w:val="00C9500C"/>
    <w:rsid w:val="00C9530A"/>
    <w:rsid w:val="00C9690B"/>
    <w:rsid w:val="00C96F65"/>
    <w:rsid w:val="00C97602"/>
    <w:rsid w:val="00CA399E"/>
    <w:rsid w:val="00CA62C7"/>
    <w:rsid w:val="00CB06A0"/>
    <w:rsid w:val="00CB0AC3"/>
    <w:rsid w:val="00CB1CB4"/>
    <w:rsid w:val="00CB2307"/>
    <w:rsid w:val="00CB2856"/>
    <w:rsid w:val="00CB31A5"/>
    <w:rsid w:val="00CB4E2A"/>
    <w:rsid w:val="00CB56DD"/>
    <w:rsid w:val="00CB5A9D"/>
    <w:rsid w:val="00CB6C69"/>
    <w:rsid w:val="00CC2CDE"/>
    <w:rsid w:val="00CC3D36"/>
    <w:rsid w:val="00CC4258"/>
    <w:rsid w:val="00CC469B"/>
    <w:rsid w:val="00CC4A1D"/>
    <w:rsid w:val="00CC4B22"/>
    <w:rsid w:val="00CC766A"/>
    <w:rsid w:val="00CD12AF"/>
    <w:rsid w:val="00CD1A3A"/>
    <w:rsid w:val="00CD1D26"/>
    <w:rsid w:val="00CD3F9A"/>
    <w:rsid w:val="00CD4B03"/>
    <w:rsid w:val="00CD5BEA"/>
    <w:rsid w:val="00CD6B60"/>
    <w:rsid w:val="00CE1D02"/>
    <w:rsid w:val="00CE287C"/>
    <w:rsid w:val="00CE2C69"/>
    <w:rsid w:val="00CE309A"/>
    <w:rsid w:val="00CE449B"/>
    <w:rsid w:val="00CE4B34"/>
    <w:rsid w:val="00CE5516"/>
    <w:rsid w:val="00CE66C6"/>
    <w:rsid w:val="00CE73E4"/>
    <w:rsid w:val="00CF0EFA"/>
    <w:rsid w:val="00CF4D57"/>
    <w:rsid w:val="00CF5B14"/>
    <w:rsid w:val="00CF7FF8"/>
    <w:rsid w:val="00D00C11"/>
    <w:rsid w:val="00D037C8"/>
    <w:rsid w:val="00D04625"/>
    <w:rsid w:val="00D0519B"/>
    <w:rsid w:val="00D0777C"/>
    <w:rsid w:val="00D111A6"/>
    <w:rsid w:val="00D215D5"/>
    <w:rsid w:val="00D2282A"/>
    <w:rsid w:val="00D22975"/>
    <w:rsid w:val="00D2316D"/>
    <w:rsid w:val="00D23596"/>
    <w:rsid w:val="00D239AD"/>
    <w:rsid w:val="00D26081"/>
    <w:rsid w:val="00D409F5"/>
    <w:rsid w:val="00D4124A"/>
    <w:rsid w:val="00D41F68"/>
    <w:rsid w:val="00D42F9C"/>
    <w:rsid w:val="00D43613"/>
    <w:rsid w:val="00D44A3D"/>
    <w:rsid w:val="00D4583F"/>
    <w:rsid w:val="00D46253"/>
    <w:rsid w:val="00D46B05"/>
    <w:rsid w:val="00D47629"/>
    <w:rsid w:val="00D51046"/>
    <w:rsid w:val="00D54352"/>
    <w:rsid w:val="00D54762"/>
    <w:rsid w:val="00D60CF0"/>
    <w:rsid w:val="00D62B1F"/>
    <w:rsid w:val="00D633AA"/>
    <w:rsid w:val="00D637AC"/>
    <w:rsid w:val="00D640BE"/>
    <w:rsid w:val="00D6441D"/>
    <w:rsid w:val="00D65568"/>
    <w:rsid w:val="00D66497"/>
    <w:rsid w:val="00D71935"/>
    <w:rsid w:val="00D756DE"/>
    <w:rsid w:val="00D75724"/>
    <w:rsid w:val="00D77855"/>
    <w:rsid w:val="00D778A9"/>
    <w:rsid w:val="00D81AFE"/>
    <w:rsid w:val="00D822AA"/>
    <w:rsid w:val="00D835F3"/>
    <w:rsid w:val="00D837DF"/>
    <w:rsid w:val="00D84B3D"/>
    <w:rsid w:val="00D85E28"/>
    <w:rsid w:val="00D874AD"/>
    <w:rsid w:val="00D91860"/>
    <w:rsid w:val="00D9219D"/>
    <w:rsid w:val="00D92C27"/>
    <w:rsid w:val="00D951B8"/>
    <w:rsid w:val="00D972BD"/>
    <w:rsid w:val="00DA09F3"/>
    <w:rsid w:val="00DA2AFC"/>
    <w:rsid w:val="00DA37CB"/>
    <w:rsid w:val="00DA4D61"/>
    <w:rsid w:val="00DB548F"/>
    <w:rsid w:val="00DB7466"/>
    <w:rsid w:val="00DC0D3D"/>
    <w:rsid w:val="00DC0FDD"/>
    <w:rsid w:val="00DC2CBC"/>
    <w:rsid w:val="00DC3017"/>
    <w:rsid w:val="00DC35F4"/>
    <w:rsid w:val="00DC40F7"/>
    <w:rsid w:val="00DC622D"/>
    <w:rsid w:val="00DC6516"/>
    <w:rsid w:val="00DC662F"/>
    <w:rsid w:val="00DC6B14"/>
    <w:rsid w:val="00DC76D6"/>
    <w:rsid w:val="00DD0015"/>
    <w:rsid w:val="00DD460A"/>
    <w:rsid w:val="00DD4D6E"/>
    <w:rsid w:val="00DD53C5"/>
    <w:rsid w:val="00DD578C"/>
    <w:rsid w:val="00DD6598"/>
    <w:rsid w:val="00DD673F"/>
    <w:rsid w:val="00DE160E"/>
    <w:rsid w:val="00DE35CC"/>
    <w:rsid w:val="00DE466B"/>
    <w:rsid w:val="00DE4A1F"/>
    <w:rsid w:val="00DE7C00"/>
    <w:rsid w:val="00DF0C0E"/>
    <w:rsid w:val="00DF5C62"/>
    <w:rsid w:val="00E05B73"/>
    <w:rsid w:val="00E06097"/>
    <w:rsid w:val="00E074E0"/>
    <w:rsid w:val="00E07F4D"/>
    <w:rsid w:val="00E11A4E"/>
    <w:rsid w:val="00E14D4D"/>
    <w:rsid w:val="00E15572"/>
    <w:rsid w:val="00E15ACC"/>
    <w:rsid w:val="00E17BAB"/>
    <w:rsid w:val="00E24E7D"/>
    <w:rsid w:val="00E252C5"/>
    <w:rsid w:val="00E262AD"/>
    <w:rsid w:val="00E30853"/>
    <w:rsid w:val="00E30987"/>
    <w:rsid w:val="00E32136"/>
    <w:rsid w:val="00E35BD8"/>
    <w:rsid w:val="00E36F00"/>
    <w:rsid w:val="00E37133"/>
    <w:rsid w:val="00E371ED"/>
    <w:rsid w:val="00E420A8"/>
    <w:rsid w:val="00E42EA5"/>
    <w:rsid w:val="00E4396E"/>
    <w:rsid w:val="00E44D2F"/>
    <w:rsid w:val="00E4647E"/>
    <w:rsid w:val="00E465E6"/>
    <w:rsid w:val="00E477D0"/>
    <w:rsid w:val="00E47B62"/>
    <w:rsid w:val="00E5212C"/>
    <w:rsid w:val="00E53737"/>
    <w:rsid w:val="00E53A9C"/>
    <w:rsid w:val="00E551B1"/>
    <w:rsid w:val="00E578F8"/>
    <w:rsid w:val="00E57BCE"/>
    <w:rsid w:val="00E6540F"/>
    <w:rsid w:val="00E66F28"/>
    <w:rsid w:val="00E67123"/>
    <w:rsid w:val="00E7063A"/>
    <w:rsid w:val="00E70EE7"/>
    <w:rsid w:val="00E7149B"/>
    <w:rsid w:val="00E720C3"/>
    <w:rsid w:val="00E73561"/>
    <w:rsid w:val="00E736F0"/>
    <w:rsid w:val="00E759CC"/>
    <w:rsid w:val="00E75DAA"/>
    <w:rsid w:val="00E8043A"/>
    <w:rsid w:val="00E80663"/>
    <w:rsid w:val="00E82213"/>
    <w:rsid w:val="00E82606"/>
    <w:rsid w:val="00E84212"/>
    <w:rsid w:val="00E84EA3"/>
    <w:rsid w:val="00E864B8"/>
    <w:rsid w:val="00E869A6"/>
    <w:rsid w:val="00E86FEA"/>
    <w:rsid w:val="00E91DDF"/>
    <w:rsid w:val="00E94939"/>
    <w:rsid w:val="00E94D3A"/>
    <w:rsid w:val="00E96B87"/>
    <w:rsid w:val="00E97C5B"/>
    <w:rsid w:val="00E97D63"/>
    <w:rsid w:val="00EA039D"/>
    <w:rsid w:val="00EA152A"/>
    <w:rsid w:val="00EA1A3E"/>
    <w:rsid w:val="00EA2B0F"/>
    <w:rsid w:val="00EA2C57"/>
    <w:rsid w:val="00EA4406"/>
    <w:rsid w:val="00EA4642"/>
    <w:rsid w:val="00EA4F18"/>
    <w:rsid w:val="00EA61C1"/>
    <w:rsid w:val="00EA6762"/>
    <w:rsid w:val="00EA676B"/>
    <w:rsid w:val="00EA74F3"/>
    <w:rsid w:val="00EB49BD"/>
    <w:rsid w:val="00EB5271"/>
    <w:rsid w:val="00EB6565"/>
    <w:rsid w:val="00EB7784"/>
    <w:rsid w:val="00EB7DBC"/>
    <w:rsid w:val="00EC08F4"/>
    <w:rsid w:val="00EC1642"/>
    <w:rsid w:val="00EC3111"/>
    <w:rsid w:val="00EC34CC"/>
    <w:rsid w:val="00EC36E9"/>
    <w:rsid w:val="00EC373D"/>
    <w:rsid w:val="00EC67D8"/>
    <w:rsid w:val="00EC6E98"/>
    <w:rsid w:val="00EC790C"/>
    <w:rsid w:val="00ED051C"/>
    <w:rsid w:val="00ED08B5"/>
    <w:rsid w:val="00ED1EB8"/>
    <w:rsid w:val="00ED4694"/>
    <w:rsid w:val="00ED63D7"/>
    <w:rsid w:val="00EE0B1C"/>
    <w:rsid w:val="00EE3D57"/>
    <w:rsid w:val="00EE3EF3"/>
    <w:rsid w:val="00EE4C82"/>
    <w:rsid w:val="00EE5DCC"/>
    <w:rsid w:val="00EE6A64"/>
    <w:rsid w:val="00EE6EDF"/>
    <w:rsid w:val="00EE7358"/>
    <w:rsid w:val="00EE75AA"/>
    <w:rsid w:val="00EF1186"/>
    <w:rsid w:val="00EF3273"/>
    <w:rsid w:val="00EF4E8F"/>
    <w:rsid w:val="00EF4EC6"/>
    <w:rsid w:val="00EF6649"/>
    <w:rsid w:val="00F00B41"/>
    <w:rsid w:val="00F01505"/>
    <w:rsid w:val="00F017B6"/>
    <w:rsid w:val="00F0230F"/>
    <w:rsid w:val="00F02D33"/>
    <w:rsid w:val="00F04AA2"/>
    <w:rsid w:val="00F04ED7"/>
    <w:rsid w:val="00F05458"/>
    <w:rsid w:val="00F0655B"/>
    <w:rsid w:val="00F07A71"/>
    <w:rsid w:val="00F10307"/>
    <w:rsid w:val="00F12128"/>
    <w:rsid w:val="00F12E60"/>
    <w:rsid w:val="00F134E2"/>
    <w:rsid w:val="00F15B93"/>
    <w:rsid w:val="00F1662F"/>
    <w:rsid w:val="00F22C36"/>
    <w:rsid w:val="00F24193"/>
    <w:rsid w:val="00F24BCF"/>
    <w:rsid w:val="00F25411"/>
    <w:rsid w:val="00F25550"/>
    <w:rsid w:val="00F26B24"/>
    <w:rsid w:val="00F26FCA"/>
    <w:rsid w:val="00F30BB0"/>
    <w:rsid w:val="00F31666"/>
    <w:rsid w:val="00F32761"/>
    <w:rsid w:val="00F33190"/>
    <w:rsid w:val="00F33FAA"/>
    <w:rsid w:val="00F376D2"/>
    <w:rsid w:val="00F41A5F"/>
    <w:rsid w:val="00F42D59"/>
    <w:rsid w:val="00F44641"/>
    <w:rsid w:val="00F4565D"/>
    <w:rsid w:val="00F46D20"/>
    <w:rsid w:val="00F4760F"/>
    <w:rsid w:val="00F51178"/>
    <w:rsid w:val="00F51597"/>
    <w:rsid w:val="00F516C6"/>
    <w:rsid w:val="00F52762"/>
    <w:rsid w:val="00F57449"/>
    <w:rsid w:val="00F602F1"/>
    <w:rsid w:val="00F60B06"/>
    <w:rsid w:val="00F61F91"/>
    <w:rsid w:val="00F6319A"/>
    <w:rsid w:val="00F64146"/>
    <w:rsid w:val="00F651EB"/>
    <w:rsid w:val="00F655B8"/>
    <w:rsid w:val="00F65ECC"/>
    <w:rsid w:val="00F66C72"/>
    <w:rsid w:val="00F66EA1"/>
    <w:rsid w:val="00F67E2D"/>
    <w:rsid w:val="00F7019D"/>
    <w:rsid w:val="00F74E17"/>
    <w:rsid w:val="00F7695F"/>
    <w:rsid w:val="00F77032"/>
    <w:rsid w:val="00F774B5"/>
    <w:rsid w:val="00F77560"/>
    <w:rsid w:val="00F8060B"/>
    <w:rsid w:val="00F81580"/>
    <w:rsid w:val="00F839BB"/>
    <w:rsid w:val="00F8435D"/>
    <w:rsid w:val="00F84FE3"/>
    <w:rsid w:val="00F87D1D"/>
    <w:rsid w:val="00F90107"/>
    <w:rsid w:val="00F911F3"/>
    <w:rsid w:val="00F932C1"/>
    <w:rsid w:val="00F9466E"/>
    <w:rsid w:val="00F95FB4"/>
    <w:rsid w:val="00FA21E1"/>
    <w:rsid w:val="00FA44D3"/>
    <w:rsid w:val="00FA4EC6"/>
    <w:rsid w:val="00FA609F"/>
    <w:rsid w:val="00FA6B9B"/>
    <w:rsid w:val="00FA7028"/>
    <w:rsid w:val="00FB0454"/>
    <w:rsid w:val="00FB1EF5"/>
    <w:rsid w:val="00FB2A57"/>
    <w:rsid w:val="00FB3BE9"/>
    <w:rsid w:val="00FB5B51"/>
    <w:rsid w:val="00FB5E21"/>
    <w:rsid w:val="00FB7A67"/>
    <w:rsid w:val="00FC1E7A"/>
    <w:rsid w:val="00FC1FFF"/>
    <w:rsid w:val="00FC2813"/>
    <w:rsid w:val="00FC297F"/>
    <w:rsid w:val="00FC29B4"/>
    <w:rsid w:val="00FC30F2"/>
    <w:rsid w:val="00FC4B1B"/>
    <w:rsid w:val="00FC5FB3"/>
    <w:rsid w:val="00FD00E0"/>
    <w:rsid w:val="00FD0962"/>
    <w:rsid w:val="00FD11A1"/>
    <w:rsid w:val="00FD1BE1"/>
    <w:rsid w:val="00FD460B"/>
    <w:rsid w:val="00FD5AF8"/>
    <w:rsid w:val="00FE076C"/>
    <w:rsid w:val="00FE09D3"/>
    <w:rsid w:val="00FE12FC"/>
    <w:rsid w:val="00FE1E6F"/>
    <w:rsid w:val="00FE215C"/>
    <w:rsid w:val="00FE2B4E"/>
    <w:rsid w:val="00FE61C2"/>
    <w:rsid w:val="00FE6946"/>
    <w:rsid w:val="00FF16C6"/>
    <w:rsid w:val="00FF2E32"/>
    <w:rsid w:val="00FF3D48"/>
    <w:rsid w:val="00FF4B57"/>
    <w:rsid w:val="00FF5284"/>
    <w:rsid w:val="00FF72DA"/>
    <w:rsid w:val="00FF7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6CF80"/>
  <w15:chartTrackingRefBased/>
  <w15:docId w15:val="{B5B427A3-A841-4DB9-9296-7E6110C5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0FF"/>
    <w:pPr>
      <w:ind w:left="720"/>
      <w:contextualSpacing/>
    </w:pPr>
  </w:style>
  <w:style w:type="paragraph" w:styleId="Header">
    <w:name w:val="header"/>
    <w:basedOn w:val="Normal"/>
    <w:link w:val="HeaderChar"/>
    <w:uiPriority w:val="99"/>
    <w:unhideWhenUsed/>
    <w:rsid w:val="00490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B43"/>
  </w:style>
  <w:style w:type="paragraph" w:styleId="Footer">
    <w:name w:val="footer"/>
    <w:basedOn w:val="Normal"/>
    <w:link w:val="FooterChar"/>
    <w:uiPriority w:val="99"/>
    <w:unhideWhenUsed/>
    <w:rsid w:val="00490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B43"/>
  </w:style>
  <w:style w:type="character" w:styleId="CommentReference">
    <w:name w:val="annotation reference"/>
    <w:basedOn w:val="DefaultParagraphFont"/>
    <w:uiPriority w:val="99"/>
    <w:semiHidden/>
    <w:unhideWhenUsed/>
    <w:rsid w:val="009A31D1"/>
    <w:rPr>
      <w:sz w:val="16"/>
      <w:szCs w:val="16"/>
    </w:rPr>
  </w:style>
  <w:style w:type="paragraph" w:styleId="CommentText">
    <w:name w:val="annotation text"/>
    <w:basedOn w:val="Normal"/>
    <w:link w:val="CommentTextChar"/>
    <w:uiPriority w:val="99"/>
    <w:semiHidden/>
    <w:unhideWhenUsed/>
    <w:rsid w:val="009A31D1"/>
    <w:pPr>
      <w:spacing w:line="240" w:lineRule="auto"/>
    </w:pPr>
    <w:rPr>
      <w:sz w:val="20"/>
      <w:szCs w:val="20"/>
    </w:rPr>
  </w:style>
  <w:style w:type="character" w:customStyle="1" w:styleId="CommentTextChar">
    <w:name w:val="Comment Text Char"/>
    <w:basedOn w:val="DefaultParagraphFont"/>
    <w:link w:val="CommentText"/>
    <w:uiPriority w:val="99"/>
    <w:semiHidden/>
    <w:rsid w:val="009A31D1"/>
    <w:rPr>
      <w:sz w:val="20"/>
      <w:szCs w:val="20"/>
    </w:rPr>
  </w:style>
  <w:style w:type="paragraph" w:styleId="CommentSubject">
    <w:name w:val="annotation subject"/>
    <w:basedOn w:val="CommentText"/>
    <w:next w:val="CommentText"/>
    <w:link w:val="CommentSubjectChar"/>
    <w:uiPriority w:val="99"/>
    <w:semiHidden/>
    <w:unhideWhenUsed/>
    <w:rsid w:val="009A31D1"/>
    <w:rPr>
      <w:b/>
      <w:bCs/>
    </w:rPr>
  </w:style>
  <w:style w:type="character" w:customStyle="1" w:styleId="CommentSubjectChar">
    <w:name w:val="Comment Subject Char"/>
    <w:basedOn w:val="CommentTextChar"/>
    <w:link w:val="CommentSubject"/>
    <w:uiPriority w:val="99"/>
    <w:semiHidden/>
    <w:rsid w:val="009A31D1"/>
    <w:rPr>
      <w:b/>
      <w:bCs/>
      <w:sz w:val="20"/>
      <w:szCs w:val="20"/>
    </w:rPr>
  </w:style>
  <w:style w:type="paragraph" w:styleId="BalloonText">
    <w:name w:val="Balloon Text"/>
    <w:basedOn w:val="Normal"/>
    <w:link w:val="BalloonTextChar"/>
    <w:uiPriority w:val="99"/>
    <w:semiHidden/>
    <w:unhideWhenUsed/>
    <w:rsid w:val="009A3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1886">
      <w:bodyDiv w:val="1"/>
      <w:marLeft w:val="0"/>
      <w:marRight w:val="0"/>
      <w:marTop w:val="0"/>
      <w:marBottom w:val="0"/>
      <w:divBdr>
        <w:top w:val="none" w:sz="0" w:space="0" w:color="auto"/>
        <w:left w:val="none" w:sz="0" w:space="0" w:color="auto"/>
        <w:bottom w:val="none" w:sz="0" w:space="0" w:color="auto"/>
        <w:right w:val="none" w:sz="0" w:space="0" w:color="auto"/>
      </w:divBdr>
    </w:div>
    <w:div w:id="267156262">
      <w:bodyDiv w:val="1"/>
      <w:marLeft w:val="0"/>
      <w:marRight w:val="0"/>
      <w:marTop w:val="0"/>
      <w:marBottom w:val="0"/>
      <w:divBdr>
        <w:top w:val="none" w:sz="0" w:space="0" w:color="auto"/>
        <w:left w:val="none" w:sz="0" w:space="0" w:color="auto"/>
        <w:bottom w:val="none" w:sz="0" w:space="0" w:color="auto"/>
        <w:right w:val="none" w:sz="0" w:space="0" w:color="auto"/>
      </w:divBdr>
      <w:divsChild>
        <w:div w:id="1523208388">
          <w:marLeft w:val="0"/>
          <w:marRight w:val="0"/>
          <w:marTop w:val="0"/>
          <w:marBottom w:val="0"/>
          <w:divBdr>
            <w:top w:val="none" w:sz="0" w:space="0" w:color="auto"/>
            <w:left w:val="none" w:sz="0" w:space="0" w:color="auto"/>
            <w:bottom w:val="none" w:sz="0" w:space="0" w:color="auto"/>
            <w:right w:val="none" w:sz="0" w:space="0" w:color="auto"/>
          </w:divBdr>
          <w:divsChild>
            <w:div w:id="654454589">
              <w:marLeft w:val="0"/>
              <w:marRight w:val="0"/>
              <w:marTop w:val="0"/>
              <w:marBottom w:val="0"/>
              <w:divBdr>
                <w:top w:val="none" w:sz="0" w:space="0" w:color="auto"/>
                <w:left w:val="none" w:sz="0" w:space="0" w:color="auto"/>
                <w:bottom w:val="none" w:sz="0" w:space="0" w:color="auto"/>
                <w:right w:val="none" w:sz="0" w:space="0" w:color="auto"/>
              </w:divBdr>
              <w:divsChild>
                <w:div w:id="999650650">
                  <w:marLeft w:val="0"/>
                  <w:marRight w:val="0"/>
                  <w:marTop w:val="0"/>
                  <w:marBottom w:val="0"/>
                  <w:divBdr>
                    <w:top w:val="none" w:sz="0" w:space="0" w:color="auto"/>
                    <w:left w:val="none" w:sz="0" w:space="0" w:color="auto"/>
                    <w:bottom w:val="none" w:sz="0" w:space="0" w:color="auto"/>
                    <w:right w:val="none" w:sz="0" w:space="0" w:color="auto"/>
                  </w:divBdr>
                  <w:divsChild>
                    <w:div w:id="1307782108">
                      <w:marLeft w:val="0"/>
                      <w:marRight w:val="0"/>
                      <w:marTop w:val="0"/>
                      <w:marBottom w:val="0"/>
                      <w:divBdr>
                        <w:top w:val="none" w:sz="0" w:space="0" w:color="auto"/>
                        <w:left w:val="none" w:sz="0" w:space="0" w:color="auto"/>
                        <w:bottom w:val="none" w:sz="0" w:space="0" w:color="auto"/>
                        <w:right w:val="none" w:sz="0" w:space="0" w:color="auto"/>
                      </w:divBdr>
                      <w:divsChild>
                        <w:div w:id="1488279543">
                          <w:marLeft w:val="0"/>
                          <w:marRight w:val="0"/>
                          <w:marTop w:val="0"/>
                          <w:marBottom w:val="0"/>
                          <w:divBdr>
                            <w:top w:val="none" w:sz="0" w:space="0" w:color="auto"/>
                            <w:left w:val="none" w:sz="0" w:space="0" w:color="auto"/>
                            <w:bottom w:val="none" w:sz="0" w:space="0" w:color="auto"/>
                            <w:right w:val="none" w:sz="0" w:space="0" w:color="auto"/>
                          </w:divBdr>
                          <w:divsChild>
                            <w:div w:id="1549219926">
                              <w:marLeft w:val="0"/>
                              <w:marRight w:val="0"/>
                              <w:marTop w:val="0"/>
                              <w:marBottom w:val="0"/>
                              <w:divBdr>
                                <w:top w:val="none" w:sz="0" w:space="0" w:color="auto"/>
                                <w:left w:val="none" w:sz="0" w:space="0" w:color="auto"/>
                                <w:bottom w:val="none" w:sz="0" w:space="0" w:color="auto"/>
                                <w:right w:val="none" w:sz="0" w:space="0" w:color="auto"/>
                              </w:divBdr>
                              <w:divsChild>
                                <w:div w:id="1622229609">
                                  <w:marLeft w:val="0"/>
                                  <w:marRight w:val="0"/>
                                  <w:marTop w:val="0"/>
                                  <w:marBottom w:val="0"/>
                                  <w:divBdr>
                                    <w:top w:val="none" w:sz="0" w:space="0" w:color="auto"/>
                                    <w:left w:val="none" w:sz="0" w:space="0" w:color="auto"/>
                                    <w:bottom w:val="none" w:sz="0" w:space="0" w:color="auto"/>
                                    <w:right w:val="none" w:sz="0" w:space="0" w:color="auto"/>
                                  </w:divBdr>
                                  <w:divsChild>
                                    <w:div w:id="1215697697">
                                      <w:marLeft w:val="0"/>
                                      <w:marRight w:val="0"/>
                                      <w:marTop w:val="0"/>
                                      <w:marBottom w:val="0"/>
                                      <w:divBdr>
                                        <w:top w:val="none" w:sz="0" w:space="0" w:color="auto"/>
                                        <w:left w:val="none" w:sz="0" w:space="0" w:color="auto"/>
                                        <w:bottom w:val="none" w:sz="0" w:space="0" w:color="auto"/>
                                        <w:right w:val="none" w:sz="0" w:space="0" w:color="auto"/>
                                      </w:divBdr>
                                      <w:divsChild>
                                        <w:div w:id="483082937">
                                          <w:marLeft w:val="0"/>
                                          <w:marRight w:val="0"/>
                                          <w:marTop w:val="0"/>
                                          <w:marBottom w:val="0"/>
                                          <w:divBdr>
                                            <w:top w:val="none" w:sz="0" w:space="0" w:color="auto"/>
                                            <w:left w:val="none" w:sz="0" w:space="0" w:color="auto"/>
                                            <w:bottom w:val="none" w:sz="0" w:space="0" w:color="auto"/>
                                            <w:right w:val="none" w:sz="0" w:space="0" w:color="auto"/>
                                          </w:divBdr>
                                          <w:divsChild>
                                            <w:div w:id="40635737">
                                              <w:marLeft w:val="0"/>
                                              <w:marRight w:val="0"/>
                                              <w:marTop w:val="0"/>
                                              <w:marBottom w:val="0"/>
                                              <w:divBdr>
                                                <w:top w:val="none" w:sz="0" w:space="0" w:color="auto"/>
                                                <w:left w:val="none" w:sz="0" w:space="0" w:color="auto"/>
                                                <w:bottom w:val="none" w:sz="0" w:space="0" w:color="auto"/>
                                                <w:right w:val="none" w:sz="0" w:space="0" w:color="auto"/>
                                              </w:divBdr>
                                              <w:divsChild>
                                                <w:div w:id="528565840">
                                                  <w:marLeft w:val="0"/>
                                                  <w:marRight w:val="0"/>
                                                  <w:marTop w:val="0"/>
                                                  <w:marBottom w:val="0"/>
                                                  <w:divBdr>
                                                    <w:top w:val="none" w:sz="0" w:space="0" w:color="auto"/>
                                                    <w:left w:val="none" w:sz="0" w:space="0" w:color="auto"/>
                                                    <w:bottom w:val="none" w:sz="0" w:space="0" w:color="auto"/>
                                                    <w:right w:val="none" w:sz="0" w:space="0" w:color="auto"/>
                                                  </w:divBdr>
                                                  <w:divsChild>
                                                    <w:div w:id="1511406267">
                                                      <w:marLeft w:val="0"/>
                                                      <w:marRight w:val="0"/>
                                                      <w:marTop w:val="0"/>
                                                      <w:marBottom w:val="0"/>
                                                      <w:divBdr>
                                                        <w:top w:val="none" w:sz="0" w:space="0" w:color="auto"/>
                                                        <w:left w:val="none" w:sz="0" w:space="0" w:color="auto"/>
                                                        <w:bottom w:val="none" w:sz="0" w:space="0" w:color="auto"/>
                                                        <w:right w:val="none" w:sz="0" w:space="0" w:color="auto"/>
                                                      </w:divBdr>
                                                      <w:divsChild>
                                                        <w:div w:id="1384523624">
                                                          <w:marLeft w:val="0"/>
                                                          <w:marRight w:val="0"/>
                                                          <w:marTop w:val="0"/>
                                                          <w:marBottom w:val="0"/>
                                                          <w:divBdr>
                                                            <w:top w:val="none" w:sz="0" w:space="0" w:color="auto"/>
                                                            <w:left w:val="none" w:sz="0" w:space="0" w:color="auto"/>
                                                            <w:bottom w:val="none" w:sz="0" w:space="0" w:color="auto"/>
                                                            <w:right w:val="none" w:sz="0" w:space="0" w:color="auto"/>
                                                          </w:divBdr>
                                                          <w:divsChild>
                                                            <w:div w:id="869417802">
                                                              <w:marLeft w:val="0"/>
                                                              <w:marRight w:val="0"/>
                                                              <w:marTop w:val="0"/>
                                                              <w:marBottom w:val="0"/>
                                                              <w:divBdr>
                                                                <w:top w:val="none" w:sz="0" w:space="0" w:color="auto"/>
                                                                <w:left w:val="none" w:sz="0" w:space="0" w:color="auto"/>
                                                                <w:bottom w:val="none" w:sz="0" w:space="0" w:color="auto"/>
                                                                <w:right w:val="none" w:sz="0" w:space="0" w:color="auto"/>
                                                              </w:divBdr>
                                                              <w:divsChild>
                                                                <w:div w:id="648829679">
                                                                  <w:marLeft w:val="0"/>
                                                                  <w:marRight w:val="0"/>
                                                                  <w:marTop w:val="0"/>
                                                                  <w:marBottom w:val="0"/>
                                                                  <w:divBdr>
                                                                    <w:top w:val="none" w:sz="0" w:space="0" w:color="auto"/>
                                                                    <w:left w:val="none" w:sz="0" w:space="0" w:color="auto"/>
                                                                    <w:bottom w:val="none" w:sz="0" w:space="0" w:color="auto"/>
                                                                    <w:right w:val="none" w:sz="0" w:space="0" w:color="auto"/>
                                                                  </w:divBdr>
                                                                </w:div>
                                                              </w:divsChild>
                                                            </w:div>
                                                            <w:div w:id="210850240">
                                                              <w:marLeft w:val="0"/>
                                                              <w:marRight w:val="0"/>
                                                              <w:marTop w:val="0"/>
                                                              <w:marBottom w:val="0"/>
                                                              <w:divBdr>
                                                                <w:top w:val="none" w:sz="0" w:space="0" w:color="auto"/>
                                                                <w:left w:val="none" w:sz="0" w:space="0" w:color="auto"/>
                                                                <w:bottom w:val="none" w:sz="0" w:space="0" w:color="auto"/>
                                                                <w:right w:val="none" w:sz="0" w:space="0" w:color="auto"/>
                                                              </w:divBdr>
                                                              <w:divsChild>
                                                                <w:div w:id="1523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4037739">
      <w:bodyDiv w:val="1"/>
      <w:marLeft w:val="0"/>
      <w:marRight w:val="0"/>
      <w:marTop w:val="0"/>
      <w:marBottom w:val="0"/>
      <w:divBdr>
        <w:top w:val="none" w:sz="0" w:space="0" w:color="auto"/>
        <w:left w:val="none" w:sz="0" w:space="0" w:color="auto"/>
        <w:bottom w:val="none" w:sz="0" w:space="0" w:color="auto"/>
        <w:right w:val="none" w:sz="0" w:space="0" w:color="auto"/>
      </w:divBdr>
      <w:divsChild>
        <w:div w:id="1079710161">
          <w:marLeft w:val="0"/>
          <w:marRight w:val="0"/>
          <w:marTop w:val="0"/>
          <w:marBottom w:val="0"/>
          <w:divBdr>
            <w:top w:val="none" w:sz="0" w:space="0" w:color="auto"/>
            <w:left w:val="none" w:sz="0" w:space="0" w:color="auto"/>
            <w:bottom w:val="none" w:sz="0" w:space="0" w:color="auto"/>
            <w:right w:val="none" w:sz="0" w:space="0" w:color="auto"/>
          </w:divBdr>
          <w:divsChild>
            <w:div w:id="1767113476">
              <w:marLeft w:val="0"/>
              <w:marRight w:val="0"/>
              <w:marTop w:val="0"/>
              <w:marBottom w:val="0"/>
              <w:divBdr>
                <w:top w:val="none" w:sz="0" w:space="0" w:color="auto"/>
                <w:left w:val="none" w:sz="0" w:space="0" w:color="auto"/>
                <w:bottom w:val="none" w:sz="0" w:space="0" w:color="auto"/>
                <w:right w:val="none" w:sz="0" w:space="0" w:color="auto"/>
              </w:divBdr>
              <w:divsChild>
                <w:div w:id="5005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95106">
      <w:bodyDiv w:val="1"/>
      <w:marLeft w:val="0"/>
      <w:marRight w:val="0"/>
      <w:marTop w:val="0"/>
      <w:marBottom w:val="0"/>
      <w:divBdr>
        <w:top w:val="none" w:sz="0" w:space="0" w:color="auto"/>
        <w:left w:val="none" w:sz="0" w:space="0" w:color="auto"/>
        <w:bottom w:val="none" w:sz="0" w:space="0" w:color="auto"/>
        <w:right w:val="none" w:sz="0" w:space="0" w:color="auto"/>
      </w:divBdr>
      <w:divsChild>
        <w:div w:id="784234729">
          <w:marLeft w:val="0"/>
          <w:marRight w:val="0"/>
          <w:marTop w:val="0"/>
          <w:marBottom w:val="0"/>
          <w:divBdr>
            <w:top w:val="none" w:sz="0" w:space="0" w:color="auto"/>
            <w:left w:val="none" w:sz="0" w:space="0" w:color="auto"/>
            <w:bottom w:val="none" w:sz="0" w:space="0" w:color="auto"/>
            <w:right w:val="none" w:sz="0" w:space="0" w:color="auto"/>
          </w:divBdr>
          <w:divsChild>
            <w:div w:id="843129483">
              <w:marLeft w:val="0"/>
              <w:marRight w:val="0"/>
              <w:marTop w:val="0"/>
              <w:marBottom w:val="0"/>
              <w:divBdr>
                <w:top w:val="none" w:sz="0" w:space="0" w:color="auto"/>
                <w:left w:val="none" w:sz="0" w:space="0" w:color="auto"/>
                <w:bottom w:val="none" w:sz="0" w:space="0" w:color="auto"/>
                <w:right w:val="none" w:sz="0" w:space="0" w:color="auto"/>
              </w:divBdr>
              <w:divsChild>
                <w:div w:id="10362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55702">
      <w:bodyDiv w:val="1"/>
      <w:marLeft w:val="0"/>
      <w:marRight w:val="0"/>
      <w:marTop w:val="0"/>
      <w:marBottom w:val="0"/>
      <w:divBdr>
        <w:top w:val="none" w:sz="0" w:space="0" w:color="auto"/>
        <w:left w:val="none" w:sz="0" w:space="0" w:color="auto"/>
        <w:bottom w:val="none" w:sz="0" w:space="0" w:color="auto"/>
        <w:right w:val="none" w:sz="0" w:space="0" w:color="auto"/>
      </w:divBdr>
    </w:div>
    <w:div w:id="853883091">
      <w:bodyDiv w:val="1"/>
      <w:marLeft w:val="0"/>
      <w:marRight w:val="0"/>
      <w:marTop w:val="0"/>
      <w:marBottom w:val="0"/>
      <w:divBdr>
        <w:top w:val="none" w:sz="0" w:space="0" w:color="auto"/>
        <w:left w:val="none" w:sz="0" w:space="0" w:color="auto"/>
        <w:bottom w:val="none" w:sz="0" w:space="0" w:color="auto"/>
        <w:right w:val="none" w:sz="0" w:space="0" w:color="auto"/>
      </w:divBdr>
      <w:divsChild>
        <w:div w:id="1982151552">
          <w:marLeft w:val="0"/>
          <w:marRight w:val="0"/>
          <w:marTop w:val="0"/>
          <w:marBottom w:val="0"/>
          <w:divBdr>
            <w:top w:val="none" w:sz="0" w:space="0" w:color="auto"/>
            <w:left w:val="none" w:sz="0" w:space="0" w:color="auto"/>
            <w:bottom w:val="none" w:sz="0" w:space="0" w:color="auto"/>
            <w:right w:val="none" w:sz="0" w:space="0" w:color="auto"/>
          </w:divBdr>
          <w:divsChild>
            <w:div w:id="1679962338">
              <w:marLeft w:val="0"/>
              <w:marRight w:val="0"/>
              <w:marTop w:val="0"/>
              <w:marBottom w:val="0"/>
              <w:divBdr>
                <w:top w:val="none" w:sz="0" w:space="0" w:color="auto"/>
                <w:left w:val="none" w:sz="0" w:space="0" w:color="auto"/>
                <w:bottom w:val="none" w:sz="0" w:space="0" w:color="auto"/>
                <w:right w:val="none" w:sz="0" w:space="0" w:color="auto"/>
              </w:divBdr>
              <w:divsChild>
                <w:div w:id="6696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54007">
      <w:bodyDiv w:val="1"/>
      <w:marLeft w:val="0"/>
      <w:marRight w:val="0"/>
      <w:marTop w:val="0"/>
      <w:marBottom w:val="0"/>
      <w:divBdr>
        <w:top w:val="none" w:sz="0" w:space="0" w:color="auto"/>
        <w:left w:val="none" w:sz="0" w:space="0" w:color="auto"/>
        <w:bottom w:val="none" w:sz="0" w:space="0" w:color="auto"/>
        <w:right w:val="none" w:sz="0" w:space="0" w:color="auto"/>
      </w:divBdr>
    </w:div>
    <w:div w:id="1001196217">
      <w:bodyDiv w:val="1"/>
      <w:marLeft w:val="0"/>
      <w:marRight w:val="0"/>
      <w:marTop w:val="0"/>
      <w:marBottom w:val="0"/>
      <w:divBdr>
        <w:top w:val="none" w:sz="0" w:space="0" w:color="auto"/>
        <w:left w:val="none" w:sz="0" w:space="0" w:color="auto"/>
        <w:bottom w:val="none" w:sz="0" w:space="0" w:color="auto"/>
        <w:right w:val="none" w:sz="0" w:space="0" w:color="auto"/>
      </w:divBdr>
    </w:div>
    <w:div w:id="1095445396">
      <w:bodyDiv w:val="1"/>
      <w:marLeft w:val="0"/>
      <w:marRight w:val="0"/>
      <w:marTop w:val="0"/>
      <w:marBottom w:val="0"/>
      <w:divBdr>
        <w:top w:val="none" w:sz="0" w:space="0" w:color="auto"/>
        <w:left w:val="none" w:sz="0" w:space="0" w:color="auto"/>
        <w:bottom w:val="none" w:sz="0" w:space="0" w:color="auto"/>
        <w:right w:val="none" w:sz="0" w:space="0" w:color="auto"/>
      </w:divBdr>
    </w:div>
    <w:div w:id="1202397651">
      <w:bodyDiv w:val="1"/>
      <w:marLeft w:val="0"/>
      <w:marRight w:val="0"/>
      <w:marTop w:val="0"/>
      <w:marBottom w:val="0"/>
      <w:divBdr>
        <w:top w:val="none" w:sz="0" w:space="0" w:color="auto"/>
        <w:left w:val="none" w:sz="0" w:space="0" w:color="auto"/>
        <w:bottom w:val="none" w:sz="0" w:space="0" w:color="auto"/>
        <w:right w:val="none" w:sz="0" w:space="0" w:color="auto"/>
      </w:divBdr>
      <w:divsChild>
        <w:div w:id="999164096">
          <w:marLeft w:val="0"/>
          <w:marRight w:val="0"/>
          <w:marTop w:val="0"/>
          <w:marBottom w:val="0"/>
          <w:divBdr>
            <w:top w:val="none" w:sz="0" w:space="0" w:color="auto"/>
            <w:left w:val="none" w:sz="0" w:space="0" w:color="auto"/>
            <w:bottom w:val="none" w:sz="0" w:space="0" w:color="auto"/>
            <w:right w:val="none" w:sz="0" w:space="0" w:color="auto"/>
          </w:divBdr>
          <w:divsChild>
            <w:div w:id="2118987681">
              <w:marLeft w:val="0"/>
              <w:marRight w:val="0"/>
              <w:marTop w:val="0"/>
              <w:marBottom w:val="0"/>
              <w:divBdr>
                <w:top w:val="none" w:sz="0" w:space="0" w:color="auto"/>
                <w:left w:val="none" w:sz="0" w:space="0" w:color="auto"/>
                <w:bottom w:val="none" w:sz="0" w:space="0" w:color="auto"/>
                <w:right w:val="none" w:sz="0" w:space="0" w:color="auto"/>
              </w:divBdr>
              <w:divsChild>
                <w:div w:id="19491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35419">
      <w:bodyDiv w:val="1"/>
      <w:marLeft w:val="0"/>
      <w:marRight w:val="0"/>
      <w:marTop w:val="0"/>
      <w:marBottom w:val="0"/>
      <w:divBdr>
        <w:top w:val="none" w:sz="0" w:space="0" w:color="auto"/>
        <w:left w:val="none" w:sz="0" w:space="0" w:color="auto"/>
        <w:bottom w:val="none" w:sz="0" w:space="0" w:color="auto"/>
        <w:right w:val="none" w:sz="0" w:space="0" w:color="auto"/>
      </w:divBdr>
      <w:divsChild>
        <w:div w:id="217013170">
          <w:marLeft w:val="0"/>
          <w:marRight w:val="0"/>
          <w:marTop w:val="0"/>
          <w:marBottom w:val="0"/>
          <w:divBdr>
            <w:top w:val="none" w:sz="0" w:space="0" w:color="auto"/>
            <w:left w:val="none" w:sz="0" w:space="0" w:color="auto"/>
            <w:bottom w:val="none" w:sz="0" w:space="0" w:color="auto"/>
            <w:right w:val="none" w:sz="0" w:space="0" w:color="auto"/>
          </w:divBdr>
          <w:divsChild>
            <w:div w:id="974410241">
              <w:marLeft w:val="0"/>
              <w:marRight w:val="0"/>
              <w:marTop w:val="0"/>
              <w:marBottom w:val="0"/>
              <w:divBdr>
                <w:top w:val="none" w:sz="0" w:space="0" w:color="auto"/>
                <w:left w:val="none" w:sz="0" w:space="0" w:color="auto"/>
                <w:bottom w:val="none" w:sz="0" w:space="0" w:color="auto"/>
                <w:right w:val="none" w:sz="0" w:space="0" w:color="auto"/>
              </w:divBdr>
              <w:divsChild>
                <w:div w:id="91378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434432">
      <w:bodyDiv w:val="1"/>
      <w:marLeft w:val="0"/>
      <w:marRight w:val="0"/>
      <w:marTop w:val="0"/>
      <w:marBottom w:val="0"/>
      <w:divBdr>
        <w:top w:val="none" w:sz="0" w:space="0" w:color="auto"/>
        <w:left w:val="none" w:sz="0" w:space="0" w:color="auto"/>
        <w:bottom w:val="none" w:sz="0" w:space="0" w:color="auto"/>
        <w:right w:val="none" w:sz="0" w:space="0" w:color="auto"/>
      </w:divBdr>
    </w:div>
    <w:div w:id="1468428076">
      <w:bodyDiv w:val="1"/>
      <w:marLeft w:val="0"/>
      <w:marRight w:val="0"/>
      <w:marTop w:val="0"/>
      <w:marBottom w:val="0"/>
      <w:divBdr>
        <w:top w:val="none" w:sz="0" w:space="0" w:color="auto"/>
        <w:left w:val="none" w:sz="0" w:space="0" w:color="auto"/>
        <w:bottom w:val="none" w:sz="0" w:space="0" w:color="auto"/>
        <w:right w:val="none" w:sz="0" w:space="0" w:color="auto"/>
      </w:divBdr>
    </w:div>
    <w:div w:id="1503230983">
      <w:bodyDiv w:val="1"/>
      <w:marLeft w:val="0"/>
      <w:marRight w:val="0"/>
      <w:marTop w:val="0"/>
      <w:marBottom w:val="0"/>
      <w:divBdr>
        <w:top w:val="none" w:sz="0" w:space="0" w:color="auto"/>
        <w:left w:val="none" w:sz="0" w:space="0" w:color="auto"/>
        <w:bottom w:val="none" w:sz="0" w:space="0" w:color="auto"/>
        <w:right w:val="none" w:sz="0" w:space="0" w:color="auto"/>
      </w:divBdr>
      <w:divsChild>
        <w:div w:id="804928675">
          <w:marLeft w:val="0"/>
          <w:marRight w:val="0"/>
          <w:marTop w:val="0"/>
          <w:marBottom w:val="0"/>
          <w:divBdr>
            <w:top w:val="none" w:sz="0" w:space="0" w:color="auto"/>
            <w:left w:val="none" w:sz="0" w:space="0" w:color="auto"/>
            <w:bottom w:val="none" w:sz="0" w:space="0" w:color="auto"/>
            <w:right w:val="none" w:sz="0" w:space="0" w:color="auto"/>
          </w:divBdr>
          <w:divsChild>
            <w:div w:id="1984502096">
              <w:marLeft w:val="0"/>
              <w:marRight w:val="0"/>
              <w:marTop w:val="0"/>
              <w:marBottom w:val="0"/>
              <w:divBdr>
                <w:top w:val="none" w:sz="0" w:space="0" w:color="auto"/>
                <w:left w:val="none" w:sz="0" w:space="0" w:color="auto"/>
                <w:bottom w:val="none" w:sz="0" w:space="0" w:color="auto"/>
                <w:right w:val="none" w:sz="0" w:space="0" w:color="auto"/>
              </w:divBdr>
              <w:divsChild>
                <w:div w:id="998920203">
                  <w:marLeft w:val="0"/>
                  <w:marRight w:val="0"/>
                  <w:marTop w:val="0"/>
                  <w:marBottom w:val="0"/>
                  <w:divBdr>
                    <w:top w:val="none" w:sz="0" w:space="0" w:color="auto"/>
                    <w:left w:val="none" w:sz="0" w:space="0" w:color="auto"/>
                    <w:bottom w:val="none" w:sz="0" w:space="0" w:color="auto"/>
                    <w:right w:val="none" w:sz="0" w:space="0" w:color="auto"/>
                  </w:divBdr>
                </w:div>
                <w:div w:id="922682880">
                  <w:marLeft w:val="0"/>
                  <w:marRight w:val="0"/>
                  <w:marTop w:val="0"/>
                  <w:marBottom w:val="0"/>
                  <w:divBdr>
                    <w:top w:val="none" w:sz="0" w:space="0" w:color="auto"/>
                    <w:left w:val="none" w:sz="0" w:space="0" w:color="auto"/>
                    <w:bottom w:val="none" w:sz="0" w:space="0" w:color="auto"/>
                    <w:right w:val="none" w:sz="0" w:space="0" w:color="auto"/>
                  </w:divBdr>
                  <w:divsChild>
                    <w:div w:id="1209685009">
                      <w:marLeft w:val="0"/>
                      <w:marRight w:val="0"/>
                      <w:marTop w:val="0"/>
                      <w:marBottom w:val="0"/>
                      <w:divBdr>
                        <w:top w:val="none" w:sz="0" w:space="0" w:color="auto"/>
                        <w:left w:val="none" w:sz="0" w:space="0" w:color="auto"/>
                        <w:bottom w:val="none" w:sz="0" w:space="0" w:color="auto"/>
                        <w:right w:val="none" w:sz="0" w:space="0" w:color="auto"/>
                      </w:divBdr>
                    </w:div>
                  </w:divsChild>
                </w:div>
                <w:div w:id="620763510">
                  <w:marLeft w:val="0"/>
                  <w:marRight w:val="0"/>
                  <w:marTop w:val="0"/>
                  <w:marBottom w:val="0"/>
                  <w:divBdr>
                    <w:top w:val="none" w:sz="0" w:space="0" w:color="auto"/>
                    <w:left w:val="none" w:sz="0" w:space="0" w:color="auto"/>
                    <w:bottom w:val="none" w:sz="0" w:space="0" w:color="auto"/>
                    <w:right w:val="none" w:sz="0" w:space="0" w:color="auto"/>
                  </w:divBdr>
                </w:div>
                <w:div w:id="149286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4F071-204D-4BD9-9CD7-396E6456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4765</Words>
  <Characters>27164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Hutter</dc:creator>
  <cp:keywords/>
  <dc:description/>
  <cp:lastModifiedBy>Bill Donnino</cp:lastModifiedBy>
  <cp:revision>25</cp:revision>
  <cp:lastPrinted>2020-08-21T00:48:00Z</cp:lastPrinted>
  <dcterms:created xsi:type="dcterms:W3CDTF">2021-08-03T17:45:00Z</dcterms:created>
  <dcterms:modified xsi:type="dcterms:W3CDTF">2021-08-05T20:25:00Z</dcterms:modified>
</cp:coreProperties>
</file>