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059A" w14:textId="37586D67" w:rsidR="0025722B" w:rsidRPr="00580DD5" w:rsidRDefault="0025722B" w:rsidP="00BF3AA2">
      <w:pPr>
        <w:kinsoku w:val="0"/>
        <w:overflowPunct w:val="0"/>
        <w:autoSpaceDE/>
        <w:autoSpaceDN/>
        <w:adjustRightInd/>
        <w:jc w:val="both"/>
        <w:textAlignment w:val="baseline"/>
        <w:rPr>
          <w:b/>
          <w:spacing w:val="-1"/>
          <w:sz w:val="28"/>
          <w:szCs w:val="28"/>
        </w:rPr>
      </w:pPr>
      <w:r w:rsidRPr="00580DD5">
        <w:rPr>
          <w:b/>
          <w:spacing w:val="-1"/>
          <w:sz w:val="28"/>
          <w:szCs w:val="28"/>
        </w:rPr>
        <w:t>6.02 Competency of a Previously Hypnotized Witness</w:t>
      </w:r>
    </w:p>
    <w:p w14:paraId="15768A15" w14:textId="77777777" w:rsidR="00BF3AA2" w:rsidRPr="00580DD5" w:rsidRDefault="00BF3AA2" w:rsidP="00BF3AA2">
      <w:pPr>
        <w:kinsoku w:val="0"/>
        <w:overflowPunct w:val="0"/>
        <w:autoSpaceDE/>
        <w:autoSpaceDN/>
        <w:adjustRightInd/>
        <w:jc w:val="both"/>
        <w:textAlignment w:val="baseline"/>
        <w:rPr>
          <w:b/>
          <w:spacing w:val="-1"/>
          <w:sz w:val="28"/>
          <w:szCs w:val="28"/>
        </w:rPr>
      </w:pPr>
    </w:p>
    <w:p w14:paraId="58D1CF09" w14:textId="4CB27BA7" w:rsidR="0025722B" w:rsidRPr="00580DD5" w:rsidRDefault="00BF3AA2" w:rsidP="00BF3AA2">
      <w:pPr>
        <w:pStyle w:val="ListParagraph"/>
        <w:kinsoku w:val="0"/>
        <w:overflowPunct w:val="0"/>
        <w:autoSpaceDE/>
        <w:autoSpaceDN/>
        <w:adjustRightInd/>
        <w:ind w:right="720"/>
        <w:jc w:val="both"/>
        <w:textAlignment w:val="baseline"/>
        <w:rPr>
          <w:b/>
          <w:sz w:val="28"/>
          <w:szCs w:val="28"/>
        </w:rPr>
      </w:pPr>
      <w:r w:rsidRPr="00580DD5">
        <w:rPr>
          <w:b/>
          <w:sz w:val="28"/>
          <w:szCs w:val="28"/>
        </w:rPr>
        <w:t xml:space="preserve">(1) </w:t>
      </w:r>
      <w:r w:rsidR="0025722B" w:rsidRPr="00580DD5">
        <w:rPr>
          <w:b/>
          <w:sz w:val="28"/>
          <w:szCs w:val="28"/>
        </w:rPr>
        <w:t>Given that statements made under hypnosis are inherently unreliable:</w:t>
      </w:r>
    </w:p>
    <w:p w14:paraId="675F2173" w14:textId="77777777" w:rsidR="00BF3AA2" w:rsidRPr="00580DD5" w:rsidRDefault="00BF3AA2" w:rsidP="00BF3AA2">
      <w:pPr>
        <w:kinsoku w:val="0"/>
        <w:overflowPunct w:val="0"/>
        <w:autoSpaceDE/>
        <w:autoSpaceDN/>
        <w:adjustRightInd/>
        <w:ind w:right="720"/>
        <w:jc w:val="both"/>
        <w:textAlignment w:val="baseline"/>
        <w:rPr>
          <w:b/>
          <w:sz w:val="28"/>
          <w:szCs w:val="28"/>
        </w:rPr>
      </w:pPr>
    </w:p>
    <w:p w14:paraId="76967A81" w14:textId="6101C82D" w:rsidR="0025722B" w:rsidRPr="00580DD5" w:rsidRDefault="00BF3AA2" w:rsidP="00FB4D65">
      <w:pPr>
        <w:pStyle w:val="ListParagraph"/>
        <w:kinsoku w:val="0"/>
        <w:overflowPunct w:val="0"/>
        <w:autoSpaceDE/>
        <w:autoSpaceDN/>
        <w:adjustRightInd/>
        <w:ind w:left="1440" w:right="720"/>
        <w:jc w:val="both"/>
        <w:textAlignment w:val="baseline"/>
        <w:rPr>
          <w:b/>
          <w:sz w:val="28"/>
          <w:szCs w:val="28"/>
        </w:rPr>
      </w:pPr>
      <w:r w:rsidRPr="00580DD5">
        <w:rPr>
          <w:b/>
          <w:sz w:val="28"/>
          <w:szCs w:val="28"/>
        </w:rPr>
        <w:t xml:space="preserve">(a) </w:t>
      </w:r>
      <w:r w:rsidR="00FA021A" w:rsidRPr="00580DD5">
        <w:rPr>
          <w:b/>
          <w:sz w:val="28"/>
          <w:szCs w:val="28"/>
        </w:rPr>
        <w:t>a witness’s</w:t>
      </w:r>
      <w:r w:rsidR="0025722B" w:rsidRPr="00580DD5">
        <w:rPr>
          <w:b/>
          <w:sz w:val="28"/>
          <w:szCs w:val="28"/>
        </w:rPr>
        <w:t xml:space="preserve"> testimony as to events the witness recalls as a result of hypnosis is inadmissible;</w:t>
      </w:r>
      <w:bookmarkStart w:id="0" w:name="_GoBack"/>
      <w:bookmarkEnd w:id="0"/>
    </w:p>
    <w:p w14:paraId="17D72AC2" w14:textId="77777777" w:rsidR="00BF3AA2" w:rsidRPr="00580DD5" w:rsidRDefault="00BF3AA2" w:rsidP="00BF3AA2">
      <w:pPr>
        <w:kinsoku w:val="0"/>
        <w:overflowPunct w:val="0"/>
        <w:autoSpaceDE/>
        <w:autoSpaceDN/>
        <w:adjustRightInd/>
        <w:ind w:right="1008"/>
        <w:jc w:val="both"/>
        <w:textAlignment w:val="baseline"/>
        <w:rPr>
          <w:b/>
          <w:sz w:val="28"/>
          <w:szCs w:val="28"/>
        </w:rPr>
      </w:pPr>
    </w:p>
    <w:p w14:paraId="7C5C2C3A" w14:textId="724CC771" w:rsidR="0025722B" w:rsidRPr="00580DD5" w:rsidRDefault="00BF3AA2" w:rsidP="00FB4D65">
      <w:pPr>
        <w:kinsoku w:val="0"/>
        <w:overflowPunct w:val="0"/>
        <w:autoSpaceDE/>
        <w:autoSpaceDN/>
        <w:adjustRightInd/>
        <w:ind w:left="1440" w:right="720"/>
        <w:jc w:val="both"/>
        <w:textAlignment w:val="baseline"/>
        <w:rPr>
          <w:b/>
          <w:sz w:val="28"/>
          <w:szCs w:val="28"/>
        </w:rPr>
      </w:pPr>
      <w:r w:rsidRPr="00580DD5">
        <w:rPr>
          <w:b/>
          <w:sz w:val="28"/>
          <w:szCs w:val="28"/>
        </w:rPr>
        <w:t xml:space="preserve">(b) </w:t>
      </w:r>
      <w:r w:rsidR="0025722B" w:rsidRPr="00580DD5">
        <w:rPr>
          <w:b/>
          <w:sz w:val="28"/>
          <w:szCs w:val="28"/>
        </w:rPr>
        <w:t xml:space="preserve">a witness’s statement made under hypnosis </w:t>
      </w:r>
      <w:r w:rsidR="00524C87" w:rsidRPr="00580DD5">
        <w:rPr>
          <w:b/>
          <w:sz w:val="28"/>
          <w:szCs w:val="28"/>
        </w:rPr>
        <w:t xml:space="preserve">is, </w:t>
      </w:r>
      <w:proofErr w:type="gramStart"/>
      <w:r w:rsidR="00524C87" w:rsidRPr="00580DD5">
        <w:rPr>
          <w:b/>
          <w:sz w:val="28"/>
          <w:szCs w:val="28"/>
        </w:rPr>
        <w:t>as a general rule</w:t>
      </w:r>
      <w:proofErr w:type="gramEnd"/>
      <w:r w:rsidR="00524C87" w:rsidRPr="00580DD5">
        <w:rPr>
          <w:b/>
          <w:sz w:val="28"/>
          <w:szCs w:val="28"/>
        </w:rPr>
        <w:t xml:space="preserve">, </w:t>
      </w:r>
      <w:r w:rsidR="0025722B" w:rsidRPr="00580DD5">
        <w:rPr>
          <w:b/>
          <w:sz w:val="28"/>
          <w:szCs w:val="28"/>
        </w:rPr>
        <w:t>inadmissible for the purposes of impeachment; and</w:t>
      </w:r>
    </w:p>
    <w:p w14:paraId="3462A499" w14:textId="77777777" w:rsidR="00BF3AA2" w:rsidRPr="00580DD5" w:rsidRDefault="00BF3AA2" w:rsidP="00BF3AA2">
      <w:pPr>
        <w:kinsoku w:val="0"/>
        <w:overflowPunct w:val="0"/>
        <w:autoSpaceDE/>
        <w:autoSpaceDN/>
        <w:adjustRightInd/>
        <w:ind w:right="1008"/>
        <w:jc w:val="both"/>
        <w:textAlignment w:val="baseline"/>
        <w:rPr>
          <w:b/>
          <w:sz w:val="28"/>
          <w:szCs w:val="28"/>
        </w:rPr>
      </w:pPr>
    </w:p>
    <w:p w14:paraId="797EDA94" w14:textId="47932A85" w:rsidR="0025722B" w:rsidRPr="00580DD5" w:rsidRDefault="0025722B" w:rsidP="00FB4D65">
      <w:pPr>
        <w:kinsoku w:val="0"/>
        <w:overflowPunct w:val="0"/>
        <w:autoSpaceDE/>
        <w:autoSpaceDN/>
        <w:adjustRightInd/>
        <w:ind w:left="1440" w:right="720"/>
        <w:jc w:val="both"/>
        <w:textAlignment w:val="baseline"/>
        <w:rPr>
          <w:b/>
          <w:sz w:val="28"/>
          <w:szCs w:val="28"/>
        </w:rPr>
      </w:pPr>
      <w:r w:rsidRPr="00580DD5">
        <w:rPr>
          <w:b/>
          <w:sz w:val="28"/>
          <w:szCs w:val="28"/>
        </w:rPr>
        <w:t>(c) a</w:t>
      </w:r>
      <w:r w:rsidR="008A7EB1" w:rsidRPr="00580DD5">
        <w:rPr>
          <w:b/>
          <w:sz w:val="28"/>
          <w:szCs w:val="28"/>
        </w:rPr>
        <w:t xml:space="preserve"> party’s</w:t>
      </w:r>
      <w:r w:rsidRPr="00580DD5">
        <w:rPr>
          <w:b/>
          <w:sz w:val="28"/>
          <w:szCs w:val="28"/>
        </w:rPr>
        <w:t xml:space="preserve"> admission induced by hypnosis is inadmissible.</w:t>
      </w:r>
    </w:p>
    <w:p w14:paraId="73D2FFD0" w14:textId="77777777" w:rsidR="00BF3AA2" w:rsidRPr="00580DD5" w:rsidRDefault="00BF3AA2" w:rsidP="00BF3AA2">
      <w:pPr>
        <w:kinsoku w:val="0"/>
        <w:overflowPunct w:val="0"/>
        <w:autoSpaceDE/>
        <w:autoSpaceDN/>
        <w:adjustRightInd/>
        <w:ind w:right="1008"/>
        <w:jc w:val="both"/>
        <w:textAlignment w:val="baseline"/>
        <w:rPr>
          <w:b/>
          <w:sz w:val="28"/>
          <w:szCs w:val="28"/>
        </w:rPr>
      </w:pPr>
    </w:p>
    <w:p w14:paraId="129466B7" w14:textId="359DD0CF" w:rsidR="0025722B" w:rsidRPr="00580DD5" w:rsidRDefault="00BF3AA2" w:rsidP="00BF3AA2">
      <w:pPr>
        <w:pStyle w:val="ListParagraph"/>
        <w:kinsoku w:val="0"/>
        <w:overflowPunct w:val="0"/>
        <w:autoSpaceDE/>
        <w:autoSpaceDN/>
        <w:adjustRightInd/>
        <w:ind w:right="720"/>
        <w:jc w:val="both"/>
        <w:textAlignment w:val="baseline"/>
        <w:rPr>
          <w:b/>
          <w:spacing w:val="-2"/>
          <w:sz w:val="28"/>
          <w:szCs w:val="28"/>
        </w:rPr>
      </w:pPr>
      <w:r w:rsidRPr="00580DD5">
        <w:rPr>
          <w:b/>
          <w:spacing w:val="-2"/>
          <w:sz w:val="28"/>
          <w:szCs w:val="28"/>
        </w:rPr>
        <w:t xml:space="preserve">(2) </w:t>
      </w:r>
      <w:r w:rsidR="004875F4" w:rsidRPr="00580DD5">
        <w:rPr>
          <w:b/>
          <w:spacing w:val="-2"/>
          <w:sz w:val="28"/>
          <w:szCs w:val="28"/>
        </w:rPr>
        <w:t>A witness’s t</w:t>
      </w:r>
      <w:r w:rsidR="0025722B" w:rsidRPr="00580DD5">
        <w:rPr>
          <w:b/>
          <w:spacing w:val="-2"/>
          <w:sz w:val="28"/>
          <w:szCs w:val="28"/>
        </w:rPr>
        <w:t>estimony as to events the witness recalls prior to hypnosis is admissible when, at a pretrial hearing, the proponent of the witness establishes by clear and convincing proof that the testimony of the witness as to his or her prehypnotic recollection will be reliable and that there has been no substantial impairment of the defendant</w:t>
      </w:r>
      <w:r w:rsidR="00636319">
        <w:rPr>
          <w:b/>
          <w:spacing w:val="-2"/>
          <w:sz w:val="28"/>
          <w:szCs w:val="28"/>
        </w:rPr>
        <w:t>’</w:t>
      </w:r>
      <w:r w:rsidR="0025722B" w:rsidRPr="00580DD5">
        <w:rPr>
          <w:b/>
          <w:spacing w:val="-2"/>
          <w:sz w:val="28"/>
          <w:szCs w:val="28"/>
        </w:rPr>
        <w:t>s right of cross-examination. In particular, the trial court must determine the extent of the witness</w:t>
      </w:r>
      <w:r w:rsidR="00636319">
        <w:rPr>
          <w:b/>
          <w:spacing w:val="-2"/>
          <w:sz w:val="28"/>
          <w:szCs w:val="28"/>
        </w:rPr>
        <w:t>’</w:t>
      </w:r>
      <w:r w:rsidR="0025722B" w:rsidRPr="00580DD5">
        <w:rPr>
          <w:b/>
          <w:spacing w:val="-2"/>
          <w:sz w:val="28"/>
          <w:szCs w:val="28"/>
        </w:rPr>
        <w:t>s prehypnotic recollection (which would establish the boundaries of admissible testimony) and whether the hypnosis was so impermissibly suggestive as to require exclusion of in-court testimony with respect to such prehypnotic recollection. Evidence, testimonial and documentary, which is material to the pretrial determination should be received at the hearing, without rigid application of the hearsay rule.</w:t>
      </w:r>
    </w:p>
    <w:p w14:paraId="7D231B10" w14:textId="77777777" w:rsidR="00BF3AA2" w:rsidRPr="00580DD5" w:rsidRDefault="00BF3AA2" w:rsidP="00580DD5">
      <w:pPr>
        <w:pStyle w:val="ListParagraph"/>
        <w:kinsoku w:val="0"/>
        <w:overflowPunct w:val="0"/>
        <w:autoSpaceDE/>
        <w:autoSpaceDN/>
        <w:adjustRightInd/>
        <w:ind w:left="0" w:right="720"/>
        <w:jc w:val="both"/>
        <w:textAlignment w:val="baseline"/>
        <w:rPr>
          <w:b/>
          <w:spacing w:val="-2"/>
          <w:sz w:val="28"/>
          <w:szCs w:val="28"/>
        </w:rPr>
      </w:pPr>
    </w:p>
    <w:p w14:paraId="228A36AC" w14:textId="06CBB3D0" w:rsidR="00760664" w:rsidRPr="00580DD5" w:rsidRDefault="00BF3AA2" w:rsidP="00BF3AA2">
      <w:pPr>
        <w:kinsoku w:val="0"/>
        <w:overflowPunct w:val="0"/>
        <w:autoSpaceDE/>
        <w:autoSpaceDN/>
        <w:adjustRightInd/>
        <w:ind w:left="720" w:right="720"/>
        <w:jc w:val="both"/>
        <w:textAlignment w:val="baseline"/>
        <w:rPr>
          <w:b/>
          <w:sz w:val="28"/>
          <w:szCs w:val="28"/>
        </w:rPr>
      </w:pPr>
      <w:r w:rsidRPr="00580DD5">
        <w:rPr>
          <w:b/>
          <w:sz w:val="28"/>
          <w:szCs w:val="28"/>
        </w:rPr>
        <w:t xml:space="preserve">(3) </w:t>
      </w:r>
      <w:r w:rsidR="0025722B" w:rsidRPr="00580DD5">
        <w:rPr>
          <w:b/>
          <w:sz w:val="28"/>
          <w:szCs w:val="28"/>
        </w:rPr>
        <w:t>If the witness is held to be competent to testify, the party affected by the testimony may introduce proof with respect to the hypnotic procedures followed as well as expert testimony concerning the potential effect of the hypnosis on the witness</w:t>
      </w:r>
      <w:r w:rsidR="00636319">
        <w:rPr>
          <w:b/>
          <w:sz w:val="28"/>
          <w:szCs w:val="28"/>
        </w:rPr>
        <w:t>’</w:t>
      </w:r>
      <w:r w:rsidR="0025722B" w:rsidRPr="00580DD5">
        <w:rPr>
          <w:b/>
          <w:sz w:val="28"/>
          <w:szCs w:val="28"/>
        </w:rPr>
        <w:t>s recollections.</w:t>
      </w:r>
    </w:p>
    <w:p w14:paraId="722F9554" w14:textId="77777777" w:rsidR="00760664" w:rsidRPr="00580DD5" w:rsidRDefault="00760664" w:rsidP="00BF3AA2">
      <w:pPr>
        <w:kinsoku w:val="0"/>
        <w:overflowPunct w:val="0"/>
        <w:autoSpaceDE/>
        <w:autoSpaceDN/>
        <w:adjustRightInd/>
        <w:jc w:val="center"/>
        <w:textAlignment w:val="baseline"/>
        <w:rPr>
          <w:b/>
          <w:spacing w:val="26"/>
          <w:sz w:val="28"/>
          <w:szCs w:val="28"/>
        </w:rPr>
      </w:pPr>
    </w:p>
    <w:p w14:paraId="6E8F7795" w14:textId="027A3BA3" w:rsidR="0025722B" w:rsidRDefault="0025722B" w:rsidP="00BF3AA2">
      <w:pPr>
        <w:kinsoku w:val="0"/>
        <w:overflowPunct w:val="0"/>
        <w:autoSpaceDE/>
        <w:autoSpaceDN/>
        <w:adjustRightInd/>
        <w:jc w:val="center"/>
        <w:textAlignment w:val="baseline"/>
        <w:rPr>
          <w:b/>
          <w:spacing w:val="26"/>
          <w:sz w:val="28"/>
          <w:szCs w:val="28"/>
        </w:rPr>
      </w:pPr>
      <w:r w:rsidRPr="00580DD5">
        <w:rPr>
          <w:b/>
          <w:spacing w:val="26"/>
          <w:sz w:val="28"/>
          <w:szCs w:val="28"/>
        </w:rPr>
        <w:t>Note</w:t>
      </w:r>
    </w:p>
    <w:p w14:paraId="264E9563" w14:textId="77777777" w:rsidR="00580DD5" w:rsidRPr="00580DD5" w:rsidRDefault="00580DD5" w:rsidP="00BF3AA2">
      <w:pPr>
        <w:kinsoku w:val="0"/>
        <w:overflowPunct w:val="0"/>
        <w:autoSpaceDE/>
        <w:autoSpaceDN/>
        <w:adjustRightInd/>
        <w:jc w:val="center"/>
        <w:textAlignment w:val="baseline"/>
        <w:rPr>
          <w:b/>
          <w:spacing w:val="26"/>
          <w:sz w:val="28"/>
          <w:szCs w:val="28"/>
        </w:rPr>
      </w:pPr>
    </w:p>
    <w:p w14:paraId="0328F08D" w14:textId="555ED200" w:rsidR="00117C3E" w:rsidRPr="00580DD5" w:rsidRDefault="00580DD5" w:rsidP="00580DD5">
      <w:pPr>
        <w:tabs>
          <w:tab w:val="left" w:pos="720"/>
        </w:tabs>
        <w:kinsoku w:val="0"/>
        <w:overflowPunct w:val="0"/>
        <w:autoSpaceDE/>
        <w:autoSpaceDN/>
        <w:adjustRightInd/>
        <w:jc w:val="both"/>
        <w:textAlignment w:val="baseline"/>
        <w:rPr>
          <w:sz w:val="24"/>
        </w:rPr>
      </w:pPr>
      <w:r w:rsidRPr="00580DD5">
        <w:rPr>
          <w:b/>
          <w:sz w:val="24"/>
        </w:rPr>
        <w:tab/>
      </w:r>
      <w:r w:rsidR="0025722B" w:rsidRPr="00580DD5">
        <w:rPr>
          <w:b/>
          <w:sz w:val="24"/>
        </w:rPr>
        <w:t xml:space="preserve">Subdivision (1) </w:t>
      </w:r>
      <w:r w:rsidR="0025722B" w:rsidRPr="00580DD5">
        <w:rPr>
          <w:sz w:val="24"/>
        </w:rPr>
        <w:t>is derived from Court of Appeals decisions.</w:t>
      </w:r>
    </w:p>
    <w:p w14:paraId="2EF599C4" w14:textId="77777777" w:rsidR="00580DD5" w:rsidRPr="00580DD5" w:rsidRDefault="00580DD5" w:rsidP="00580DD5">
      <w:pPr>
        <w:kinsoku w:val="0"/>
        <w:overflowPunct w:val="0"/>
        <w:autoSpaceDE/>
        <w:autoSpaceDN/>
        <w:adjustRightInd/>
        <w:jc w:val="both"/>
        <w:textAlignment w:val="baseline"/>
        <w:rPr>
          <w:sz w:val="24"/>
        </w:rPr>
      </w:pPr>
    </w:p>
    <w:p w14:paraId="0CCB61C5" w14:textId="0F9693B3" w:rsidR="00117C3E" w:rsidRPr="00580DD5" w:rsidRDefault="00580DD5" w:rsidP="00580DD5">
      <w:pPr>
        <w:tabs>
          <w:tab w:val="left" w:pos="720"/>
        </w:tabs>
        <w:kinsoku w:val="0"/>
        <w:overflowPunct w:val="0"/>
        <w:autoSpaceDE/>
        <w:autoSpaceDN/>
        <w:adjustRightInd/>
        <w:jc w:val="both"/>
        <w:textAlignment w:val="baseline"/>
        <w:rPr>
          <w:sz w:val="24"/>
        </w:rPr>
      </w:pPr>
      <w:r w:rsidRPr="00580DD5">
        <w:rPr>
          <w:b/>
          <w:sz w:val="24"/>
        </w:rPr>
        <w:tab/>
      </w:r>
      <w:r w:rsidR="0025722B" w:rsidRPr="00580DD5">
        <w:rPr>
          <w:b/>
          <w:sz w:val="24"/>
        </w:rPr>
        <w:t>Subdivision (1)</w:t>
      </w:r>
      <w:r w:rsidR="00131BAB" w:rsidRPr="00580DD5">
        <w:rPr>
          <w:b/>
          <w:sz w:val="24"/>
        </w:rPr>
        <w:t xml:space="preserve"> </w:t>
      </w:r>
      <w:r w:rsidR="0025722B" w:rsidRPr="00580DD5">
        <w:rPr>
          <w:b/>
          <w:sz w:val="24"/>
        </w:rPr>
        <w:t xml:space="preserve">(a) </w:t>
      </w:r>
      <w:r w:rsidR="0025722B" w:rsidRPr="00580DD5">
        <w:rPr>
          <w:sz w:val="24"/>
        </w:rPr>
        <w:t xml:space="preserve">sets forth the holding of </w:t>
      </w:r>
      <w:r w:rsidR="0025722B" w:rsidRPr="00580DD5">
        <w:rPr>
          <w:i/>
          <w:sz w:val="24"/>
        </w:rPr>
        <w:t xml:space="preserve">People v Hughes </w:t>
      </w:r>
      <w:r w:rsidR="0025722B" w:rsidRPr="00580DD5">
        <w:rPr>
          <w:sz w:val="24"/>
        </w:rPr>
        <w:t>(59 NY2d 523, 545 [1983] [“the defendant is entitled to a new trial because the trial court should not have permitted the victim to testify to events recalled after the hypnotic sessions”])</w:t>
      </w:r>
      <w:r w:rsidR="00117C3E" w:rsidRPr="00580DD5">
        <w:rPr>
          <w:sz w:val="24"/>
        </w:rPr>
        <w:t>.</w:t>
      </w:r>
    </w:p>
    <w:p w14:paraId="0983285D" w14:textId="77777777" w:rsidR="00580DD5" w:rsidRPr="00580DD5" w:rsidRDefault="00580DD5" w:rsidP="00580DD5">
      <w:pPr>
        <w:kinsoku w:val="0"/>
        <w:overflowPunct w:val="0"/>
        <w:autoSpaceDE/>
        <w:autoSpaceDN/>
        <w:adjustRightInd/>
        <w:jc w:val="both"/>
        <w:textAlignment w:val="baseline"/>
        <w:rPr>
          <w:sz w:val="24"/>
        </w:rPr>
      </w:pPr>
    </w:p>
    <w:p w14:paraId="229BD35E" w14:textId="5AB5D141" w:rsidR="00117C3E" w:rsidRPr="00580DD5" w:rsidRDefault="00580DD5" w:rsidP="00580DD5">
      <w:pPr>
        <w:tabs>
          <w:tab w:val="left" w:pos="720"/>
        </w:tabs>
        <w:kinsoku w:val="0"/>
        <w:overflowPunct w:val="0"/>
        <w:autoSpaceDE/>
        <w:autoSpaceDN/>
        <w:adjustRightInd/>
        <w:jc w:val="both"/>
        <w:textAlignment w:val="baseline"/>
        <w:rPr>
          <w:sz w:val="24"/>
        </w:rPr>
      </w:pPr>
      <w:r w:rsidRPr="00580DD5">
        <w:rPr>
          <w:sz w:val="24"/>
        </w:rPr>
        <w:tab/>
      </w:r>
      <w:r w:rsidR="00117C3E" w:rsidRPr="00580DD5">
        <w:rPr>
          <w:sz w:val="24"/>
        </w:rPr>
        <w:t>S</w:t>
      </w:r>
      <w:r w:rsidR="0025722B" w:rsidRPr="00580DD5">
        <w:rPr>
          <w:b/>
          <w:sz w:val="24"/>
        </w:rPr>
        <w:t>ubdivision (1)</w:t>
      </w:r>
      <w:r w:rsidR="00131BAB" w:rsidRPr="00580DD5">
        <w:rPr>
          <w:b/>
          <w:sz w:val="24"/>
        </w:rPr>
        <w:t xml:space="preserve"> </w:t>
      </w:r>
      <w:r w:rsidR="0025722B" w:rsidRPr="00580DD5">
        <w:rPr>
          <w:b/>
          <w:sz w:val="24"/>
        </w:rPr>
        <w:t xml:space="preserve">(b) </w:t>
      </w:r>
      <w:r w:rsidR="0025722B" w:rsidRPr="00580DD5">
        <w:rPr>
          <w:sz w:val="24"/>
        </w:rPr>
        <w:t xml:space="preserve">sets forth the holding of </w:t>
      </w:r>
      <w:r w:rsidR="0025722B" w:rsidRPr="00580DD5">
        <w:rPr>
          <w:i/>
          <w:sz w:val="24"/>
        </w:rPr>
        <w:t xml:space="preserve">People v Hults </w:t>
      </w:r>
      <w:r w:rsidR="0025722B" w:rsidRPr="00580DD5">
        <w:rPr>
          <w:sz w:val="24"/>
        </w:rPr>
        <w:t>(76 NY2d 190, 192 [1990] [“hypnotic statements are, as a general rule, also inadmissible for purposes of impeachment”])</w:t>
      </w:r>
      <w:r w:rsidR="00117C3E" w:rsidRPr="00580DD5">
        <w:rPr>
          <w:sz w:val="24"/>
        </w:rPr>
        <w:t>.</w:t>
      </w:r>
      <w:r w:rsidR="00284917" w:rsidRPr="00580DD5">
        <w:rPr>
          <w:sz w:val="24"/>
        </w:rPr>
        <w:t xml:space="preserve">  Thus far, </w:t>
      </w:r>
      <w:r w:rsidR="00E459D1" w:rsidRPr="00580DD5">
        <w:rPr>
          <w:sz w:val="24"/>
        </w:rPr>
        <w:t xml:space="preserve">there has been </w:t>
      </w:r>
      <w:r w:rsidR="00284917" w:rsidRPr="00580DD5">
        <w:rPr>
          <w:sz w:val="24"/>
        </w:rPr>
        <w:t xml:space="preserve">no exception </w:t>
      </w:r>
      <w:r w:rsidR="00A33889" w:rsidRPr="00580DD5">
        <w:rPr>
          <w:sz w:val="24"/>
        </w:rPr>
        <w:t xml:space="preserve">made </w:t>
      </w:r>
      <w:r w:rsidR="00284917" w:rsidRPr="00580DD5">
        <w:rPr>
          <w:sz w:val="24"/>
        </w:rPr>
        <w:t>to the “general rule</w:t>
      </w:r>
      <w:r w:rsidR="00144D03" w:rsidRPr="00580DD5">
        <w:rPr>
          <w:sz w:val="24"/>
        </w:rPr>
        <w:t>.</w:t>
      </w:r>
      <w:r w:rsidR="00284917" w:rsidRPr="00580DD5">
        <w:rPr>
          <w:sz w:val="24"/>
        </w:rPr>
        <w:t>”</w:t>
      </w:r>
    </w:p>
    <w:p w14:paraId="4645A7BA" w14:textId="77777777" w:rsidR="00580DD5" w:rsidRPr="00580DD5" w:rsidRDefault="00580DD5" w:rsidP="00580DD5">
      <w:pPr>
        <w:kinsoku w:val="0"/>
        <w:overflowPunct w:val="0"/>
        <w:autoSpaceDE/>
        <w:autoSpaceDN/>
        <w:adjustRightInd/>
        <w:jc w:val="both"/>
        <w:textAlignment w:val="baseline"/>
        <w:rPr>
          <w:sz w:val="24"/>
        </w:rPr>
      </w:pPr>
    </w:p>
    <w:p w14:paraId="10EB7795" w14:textId="4BC418FB" w:rsidR="0025722B" w:rsidRPr="00580DD5" w:rsidRDefault="00580DD5" w:rsidP="00580DD5">
      <w:pPr>
        <w:tabs>
          <w:tab w:val="left" w:pos="720"/>
        </w:tabs>
        <w:kinsoku w:val="0"/>
        <w:overflowPunct w:val="0"/>
        <w:autoSpaceDE/>
        <w:autoSpaceDN/>
        <w:adjustRightInd/>
        <w:jc w:val="both"/>
        <w:textAlignment w:val="baseline"/>
        <w:rPr>
          <w:sz w:val="24"/>
        </w:rPr>
      </w:pPr>
      <w:r w:rsidRPr="00580DD5">
        <w:rPr>
          <w:b/>
          <w:sz w:val="24"/>
        </w:rPr>
        <w:tab/>
      </w:r>
      <w:r w:rsidR="00117C3E" w:rsidRPr="00580DD5">
        <w:rPr>
          <w:b/>
          <w:sz w:val="24"/>
        </w:rPr>
        <w:t>S</w:t>
      </w:r>
      <w:r w:rsidR="0025722B" w:rsidRPr="00580DD5">
        <w:rPr>
          <w:b/>
          <w:sz w:val="24"/>
        </w:rPr>
        <w:t>ubdivision (1)</w:t>
      </w:r>
      <w:r w:rsidR="00131BAB" w:rsidRPr="00580DD5">
        <w:rPr>
          <w:b/>
          <w:sz w:val="24"/>
        </w:rPr>
        <w:t xml:space="preserve"> </w:t>
      </w:r>
      <w:r w:rsidR="0025722B" w:rsidRPr="00580DD5">
        <w:rPr>
          <w:b/>
          <w:sz w:val="24"/>
        </w:rPr>
        <w:t xml:space="preserve">(c) </w:t>
      </w:r>
      <w:r w:rsidR="0025722B" w:rsidRPr="00580DD5">
        <w:rPr>
          <w:sz w:val="24"/>
        </w:rPr>
        <w:t xml:space="preserve">sets forth the holding of </w:t>
      </w:r>
      <w:r w:rsidR="0025722B" w:rsidRPr="00580DD5">
        <w:rPr>
          <w:i/>
          <w:sz w:val="24"/>
        </w:rPr>
        <w:t xml:space="preserve">People v Schreiner </w:t>
      </w:r>
      <w:r w:rsidR="0025722B" w:rsidRPr="00580DD5">
        <w:rPr>
          <w:sz w:val="24"/>
        </w:rPr>
        <w:t xml:space="preserve">(77 NY2d 733, 734 [1991] [a defendant’s statement which had been </w:t>
      </w:r>
      <w:r w:rsidR="00131BAB" w:rsidRPr="00580DD5">
        <w:rPr>
          <w:sz w:val="24"/>
        </w:rPr>
        <w:t>“</w:t>
      </w:r>
      <w:r w:rsidR="0025722B" w:rsidRPr="00580DD5">
        <w:rPr>
          <w:sz w:val="24"/>
        </w:rPr>
        <w:t>hypnotically induced</w:t>
      </w:r>
      <w:r w:rsidR="00131BAB" w:rsidRPr="00580DD5">
        <w:rPr>
          <w:sz w:val="24"/>
        </w:rPr>
        <w:t>”</w:t>
      </w:r>
      <w:r w:rsidR="0025722B" w:rsidRPr="00580DD5">
        <w:rPr>
          <w:sz w:val="24"/>
        </w:rPr>
        <w:t xml:space="preserve"> during a psychiatric examination </w:t>
      </w:r>
      <w:r w:rsidR="00131BAB" w:rsidRPr="00580DD5">
        <w:rPr>
          <w:sz w:val="24"/>
        </w:rPr>
        <w:t>“</w:t>
      </w:r>
      <w:r w:rsidR="0025722B" w:rsidRPr="00580DD5">
        <w:rPr>
          <w:sz w:val="24"/>
        </w:rPr>
        <w:t xml:space="preserve">in which he confessed to the murder </w:t>
      </w:r>
      <w:r w:rsidR="00131BAB" w:rsidRPr="00580DD5">
        <w:rPr>
          <w:sz w:val="24"/>
        </w:rPr>
        <w:t xml:space="preserve">. . . </w:t>
      </w:r>
      <w:r w:rsidR="0025722B" w:rsidRPr="00580DD5">
        <w:rPr>
          <w:sz w:val="24"/>
        </w:rPr>
        <w:t>was improperly received in evidence against him”]).</w:t>
      </w:r>
    </w:p>
    <w:p w14:paraId="34115C12" w14:textId="77777777" w:rsidR="00580DD5" w:rsidRPr="00580DD5" w:rsidRDefault="00580DD5" w:rsidP="00580DD5">
      <w:pPr>
        <w:kinsoku w:val="0"/>
        <w:overflowPunct w:val="0"/>
        <w:autoSpaceDE/>
        <w:autoSpaceDN/>
        <w:adjustRightInd/>
        <w:jc w:val="both"/>
        <w:textAlignment w:val="baseline"/>
        <w:rPr>
          <w:sz w:val="24"/>
        </w:rPr>
      </w:pPr>
    </w:p>
    <w:p w14:paraId="34574AB3" w14:textId="14866928" w:rsidR="0025722B" w:rsidRPr="00580DD5" w:rsidRDefault="00580DD5" w:rsidP="00580DD5">
      <w:pPr>
        <w:tabs>
          <w:tab w:val="left" w:pos="720"/>
        </w:tabs>
        <w:kinsoku w:val="0"/>
        <w:overflowPunct w:val="0"/>
        <w:autoSpaceDE/>
        <w:autoSpaceDN/>
        <w:adjustRightInd/>
        <w:jc w:val="both"/>
        <w:textAlignment w:val="baseline"/>
        <w:rPr>
          <w:sz w:val="24"/>
        </w:rPr>
      </w:pPr>
      <w:r w:rsidRPr="00580DD5">
        <w:rPr>
          <w:b/>
          <w:sz w:val="24"/>
        </w:rPr>
        <w:tab/>
      </w:r>
      <w:r w:rsidR="0025722B" w:rsidRPr="00580DD5">
        <w:rPr>
          <w:b/>
          <w:sz w:val="24"/>
        </w:rPr>
        <w:t>Subdivision (2)</w:t>
      </w:r>
      <w:r w:rsidR="0025722B" w:rsidRPr="00580DD5">
        <w:rPr>
          <w:bCs/>
          <w:sz w:val="24"/>
        </w:rPr>
        <w:t xml:space="preserve"> is</w:t>
      </w:r>
      <w:r w:rsidR="0025722B" w:rsidRPr="00580DD5">
        <w:rPr>
          <w:sz w:val="24"/>
        </w:rPr>
        <w:t xml:space="preserve"> derived from </w:t>
      </w:r>
      <w:r w:rsidR="0025722B" w:rsidRPr="00580DD5">
        <w:rPr>
          <w:i/>
          <w:sz w:val="24"/>
        </w:rPr>
        <w:t>Hughes</w:t>
      </w:r>
      <w:r w:rsidR="00144D03" w:rsidRPr="001749CB">
        <w:rPr>
          <w:iCs/>
          <w:sz w:val="24"/>
        </w:rPr>
        <w:t>,</w:t>
      </w:r>
      <w:r w:rsidR="0025722B" w:rsidRPr="00580DD5">
        <w:rPr>
          <w:i/>
          <w:sz w:val="24"/>
        </w:rPr>
        <w:t xml:space="preserve"> </w:t>
      </w:r>
      <w:r w:rsidR="0025722B" w:rsidRPr="00580DD5">
        <w:rPr>
          <w:sz w:val="24"/>
        </w:rPr>
        <w:t>which held that the “pretrial use of hypnosis does not necessarily render the witness incompetent to testify to events recalled prior to being hypnotized”</w:t>
      </w:r>
      <w:r w:rsidR="00131BAB" w:rsidRPr="00580DD5">
        <w:rPr>
          <w:sz w:val="24"/>
        </w:rPr>
        <w:t xml:space="preserve"> (</w:t>
      </w:r>
      <w:r w:rsidR="0025722B" w:rsidRPr="00580DD5">
        <w:rPr>
          <w:i/>
          <w:sz w:val="24"/>
        </w:rPr>
        <w:t xml:space="preserve">Hughes </w:t>
      </w:r>
      <w:r w:rsidR="0025722B" w:rsidRPr="00580DD5">
        <w:rPr>
          <w:sz w:val="24"/>
        </w:rPr>
        <w:t>at 545</w:t>
      </w:r>
      <w:r w:rsidR="00131BAB" w:rsidRPr="00580DD5">
        <w:rPr>
          <w:sz w:val="24"/>
        </w:rPr>
        <w:t>)</w:t>
      </w:r>
      <w:r w:rsidR="0025722B" w:rsidRPr="00580DD5">
        <w:rPr>
          <w:sz w:val="24"/>
        </w:rPr>
        <w:t>.</w:t>
      </w:r>
    </w:p>
    <w:p w14:paraId="13EB805D" w14:textId="77777777" w:rsidR="00580DD5" w:rsidRPr="00580DD5" w:rsidRDefault="00580DD5" w:rsidP="00580DD5">
      <w:pPr>
        <w:kinsoku w:val="0"/>
        <w:overflowPunct w:val="0"/>
        <w:autoSpaceDE/>
        <w:autoSpaceDN/>
        <w:adjustRightInd/>
        <w:jc w:val="both"/>
        <w:textAlignment w:val="baseline"/>
        <w:rPr>
          <w:sz w:val="24"/>
        </w:rPr>
      </w:pPr>
    </w:p>
    <w:p w14:paraId="13D97804" w14:textId="047C7581" w:rsidR="0025722B" w:rsidRPr="00580DD5" w:rsidRDefault="00580DD5" w:rsidP="00580DD5">
      <w:pPr>
        <w:tabs>
          <w:tab w:val="left" w:pos="720"/>
        </w:tabs>
        <w:kinsoku w:val="0"/>
        <w:overflowPunct w:val="0"/>
        <w:autoSpaceDE/>
        <w:autoSpaceDN/>
        <w:adjustRightInd/>
        <w:jc w:val="both"/>
        <w:textAlignment w:val="baseline"/>
        <w:rPr>
          <w:sz w:val="24"/>
        </w:rPr>
      </w:pPr>
      <w:r w:rsidRPr="00580DD5">
        <w:rPr>
          <w:sz w:val="24"/>
        </w:rPr>
        <w:tab/>
      </w:r>
      <w:r w:rsidR="0025722B" w:rsidRPr="00580DD5">
        <w:rPr>
          <w:sz w:val="24"/>
        </w:rPr>
        <w:t>A pretrial hearing, however, is required to determine “the extent of the witness</w:t>
      </w:r>
      <w:r w:rsidR="00636319">
        <w:rPr>
          <w:sz w:val="24"/>
        </w:rPr>
        <w:t>’</w:t>
      </w:r>
      <w:r w:rsidR="0025722B" w:rsidRPr="00580DD5">
        <w:rPr>
          <w:sz w:val="24"/>
        </w:rPr>
        <w:t xml:space="preserve">s prehypnotic recollection (which would establish the boundaries of admissible testimony) and whether the hypnosis was so impermissibly suggestive as to require exclusion of in-court testimony with respect to such prehypnotic recollection” </w:t>
      </w:r>
      <w:r w:rsidR="002C419C" w:rsidRPr="00580DD5">
        <w:rPr>
          <w:sz w:val="24"/>
        </w:rPr>
        <w:t>(</w:t>
      </w:r>
      <w:r w:rsidR="0025722B" w:rsidRPr="00580DD5">
        <w:rPr>
          <w:i/>
          <w:sz w:val="24"/>
        </w:rPr>
        <w:t xml:space="preserve">Hughes </w:t>
      </w:r>
      <w:r w:rsidR="0025722B" w:rsidRPr="00580DD5">
        <w:rPr>
          <w:sz w:val="24"/>
        </w:rPr>
        <w:t>at 546</w:t>
      </w:r>
      <w:r w:rsidR="002C419C" w:rsidRPr="00580DD5">
        <w:rPr>
          <w:sz w:val="24"/>
        </w:rPr>
        <w:t>)</w:t>
      </w:r>
      <w:r w:rsidR="0025722B" w:rsidRPr="00580DD5">
        <w:rPr>
          <w:sz w:val="24"/>
        </w:rPr>
        <w:t>.</w:t>
      </w:r>
    </w:p>
    <w:p w14:paraId="6A494868" w14:textId="77777777" w:rsidR="00580DD5" w:rsidRPr="00580DD5" w:rsidRDefault="00580DD5" w:rsidP="00580DD5">
      <w:pPr>
        <w:kinsoku w:val="0"/>
        <w:overflowPunct w:val="0"/>
        <w:autoSpaceDE/>
        <w:autoSpaceDN/>
        <w:adjustRightInd/>
        <w:jc w:val="both"/>
        <w:textAlignment w:val="baseline"/>
        <w:rPr>
          <w:sz w:val="24"/>
        </w:rPr>
      </w:pPr>
    </w:p>
    <w:p w14:paraId="18DDF3C4" w14:textId="11AC034B" w:rsidR="0025722B" w:rsidRPr="00580DD5" w:rsidRDefault="00580DD5" w:rsidP="00580DD5">
      <w:pPr>
        <w:tabs>
          <w:tab w:val="left" w:pos="720"/>
        </w:tabs>
        <w:kinsoku w:val="0"/>
        <w:overflowPunct w:val="0"/>
        <w:autoSpaceDE/>
        <w:autoSpaceDN/>
        <w:adjustRightInd/>
        <w:jc w:val="both"/>
        <w:textAlignment w:val="baseline"/>
        <w:rPr>
          <w:sz w:val="24"/>
        </w:rPr>
      </w:pPr>
      <w:r w:rsidRPr="00580DD5">
        <w:rPr>
          <w:sz w:val="24"/>
        </w:rPr>
        <w:tab/>
      </w:r>
      <w:r w:rsidR="0025722B" w:rsidRPr="00580DD5">
        <w:rPr>
          <w:sz w:val="24"/>
        </w:rPr>
        <w:t>At that hearing, “evidence, testimonial and documentary</w:t>
      </w:r>
      <w:r w:rsidR="00330AAB" w:rsidRPr="00580DD5">
        <w:rPr>
          <w:sz w:val="24"/>
        </w:rPr>
        <w:t>,</w:t>
      </w:r>
      <w:r w:rsidR="0025722B" w:rsidRPr="00580DD5">
        <w:rPr>
          <w:sz w:val="24"/>
        </w:rPr>
        <w:t xml:space="preserve"> which </w:t>
      </w:r>
      <w:r w:rsidR="00846DCB" w:rsidRPr="00580DD5">
        <w:rPr>
          <w:sz w:val="24"/>
        </w:rPr>
        <w:t xml:space="preserve">is </w:t>
      </w:r>
      <w:r w:rsidR="0025722B" w:rsidRPr="00580DD5">
        <w:rPr>
          <w:sz w:val="24"/>
        </w:rPr>
        <w:t xml:space="preserve">material to the determination </w:t>
      </w:r>
      <w:r w:rsidR="00330AAB" w:rsidRPr="00580DD5">
        <w:rPr>
          <w:sz w:val="24"/>
        </w:rPr>
        <w:t xml:space="preserve">thereof </w:t>
      </w:r>
      <w:r w:rsidR="0025722B" w:rsidRPr="00580DD5">
        <w:rPr>
          <w:sz w:val="24"/>
        </w:rPr>
        <w:t xml:space="preserve">should be received . . . without rigid application of the hearsay rule” </w:t>
      </w:r>
      <w:r w:rsidR="00330AAB" w:rsidRPr="00580DD5">
        <w:rPr>
          <w:sz w:val="24"/>
        </w:rPr>
        <w:t>(</w:t>
      </w:r>
      <w:r w:rsidR="0025722B" w:rsidRPr="00580DD5">
        <w:rPr>
          <w:i/>
          <w:sz w:val="24"/>
        </w:rPr>
        <w:t xml:space="preserve">Hughes </w:t>
      </w:r>
      <w:r w:rsidR="0025722B" w:rsidRPr="00580DD5">
        <w:rPr>
          <w:sz w:val="24"/>
        </w:rPr>
        <w:t>at 547</w:t>
      </w:r>
      <w:r w:rsidR="00330AAB" w:rsidRPr="00580DD5">
        <w:rPr>
          <w:sz w:val="24"/>
        </w:rPr>
        <w:t>)</w:t>
      </w:r>
      <w:r w:rsidR="0025722B" w:rsidRPr="00580DD5">
        <w:rPr>
          <w:sz w:val="24"/>
        </w:rPr>
        <w:t>.</w:t>
      </w:r>
      <w:r w:rsidR="00373EAB">
        <w:rPr>
          <w:sz w:val="24"/>
        </w:rPr>
        <w:t xml:space="preserve"> </w:t>
      </w:r>
      <w:r w:rsidR="00292041" w:rsidRPr="00580DD5">
        <w:rPr>
          <w:sz w:val="24"/>
        </w:rPr>
        <w:t>T</w:t>
      </w:r>
      <w:r w:rsidR="0025722B" w:rsidRPr="00580DD5">
        <w:rPr>
          <w:sz w:val="24"/>
        </w:rPr>
        <w:t>he burden of proof rests upon the People to demonstrate by “clear and convincing proof that the testimony of the witness as to his or her prehypnotic recollection will be reliable and that there has been no substantial impairment of the defendant</w:t>
      </w:r>
      <w:r w:rsidR="00636319">
        <w:rPr>
          <w:sz w:val="24"/>
        </w:rPr>
        <w:t>’</w:t>
      </w:r>
      <w:r w:rsidR="0025722B" w:rsidRPr="00580DD5">
        <w:rPr>
          <w:sz w:val="24"/>
        </w:rPr>
        <w:t>s right of cross-examination” (</w:t>
      </w:r>
      <w:r w:rsidR="0025722B" w:rsidRPr="00580DD5">
        <w:rPr>
          <w:i/>
          <w:sz w:val="24"/>
        </w:rPr>
        <w:t xml:space="preserve">Hughes </w:t>
      </w:r>
      <w:r w:rsidR="0025722B" w:rsidRPr="00580DD5">
        <w:rPr>
          <w:sz w:val="24"/>
        </w:rPr>
        <w:t xml:space="preserve">at 547; </w:t>
      </w:r>
      <w:r w:rsidR="0025722B" w:rsidRPr="00580DD5">
        <w:rPr>
          <w:i/>
          <w:sz w:val="24"/>
        </w:rPr>
        <w:t>see People v Tunstall</w:t>
      </w:r>
      <w:r w:rsidR="00330AAB" w:rsidRPr="00580DD5">
        <w:rPr>
          <w:sz w:val="24"/>
        </w:rPr>
        <w:t xml:space="preserve">, </w:t>
      </w:r>
      <w:r w:rsidR="0025722B" w:rsidRPr="00580DD5">
        <w:rPr>
          <w:sz w:val="24"/>
        </w:rPr>
        <w:t>63 NY2d 1, 8 [1984] [the defendant was entitled to a hearing on his claim that “the victim</w:t>
      </w:r>
      <w:r w:rsidR="00636319">
        <w:rPr>
          <w:sz w:val="24"/>
        </w:rPr>
        <w:t>’</w:t>
      </w:r>
      <w:r w:rsidR="0025722B" w:rsidRPr="00580DD5">
        <w:rPr>
          <w:sz w:val="24"/>
        </w:rPr>
        <w:t>s confidence in her prehypnotic recollections, such as her identification of defendant, may have been artificially enhanced by the hypnotic process, thereby impairing defense counsel</w:t>
      </w:r>
      <w:r w:rsidR="00636319">
        <w:rPr>
          <w:sz w:val="24"/>
        </w:rPr>
        <w:t>’</w:t>
      </w:r>
      <w:r w:rsidR="0025722B" w:rsidRPr="00580DD5">
        <w:rPr>
          <w:sz w:val="24"/>
        </w:rPr>
        <w:t>s ability to conduct a meaningful cross-examination of her”]).</w:t>
      </w:r>
    </w:p>
    <w:p w14:paraId="31E26530" w14:textId="77777777" w:rsidR="00580DD5" w:rsidRPr="00580DD5" w:rsidRDefault="00580DD5" w:rsidP="00580DD5">
      <w:pPr>
        <w:kinsoku w:val="0"/>
        <w:overflowPunct w:val="0"/>
        <w:autoSpaceDE/>
        <w:autoSpaceDN/>
        <w:adjustRightInd/>
        <w:jc w:val="both"/>
        <w:textAlignment w:val="baseline"/>
        <w:rPr>
          <w:sz w:val="24"/>
        </w:rPr>
      </w:pPr>
    </w:p>
    <w:p w14:paraId="128CAC66" w14:textId="4D292F69" w:rsidR="0025722B" w:rsidRPr="00580DD5" w:rsidRDefault="00580DD5" w:rsidP="00580DD5">
      <w:pPr>
        <w:tabs>
          <w:tab w:val="left" w:pos="720"/>
        </w:tabs>
        <w:kinsoku w:val="0"/>
        <w:overflowPunct w:val="0"/>
        <w:autoSpaceDE/>
        <w:autoSpaceDN/>
        <w:adjustRightInd/>
        <w:jc w:val="both"/>
        <w:textAlignment w:val="baseline"/>
        <w:rPr>
          <w:sz w:val="24"/>
        </w:rPr>
      </w:pPr>
      <w:r w:rsidRPr="00580DD5">
        <w:rPr>
          <w:spacing w:val="-2"/>
          <w:sz w:val="24"/>
        </w:rPr>
        <w:tab/>
      </w:r>
      <w:r w:rsidR="0025722B" w:rsidRPr="00580DD5">
        <w:rPr>
          <w:spacing w:val="-2"/>
          <w:sz w:val="24"/>
        </w:rPr>
        <w:t xml:space="preserve">On the remand of </w:t>
      </w:r>
      <w:r w:rsidR="0025722B" w:rsidRPr="00580DD5">
        <w:rPr>
          <w:i/>
          <w:spacing w:val="-2"/>
          <w:sz w:val="24"/>
        </w:rPr>
        <w:t xml:space="preserve">Hughes </w:t>
      </w:r>
      <w:r w:rsidR="0025722B" w:rsidRPr="00580DD5">
        <w:rPr>
          <w:spacing w:val="-2"/>
          <w:sz w:val="24"/>
        </w:rPr>
        <w:t xml:space="preserve">from the Court of Appeals, a hearing was conducted; the hearing was, however, ultimately found to be deficient for failure to </w:t>
      </w:r>
      <w:r w:rsidR="00C97FFD" w:rsidRPr="00580DD5">
        <w:rPr>
          <w:spacing w:val="-2"/>
          <w:sz w:val="24"/>
        </w:rPr>
        <w:t xml:space="preserve">adequately </w:t>
      </w:r>
      <w:r w:rsidR="0025722B" w:rsidRPr="00580DD5">
        <w:rPr>
          <w:spacing w:val="-2"/>
          <w:sz w:val="24"/>
        </w:rPr>
        <w:t>explore the propriety of admitting the prehypnotic testimony of the witness</w:t>
      </w:r>
      <w:r w:rsidR="001E05A3" w:rsidRPr="00580DD5">
        <w:rPr>
          <w:spacing w:val="-2"/>
          <w:sz w:val="24"/>
        </w:rPr>
        <w:t>. The court “</w:t>
      </w:r>
      <w:r w:rsidR="00C47CD5" w:rsidRPr="00580DD5">
        <w:rPr>
          <w:spacing w:val="-2"/>
          <w:sz w:val="24"/>
        </w:rPr>
        <w:t>heard no expert testimony whatsoever on the suggestiveness of the hypnotic procedures that had been used</w:t>
      </w:r>
      <w:r w:rsidR="00124E8E" w:rsidRPr="00580DD5">
        <w:rPr>
          <w:spacing w:val="-2"/>
          <w:sz w:val="24"/>
        </w:rPr>
        <w:t xml:space="preserve"> . . . </w:t>
      </w:r>
      <w:r w:rsidR="00C47CD5" w:rsidRPr="00580DD5">
        <w:rPr>
          <w:spacing w:val="-2"/>
          <w:sz w:val="24"/>
        </w:rPr>
        <w:t>Moreover, although the court viewed that portion of a videotape showing the victim</w:t>
      </w:r>
      <w:r w:rsidR="00636319">
        <w:rPr>
          <w:spacing w:val="-2"/>
          <w:sz w:val="24"/>
        </w:rPr>
        <w:t>’</w:t>
      </w:r>
      <w:r w:rsidR="00C47CD5" w:rsidRPr="00580DD5">
        <w:rPr>
          <w:spacing w:val="-2"/>
          <w:sz w:val="24"/>
        </w:rPr>
        <w:t xml:space="preserve">s interview, prior to hypnosis, about </w:t>
      </w:r>
      <w:r w:rsidR="00C47CD5" w:rsidRPr="00580DD5">
        <w:rPr>
          <w:spacing w:val="-2"/>
          <w:sz w:val="24"/>
        </w:rPr>
        <w:lastRenderedPageBreak/>
        <w:t>her prehypnotic recollection, the court did not view that portion covering the hypnotic session itself</w:t>
      </w:r>
      <w:r w:rsidR="00124E8E" w:rsidRPr="00580DD5">
        <w:rPr>
          <w:spacing w:val="-2"/>
          <w:sz w:val="24"/>
        </w:rPr>
        <w:t>”</w:t>
      </w:r>
      <w:r w:rsidR="00502EA9" w:rsidRPr="00580DD5">
        <w:rPr>
          <w:spacing w:val="-2"/>
          <w:sz w:val="24"/>
        </w:rPr>
        <w:t xml:space="preserve"> </w:t>
      </w:r>
      <w:r w:rsidR="00502EA9" w:rsidRPr="00580DD5">
        <w:rPr>
          <w:b/>
          <w:bCs/>
          <w:spacing w:val="-2"/>
          <w:sz w:val="24"/>
        </w:rPr>
        <w:t xml:space="preserve"> </w:t>
      </w:r>
      <w:r w:rsidR="008F0DFC" w:rsidRPr="00580DD5">
        <w:rPr>
          <w:b/>
          <w:bCs/>
          <w:spacing w:val="-2"/>
          <w:sz w:val="24"/>
        </w:rPr>
        <w:t>(</w:t>
      </w:r>
      <w:r w:rsidR="0025722B" w:rsidRPr="00580DD5">
        <w:rPr>
          <w:i/>
          <w:sz w:val="24"/>
        </w:rPr>
        <w:t>People v Hughes</w:t>
      </w:r>
      <w:r w:rsidR="008F0DFC" w:rsidRPr="00580DD5">
        <w:rPr>
          <w:sz w:val="24"/>
        </w:rPr>
        <w:t>,</w:t>
      </w:r>
      <w:r w:rsidR="008F0DFC" w:rsidRPr="00580DD5">
        <w:rPr>
          <w:i/>
          <w:sz w:val="24"/>
        </w:rPr>
        <w:t xml:space="preserve"> </w:t>
      </w:r>
      <w:r w:rsidR="0025722B" w:rsidRPr="00580DD5">
        <w:rPr>
          <w:sz w:val="24"/>
        </w:rPr>
        <w:t>72 NY2d 1035</w:t>
      </w:r>
      <w:r w:rsidR="00146BBF" w:rsidRPr="00580DD5">
        <w:rPr>
          <w:sz w:val="24"/>
        </w:rPr>
        <w:t>, 10</w:t>
      </w:r>
      <w:r w:rsidR="00357587" w:rsidRPr="00580DD5">
        <w:rPr>
          <w:sz w:val="24"/>
        </w:rPr>
        <w:t>37-10</w:t>
      </w:r>
      <w:r w:rsidR="00146BBF" w:rsidRPr="00580DD5">
        <w:rPr>
          <w:sz w:val="24"/>
        </w:rPr>
        <w:t>38</w:t>
      </w:r>
      <w:r w:rsidR="0025722B" w:rsidRPr="00580DD5">
        <w:rPr>
          <w:sz w:val="24"/>
        </w:rPr>
        <w:t xml:space="preserve"> [1988]).</w:t>
      </w:r>
    </w:p>
    <w:p w14:paraId="7CD50134" w14:textId="77777777" w:rsidR="00580DD5" w:rsidRPr="00580DD5" w:rsidRDefault="00580DD5" w:rsidP="00580DD5">
      <w:pPr>
        <w:kinsoku w:val="0"/>
        <w:overflowPunct w:val="0"/>
        <w:autoSpaceDE/>
        <w:autoSpaceDN/>
        <w:adjustRightInd/>
        <w:jc w:val="both"/>
        <w:textAlignment w:val="baseline"/>
        <w:rPr>
          <w:spacing w:val="-2"/>
          <w:sz w:val="24"/>
        </w:rPr>
      </w:pPr>
    </w:p>
    <w:p w14:paraId="39BE8A37" w14:textId="794BD8A1" w:rsidR="0025722B" w:rsidRPr="00580DD5" w:rsidRDefault="00580DD5" w:rsidP="00580DD5">
      <w:pPr>
        <w:tabs>
          <w:tab w:val="left" w:pos="720"/>
        </w:tabs>
        <w:kinsoku w:val="0"/>
        <w:overflowPunct w:val="0"/>
        <w:autoSpaceDE/>
        <w:autoSpaceDN/>
        <w:adjustRightInd/>
        <w:textAlignment w:val="baseline"/>
        <w:rPr>
          <w:bCs/>
          <w:sz w:val="24"/>
        </w:rPr>
      </w:pPr>
      <w:r w:rsidRPr="00580DD5">
        <w:rPr>
          <w:b/>
          <w:sz w:val="24"/>
        </w:rPr>
        <w:tab/>
      </w:r>
      <w:r w:rsidR="0025722B" w:rsidRPr="00580DD5">
        <w:rPr>
          <w:b/>
          <w:sz w:val="24"/>
        </w:rPr>
        <w:t xml:space="preserve">Subdivision (3) </w:t>
      </w:r>
      <w:r w:rsidR="0025722B" w:rsidRPr="00580DD5">
        <w:rPr>
          <w:bCs/>
          <w:sz w:val="24"/>
        </w:rPr>
        <w:t xml:space="preserve">is based on the following holding of </w:t>
      </w:r>
      <w:r w:rsidR="0025722B" w:rsidRPr="00580DD5">
        <w:rPr>
          <w:bCs/>
          <w:i/>
          <w:iCs/>
          <w:sz w:val="24"/>
        </w:rPr>
        <w:t>Hughes</w:t>
      </w:r>
      <w:r w:rsidR="0025722B" w:rsidRPr="00580DD5">
        <w:rPr>
          <w:bCs/>
          <w:sz w:val="24"/>
        </w:rPr>
        <w:t>:</w:t>
      </w:r>
    </w:p>
    <w:p w14:paraId="0859B979" w14:textId="77777777" w:rsidR="00580DD5" w:rsidRPr="00580DD5" w:rsidRDefault="00580DD5" w:rsidP="00580DD5">
      <w:pPr>
        <w:kinsoku w:val="0"/>
        <w:overflowPunct w:val="0"/>
        <w:autoSpaceDE/>
        <w:autoSpaceDN/>
        <w:adjustRightInd/>
        <w:textAlignment w:val="baseline"/>
        <w:rPr>
          <w:bCs/>
          <w:sz w:val="24"/>
        </w:rPr>
      </w:pPr>
    </w:p>
    <w:p w14:paraId="1B851AA6" w14:textId="2480FF67" w:rsidR="005014F6" w:rsidRPr="00580DD5" w:rsidRDefault="0025722B" w:rsidP="00580DD5">
      <w:pPr>
        <w:tabs>
          <w:tab w:val="left" w:pos="1440"/>
        </w:tabs>
        <w:kinsoku w:val="0"/>
        <w:overflowPunct w:val="0"/>
        <w:autoSpaceDE/>
        <w:autoSpaceDN/>
        <w:adjustRightInd/>
        <w:ind w:left="720"/>
        <w:jc w:val="both"/>
        <w:textAlignment w:val="baseline"/>
        <w:rPr>
          <w:bCs/>
          <w:spacing w:val="-2"/>
          <w:sz w:val="24"/>
        </w:rPr>
      </w:pPr>
      <w:r w:rsidRPr="00580DD5">
        <w:rPr>
          <w:bCs/>
          <w:spacing w:val="-2"/>
          <w:sz w:val="24"/>
        </w:rPr>
        <w:t>“If the witness is held to be competent to testify, the defendant, of course, has the option at trial of introducing proof with respect to the hypnotic procedures followed as well as expert testimony concerning the potential effect of the hypnosis on the witness</w:t>
      </w:r>
      <w:r w:rsidR="00636319">
        <w:rPr>
          <w:bCs/>
          <w:spacing w:val="-2"/>
          <w:sz w:val="24"/>
        </w:rPr>
        <w:t>’</w:t>
      </w:r>
      <w:r w:rsidRPr="00580DD5">
        <w:rPr>
          <w:bCs/>
          <w:spacing w:val="-2"/>
          <w:sz w:val="24"/>
        </w:rPr>
        <w:t>s recollections. And since there is general agreement in the scientific community that a witness who has been hypnotized usually acquires some measure of confidence in events recalled under hypnosis, the court should charge the jury to that effect if the defendant requests it”</w:t>
      </w:r>
      <w:r w:rsidR="002E32B7" w:rsidRPr="00580DD5">
        <w:rPr>
          <w:bCs/>
          <w:spacing w:val="-2"/>
          <w:sz w:val="24"/>
        </w:rPr>
        <w:t xml:space="preserve"> (</w:t>
      </w:r>
      <w:r w:rsidRPr="00580DD5">
        <w:rPr>
          <w:bCs/>
          <w:i/>
          <w:spacing w:val="-2"/>
          <w:sz w:val="24"/>
        </w:rPr>
        <w:t>People v Hughes</w:t>
      </w:r>
      <w:r w:rsidRPr="00580DD5">
        <w:rPr>
          <w:bCs/>
          <w:spacing w:val="-2"/>
          <w:sz w:val="24"/>
        </w:rPr>
        <w:t>, 59 NY2d 523, 547-</w:t>
      </w:r>
      <w:r w:rsidR="00921917" w:rsidRPr="00580DD5">
        <w:rPr>
          <w:bCs/>
          <w:spacing w:val="-2"/>
          <w:sz w:val="24"/>
        </w:rPr>
        <w:t>5</w:t>
      </w:r>
      <w:r w:rsidRPr="00580DD5">
        <w:rPr>
          <w:bCs/>
          <w:spacing w:val="-2"/>
          <w:sz w:val="24"/>
        </w:rPr>
        <w:t>48 [1983]</w:t>
      </w:r>
      <w:r w:rsidR="002E32B7" w:rsidRPr="00580DD5">
        <w:rPr>
          <w:bCs/>
          <w:spacing w:val="-2"/>
          <w:sz w:val="24"/>
        </w:rPr>
        <w:t>;</w:t>
      </w:r>
      <w:r w:rsidRPr="00580DD5">
        <w:rPr>
          <w:bCs/>
          <w:spacing w:val="-2"/>
          <w:sz w:val="24"/>
        </w:rPr>
        <w:t xml:space="preserve"> </w:t>
      </w:r>
      <w:r w:rsidR="002E32B7" w:rsidRPr="00580DD5">
        <w:rPr>
          <w:bCs/>
          <w:spacing w:val="-2"/>
          <w:sz w:val="24"/>
        </w:rPr>
        <w:t>s</w:t>
      </w:r>
      <w:r w:rsidRPr="00580DD5">
        <w:rPr>
          <w:bCs/>
          <w:i/>
          <w:spacing w:val="-2"/>
          <w:sz w:val="24"/>
        </w:rPr>
        <w:t xml:space="preserve">ee </w:t>
      </w:r>
      <w:r w:rsidRPr="00580DD5">
        <w:rPr>
          <w:bCs/>
          <w:spacing w:val="-2"/>
          <w:sz w:val="24"/>
        </w:rPr>
        <w:t>CJI</w:t>
      </w:r>
      <w:r w:rsidR="00373EAB">
        <w:rPr>
          <w:bCs/>
          <w:spacing w:val="-2"/>
          <w:sz w:val="24"/>
        </w:rPr>
        <w:t>2d</w:t>
      </w:r>
      <w:r w:rsidRPr="00580DD5">
        <w:rPr>
          <w:bCs/>
          <w:spacing w:val="-2"/>
          <w:sz w:val="24"/>
        </w:rPr>
        <w:t>[NY] General Applicability, Witness</w:t>
      </w:r>
      <w:r w:rsidR="006815DB">
        <w:rPr>
          <w:bCs/>
          <w:spacing w:val="-2"/>
          <w:sz w:val="24"/>
        </w:rPr>
        <w:t xml:space="preserve"> Underwent Hypnosis</w:t>
      </w:r>
      <w:r w:rsidR="002E32B7" w:rsidRPr="00580DD5">
        <w:rPr>
          <w:bCs/>
          <w:spacing w:val="-2"/>
          <w:sz w:val="24"/>
        </w:rPr>
        <w:t>)</w:t>
      </w:r>
      <w:r w:rsidRPr="00580DD5">
        <w:rPr>
          <w:bCs/>
          <w:spacing w:val="-2"/>
          <w:sz w:val="24"/>
        </w:rPr>
        <w:t>.</w:t>
      </w:r>
    </w:p>
    <w:sectPr w:rsidR="005014F6" w:rsidRPr="00580DD5" w:rsidSect="00C80DDF">
      <w:footerReference w:type="default" r:id="rId8"/>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838A" w14:textId="77777777" w:rsidR="00085FF7" w:rsidRDefault="00085FF7" w:rsidP="008C2B5C">
      <w:r>
        <w:separator/>
      </w:r>
    </w:p>
  </w:endnote>
  <w:endnote w:type="continuationSeparator" w:id="0">
    <w:p w14:paraId="1A3B4F93" w14:textId="77777777" w:rsidR="00085FF7" w:rsidRDefault="00085FF7" w:rsidP="008C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53228"/>
      <w:docPartObj>
        <w:docPartGallery w:val="Page Numbers (Bottom of Page)"/>
        <w:docPartUnique/>
      </w:docPartObj>
    </w:sdtPr>
    <w:sdtEndPr>
      <w:rPr>
        <w:noProof/>
      </w:rPr>
    </w:sdtEndPr>
    <w:sdtContent>
      <w:p w14:paraId="36ADB435" w14:textId="7C660729" w:rsidR="00C80DDF" w:rsidRDefault="00C80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DB35D" w14:textId="77777777" w:rsidR="00C80DDF" w:rsidRDefault="00C8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5D1F" w14:textId="77777777" w:rsidR="00085FF7" w:rsidRDefault="00085FF7" w:rsidP="008C2B5C">
      <w:r>
        <w:separator/>
      </w:r>
    </w:p>
  </w:footnote>
  <w:footnote w:type="continuationSeparator" w:id="0">
    <w:p w14:paraId="643B6B12" w14:textId="77777777" w:rsidR="00085FF7" w:rsidRDefault="00085FF7" w:rsidP="008C2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06E"/>
    <w:multiLevelType w:val="hybridMultilevel"/>
    <w:tmpl w:val="BE2AC1CC"/>
    <w:lvl w:ilvl="0" w:tplc="86B2C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87AB9"/>
    <w:multiLevelType w:val="hybridMultilevel"/>
    <w:tmpl w:val="4F1A1958"/>
    <w:lvl w:ilvl="0" w:tplc="681C646E">
      <w:start w:val="2"/>
      <w:numFmt w:val="upperLetter"/>
      <w:lvlText w:val="(%1)"/>
      <w:lvlJc w:val="left"/>
      <w:pPr>
        <w:ind w:left="1383" w:hanging="375"/>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73870D5"/>
    <w:multiLevelType w:val="singleLevel"/>
    <w:tmpl w:val="2742929B"/>
    <w:lvl w:ilvl="0">
      <w:start w:val="1"/>
      <w:numFmt w:val="decimal"/>
      <w:lvlText w:val="(%1)"/>
      <w:lvlJc w:val="left"/>
      <w:pPr>
        <w:tabs>
          <w:tab w:val="num" w:pos="432"/>
        </w:tabs>
        <w:ind w:left="432" w:hanging="360"/>
      </w:pPr>
      <w:rPr>
        <w:b/>
        <w:snapToGrid/>
        <w:sz w:val="28"/>
      </w:rPr>
    </w:lvl>
  </w:abstractNum>
  <w:abstractNum w:abstractNumId="3" w15:restartNumberingAfterBreak="0">
    <w:nsid w:val="16FA2F3E"/>
    <w:multiLevelType w:val="hybridMultilevel"/>
    <w:tmpl w:val="FEE67C2E"/>
    <w:lvl w:ilvl="0" w:tplc="7D547F3E">
      <w:start w:val="1"/>
      <w:numFmt w:val="lowerLetter"/>
      <w:lvlText w:val="(%1)"/>
      <w:lvlJc w:val="left"/>
      <w:pPr>
        <w:ind w:left="1428" w:hanging="4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2B"/>
    <w:rsid w:val="00034608"/>
    <w:rsid w:val="0008400F"/>
    <w:rsid w:val="00085FF7"/>
    <w:rsid w:val="00117C3E"/>
    <w:rsid w:val="00124E8E"/>
    <w:rsid w:val="00131BAB"/>
    <w:rsid w:val="001325D5"/>
    <w:rsid w:val="00144D03"/>
    <w:rsid w:val="00146BBF"/>
    <w:rsid w:val="001749CB"/>
    <w:rsid w:val="00181BC1"/>
    <w:rsid w:val="001E05A3"/>
    <w:rsid w:val="0025722B"/>
    <w:rsid w:val="00284917"/>
    <w:rsid w:val="00292041"/>
    <w:rsid w:val="002B03B3"/>
    <w:rsid w:val="002B1A70"/>
    <w:rsid w:val="002C419C"/>
    <w:rsid w:val="002E13D4"/>
    <w:rsid w:val="002E32B7"/>
    <w:rsid w:val="00330AAB"/>
    <w:rsid w:val="00357587"/>
    <w:rsid w:val="00373EAB"/>
    <w:rsid w:val="003E42F5"/>
    <w:rsid w:val="004450E4"/>
    <w:rsid w:val="004875F4"/>
    <w:rsid w:val="005014F6"/>
    <w:rsid w:val="00502EA9"/>
    <w:rsid w:val="00524C87"/>
    <w:rsid w:val="00580DD5"/>
    <w:rsid w:val="005C3569"/>
    <w:rsid w:val="00636319"/>
    <w:rsid w:val="00643402"/>
    <w:rsid w:val="006815DB"/>
    <w:rsid w:val="00716379"/>
    <w:rsid w:val="00755AAE"/>
    <w:rsid w:val="00760664"/>
    <w:rsid w:val="007C2CDA"/>
    <w:rsid w:val="00833184"/>
    <w:rsid w:val="00846DCB"/>
    <w:rsid w:val="008510DF"/>
    <w:rsid w:val="008931FE"/>
    <w:rsid w:val="008A7EB1"/>
    <w:rsid w:val="008C2B5C"/>
    <w:rsid w:val="008F0DFC"/>
    <w:rsid w:val="009174F9"/>
    <w:rsid w:val="00921917"/>
    <w:rsid w:val="00A33889"/>
    <w:rsid w:val="00B95F08"/>
    <w:rsid w:val="00BC26DF"/>
    <w:rsid w:val="00BF3AA2"/>
    <w:rsid w:val="00C25890"/>
    <w:rsid w:val="00C47CD5"/>
    <w:rsid w:val="00C57F13"/>
    <w:rsid w:val="00C80DDF"/>
    <w:rsid w:val="00C97FFD"/>
    <w:rsid w:val="00CF2F0D"/>
    <w:rsid w:val="00D04B10"/>
    <w:rsid w:val="00D06AD9"/>
    <w:rsid w:val="00E00A19"/>
    <w:rsid w:val="00E04124"/>
    <w:rsid w:val="00E459D1"/>
    <w:rsid w:val="00E54815"/>
    <w:rsid w:val="00EE626C"/>
    <w:rsid w:val="00FA021A"/>
    <w:rsid w:val="00FB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F064"/>
  <w15:chartTrackingRefBased/>
  <w15:docId w15:val="{F1B42CD9-AE1A-4639-A99A-0E2C1B43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722B"/>
    <w:pPr>
      <w:widowControl w:val="0"/>
      <w:autoSpaceDE w:val="0"/>
      <w:autoSpaceDN w:val="0"/>
      <w:adjustRightInd w:val="0"/>
      <w:ind w:left="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5C"/>
    <w:pPr>
      <w:tabs>
        <w:tab w:val="center" w:pos="4680"/>
        <w:tab w:val="right" w:pos="9360"/>
      </w:tabs>
    </w:pPr>
  </w:style>
  <w:style w:type="character" w:customStyle="1" w:styleId="HeaderChar">
    <w:name w:val="Header Char"/>
    <w:basedOn w:val="DefaultParagraphFont"/>
    <w:link w:val="Header"/>
    <w:uiPriority w:val="99"/>
    <w:rsid w:val="008C2B5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C2B5C"/>
    <w:pPr>
      <w:tabs>
        <w:tab w:val="center" w:pos="4680"/>
        <w:tab w:val="right" w:pos="9360"/>
      </w:tabs>
    </w:pPr>
  </w:style>
  <w:style w:type="character" w:customStyle="1" w:styleId="FooterChar">
    <w:name w:val="Footer Char"/>
    <w:basedOn w:val="DefaultParagraphFont"/>
    <w:link w:val="Footer"/>
    <w:uiPriority w:val="99"/>
    <w:rsid w:val="008C2B5C"/>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131BAB"/>
    <w:rPr>
      <w:sz w:val="16"/>
      <w:szCs w:val="16"/>
    </w:rPr>
  </w:style>
  <w:style w:type="paragraph" w:styleId="CommentText">
    <w:name w:val="annotation text"/>
    <w:basedOn w:val="Normal"/>
    <w:link w:val="CommentTextChar"/>
    <w:uiPriority w:val="99"/>
    <w:semiHidden/>
    <w:unhideWhenUsed/>
    <w:rsid w:val="00131BAB"/>
    <w:rPr>
      <w:szCs w:val="20"/>
    </w:rPr>
  </w:style>
  <w:style w:type="character" w:customStyle="1" w:styleId="CommentTextChar">
    <w:name w:val="Comment Text Char"/>
    <w:basedOn w:val="DefaultParagraphFont"/>
    <w:link w:val="CommentText"/>
    <w:uiPriority w:val="99"/>
    <w:semiHidden/>
    <w:rsid w:val="00131B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BAB"/>
    <w:rPr>
      <w:b/>
      <w:bCs/>
    </w:rPr>
  </w:style>
  <w:style w:type="character" w:customStyle="1" w:styleId="CommentSubjectChar">
    <w:name w:val="Comment Subject Char"/>
    <w:basedOn w:val="CommentTextChar"/>
    <w:link w:val="CommentSubject"/>
    <w:uiPriority w:val="99"/>
    <w:semiHidden/>
    <w:rsid w:val="00131B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31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AB"/>
    <w:rPr>
      <w:rFonts w:ascii="Segoe UI" w:eastAsia="Times New Roman" w:hAnsi="Segoe UI" w:cs="Segoe UI"/>
      <w:sz w:val="18"/>
      <w:szCs w:val="18"/>
    </w:rPr>
  </w:style>
  <w:style w:type="paragraph" w:styleId="ListParagraph">
    <w:name w:val="List Paragraph"/>
    <w:basedOn w:val="Normal"/>
    <w:uiPriority w:val="34"/>
    <w:qFormat/>
    <w:rsid w:val="00BF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7510">
      <w:bodyDiv w:val="1"/>
      <w:marLeft w:val="0"/>
      <w:marRight w:val="0"/>
      <w:marTop w:val="0"/>
      <w:marBottom w:val="0"/>
      <w:divBdr>
        <w:top w:val="none" w:sz="0" w:space="0" w:color="auto"/>
        <w:left w:val="none" w:sz="0" w:space="0" w:color="auto"/>
        <w:bottom w:val="none" w:sz="0" w:space="0" w:color="auto"/>
        <w:right w:val="none" w:sz="0" w:space="0" w:color="auto"/>
      </w:divBdr>
      <w:divsChild>
        <w:div w:id="1710758411">
          <w:marLeft w:val="0"/>
          <w:marRight w:val="0"/>
          <w:marTop w:val="0"/>
          <w:marBottom w:val="0"/>
          <w:divBdr>
            <w:top w:val="none" w:sz="0" w:space="0" w:color="auto"/>
            <w:left w:val="none" w:sz="0" w:space="0" w:color="auto"/>
            <w:bottom w:val="none" w:sz="0" w:space="0" w:color="auto"/>
            <w:right w:val="none" w:sz="0" w:space="0" w:color="auto"/>
          </w:divBdr>
          <w:divsChild>
            <w:div w:id="1305309364">
              <w:marLeft w:val="0"/>
              <w:marRight w:val="0"/>
              <w:marTop w:val="0"/>
              <w:marBottom w:val="0"/>
              <w:divBdr>
                <w:top w:val="none" w:sz="0" w:space="0" w:color="auto"/>
                <w:left w:val="none" w:sz="0" w:space="0" w:color="auto"/>
                <w:bottom w:val="none" w:sz="0" w:space="0" w:color="auto"/>
                <w:right w:val="none" w:sz="0" w:space="0" w:color="auto"/>
              </w:divBdr>
              <w:divsChild>
                <w:div w:id="4550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3560">
      <w:bodyDiv w:val="1"/>
      <w:marLeft w:val="0"/>
      <w:marRight w:val="0"/>
      <w:marTop w:val="0"/>
      <w:marBottom w:val="0"/>
      <w:divBdr>
        <w:top w:val="none" w:sz="0" w:space="0" w:color="auto"/>
        <w:left w:val="none" w:sz="0" w:space="0" w:color="auto"/>
        <w:bottom w:val="none" w:sz="0" w:space="0" w:color="auto"/>
        <w:right w:val="none" w:sz="0" w:space="0" w:color="auto"/>
      </w:divBdr>
      <w:divsChild>
        <w:div w:id="554001024">
          <w:marLeft w:val="0"/>
          <w:marRight w:val="0"/>
          <w:marTop w:val="0"/>
          <w:marBottom w:val="0"/>
          <w:divBdr>
            <w:top w:val="none" w:sz="0" w:space="0" w:color="auto"/>
            <w:left w:val="none" w:sz="0" w:space="0" w:color="auto"/>
            <w:bottom w:val="none" w:sz="0" w:space="0" w:color="auto"/>
            <w:right w:val="none" w:sz="0" w:space="0" w:color="auto"/>
          </w:divBdr>
          <w:divsChild>
            <w:div w:id="950476139">
              <w:marLeft w:val="0"/>
              <w:marRight w:val="0"/>
              <w:marTop w:val="0"/>
              <w:marBottom w:val="0"/>
              <w:divBdr>
                <w:top w:val="none" w:sz="0" w:space="0" w:color="auto"/>
                <w:left w:val="none" w:sz="0" w:space="0" w:color="auto"/>
                <w:bottom w:val="none" w:sz="0" w:space="0" w:color="auto"/>
                <w:right w:val="none" w:sz="0" w:space="0" w:color="auto"/>
              </w:divBdr>
              <w:divsChild>
                <w:div w:id="2717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8AD4-77B8-4810-9626-0DAD4B0C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Cara Brousseau</cp:lastModifiedBy>
  <cp:revision>3</cp:revision>
  <dcterms:created xsi:type="dcterms:W3CDTF">2020-12-04T19:15:00Z</dcterms:created>
  <dcterms:modified xsi:type="dcterms:W3CDTF">2020-12-04T19:16:00Z</dcterms:modified>
</cp:coreProperties>
</file>