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30C4E" w14:textId="39D7646D" w:rsidR="00F763FD" w:rsidRPr="003E1D49" w:rsidRDefault="00402E53" w:rsidP="003E1D49">
      <w:pPr>
        <w:spacing w:line="240" w:lineRule="auto"/>
        <w:ind w:left="0" w:right="288"/>
        <w:rPr>
          <w:rFonts w:cs="Times New Roman"/>
          <w:b/>
          <w:bCs/>
          <w:sz w:val="28"/>
          <w:szCs w:val="28"/>
        </w:rPr>
      </w:pPr>
      <w:r w:rsidRPr="003E1D49">
        <w:rPr>
          <w:rFonts w:cs="Times New Roman"/>
          <w:b/>
          <w:bCs/>
          <w:sz w:val="28"/>
          <w:szCs w:val="28"/>
        </w:rPr>
        <w:t>8.</w:t>
      </w:r>
      <w:r w:rsidR="007C7B80" w:rsidRPr="003E1D49">
        <w:rPr>
          <w:rFonts w:cs="Times New Roman"/>
          <w:b/>
          <w:bCs/>
          <w:sz w:val="28"/>
          <w:szCs w:val="28"/>
        </w:rPr>
        <w:t>36</w:t>
      </w:r>
      <w:r w:rsidRPr="003E1D49">
        <w:rPr>
          <w:rFonts w:cs="Times New Roman"/>
          <w:b/>
          <w:bCs/>
          <w:sz w:val="28"/>
          <w:szCs w:val="28"/>
        </w:rPr>
        <w:t xml:space="preserve"> </w:t>
      </w:r>
      <w:bookmarkStart w:id="0" w:name="_Hlk58406356"/>
      <w:r w:rsidR="003D62A6" w:rsidRPr="003E1D49">
        <w:rPr>
          <w:rFonts w:cs="Times New Roman"/>
          <w:b/>
          <w:bCs/>
          <w:sz w:val="28"/>
          <w:szCs w:val="28"/>
        </w:rPr>
        <w:t>Prior</w:t>
      </w:r>
      <w:r w:rsidR="00F763FD" w:rsidRPr="003E1D49">
        <w:rPr>
          <w:rFonts w:cs="Times New Roman"/>
          <w:b/>
          <w:bCs/>
          <w:sz w:val="28"/>
          <w:szCs w:val="28"/>
        </w:rPr>
        <w:t xml:space="preserve"> </w:t>
      </w:r>
      <w:r w:rsidR="004A2375" w:rsidRPr="003E1D49">
        <w:rPr>
          <w:rFonts w:cs="Times New Roman"/>
          <w:b/>
          <w:bCs/>
          <w:sz w:val="28"/>
          <w:szCs w:val="28"/>
        </w:rPr>
        <w:t>Testimony in a Civil Proceeding</w:t>
      </w:r>
      <w:bookmarkEnd w:id="0"/>
    </w:p>
    <w:p w14:paraId="12158EDA" w14:textId="60160A8C" w:rsidR="007D65AC" w:rsidRPr="003E1D49" w:rsidRDefault="007D65AC" w:rsidP="003E1D49">
      <w:pPr>
        <w:spacing w:line="240" w:lineRule="auto"/>
        <w:ind w:left="0"/>
        <w:rPr>
          <w:rFonts w:cs="Times New Roman"/>
          <w:b/>
          <w:bCs/>
          <w:sz w:val="28"/>
          <w:szCs w:val="28"/>
        </w:rPr>
      </w:pPr>
    </w:p>
    <w:p w14:paraId="489F9665" w14:textId="06B31A67" w:rsidR="007D65AC" w:rsidRPr="003E1D49" w:rsidRDefault="00DE01CA" w:rsidP="003E1D49">
      <w:pPr>
        <w:spacing w:line="240" w:lineRule="auto"/>
        <w:ind w:right="288"/>
        <w:jc w:val="center"/>
        <w:rPr>
          <w:rFonts w:cs="Times New Roman"/>
          <w:b/>
          <w:bCs/>
          <w:sz w:val="28"/>
          <w:szCs w:val="28"/>
        </w:rPr>
      </w:pPr>
      <w:r w:rsidRPr="003E1D49">
        <w:rPr>
          <w:rFonts w:cs="Times New Roman"/>
          <w:b/>
          <w:bCs/>
          <w:sz w:val="28"/>
          <w:szCs w:val="28"/>
        </w:rPr>
        <w:t>Part</w:t>
      </w:r>
      <w:r w:rsidR="007D65AC" w:rsidRPr="003E1D49">
        <w:rPr>
          <w:rFonts w:cs="Times New Roman"/>
          <w:b/>
          <w:bCs/>
          <w:sz w:val="28"/>
          <w:szCs w:val="28"/>
        </w:rPr>
        <w:t xml:space="preserve"> I: CPLR 4517</w:t>
      </w:r>
    </w:p>
    <w:p w14:paraId="5CBBCFD8" w14:textId="77777777" w:rsidR="00F763FD" w:rsidRPr="003E1D49" w:rsidRDefault="00F763FD" w:rsidP="003E1D49">
      <w:pPr>
        <w:spacing w:line="240" w:lineRule="auto"/>
        <w:ind w:left="0" w:right="288"/>
        <w:rPr>
          <w:rFonts w:cs="Times New Roman"/>
          <w:b/>
          <w:bCs/>
          <w:sz w:val="28"/>
          <w:szCs w:val="28"/>
        </w:rPr>
      </w:pPr>
    </w:p>
    <w:p w14:paraId="2C21848F" w14:textId="4FF9A844" w:rsidR="00F763FD" w:rsidRPr="003E1D49" w:rsidRDefault="00F763FD" w:rsidP="003E1D49">
      <w:pPr>
        <w:spacing w:line="240" w:lineRule="auto"/>
        <w:ind w:right="720"/>
        <w:rPr>
          <w:rFonts w:cs="Times New Roman"/>
          <w:b/>
          <w:bCs/>
          <w:sz w:val="28"/>
          <w:szCs w:val="28"/>
        </w:rPr>
      </w:pPr>
      <w:r w:rsidRPr="003E1D49">
        <w:rPr>
          <w:rFonts w:cs="Times New Roman"/>
          <w:b/>
          <w:bCs/>
          <w:sz w:val="28"/>
          <w:szCs w:val="28"/>
        </w:rPr>
        <w:t>(a) In a civil action, at the trial or upon the hearing of a motion or an interlocutory proceeding, all or any part of the testimony of a witness that was taken at a prior trial in the same action or at a prior trial involving the same parties or their representatives and arising from the same subject matter, so far as admissible under the rules of evidence, may be used in accordance with any of the following provisions:</w:t>
      </w:r>
    </w:p>
    <w:p w14:paraId="1F3FFBA3" w14:textId="77777777" w:rsidR="00D020FE" w:rsidRPr="003E1D49" w:rsidRDefault="00D020FE" w:rsidP="003E1D49">
      <w:pPr>
        <w:spacing w:line="240" w:lineRule="auto"/>
        <w:ind w:left="0" w:right="288"/>
        <w:rPr>
          <w:rFonts w:cs="Times New Roman"/>
          <w:b/>
          <w:bCs/>
          <w:sz w:val="28"/>
          <w:szCs w:val="28"/>
        </w:rPr>
      </w:pPr>
    </w:p>
    <w:p w14:paraId="6DED860D" w14:textId="0E84D0FB" w:rsidR="00F763FD" w:rsidRPr="003E1D49" w:rsidRDefault="00F763FD" w:rsidP="003E1D49">
      <w:pPr>
        <w:spacing w:line="240" w:lineRule="auto"/>
        <w:ind w:left="1440" w:right="720"/>
        <w:rPr>
          <w:rFonts w:cs="Times New Roman"/>
          <w:b/>
          <w:bCs/>
          <w:sz w:val="28"/>
          <w:szCs w:val="28"/>
        </w:rPr>
      </w:pPr>
      <w:r w:rsidRPr="003E1D49">
        <w:rPr>
          <w:rFonts w:cs="Times New Roman"/>
          <w:b/>
          <w:bCs/>
          <w:sz w:val="28"/>
          <w:szCs w:val="28"/>
        </w:rPr>
        <w:t>1. any such testimony may be used by any party for the purpose of contradicting or impeaching the testimony of the same witness;</w:t>
      </w:r>
    </w:p>
    <w:p w14:paraId="067C670D" w14:textId="77777777" w:rsidR="00AB0D27" w:rsidRPr="003E1D49" w:rsidRDefault="00AB0D27" w:rsidP="003E1D49">
      <w:pPr>
        <w:spacing w:line="240" w:lineRule="auto"/>
        <w:ind w:left="0" w:right="288"/>
        <w:rPr>
          <w:rFonts w:cs="Times New Roman"/>
          <w:b/>
          <w:bCs/>
          <w:sz w:val="28"/>
          <w:szCs w:val="28"/>
        </w:rPr>
      </w:pPr>
    </w:p>
    <w:p w14:paraId="4CE5369F" w14:textId="1851F199" w:rsidR="00F763FD" w:rsidRPr="003E1D49" w:rsidRDefault="00F763FD" w:rsidP="003E1D49">
      <w:pPr>
        <w:spacing w:line="240" w:lineRule="auto"/>
        <w:ind w:left="1440" w:right="720"/>
        <w:rPr>
          <w:rFonts w:cs="Times New Roman"/>
          <w:b/>
          <w:bCs/>
          <w:sz w:val="28"/>
          <w:szCs w:val="28"/>
        </w:rPr>
      </w:pPr>
      <w:r w:rsidRPr="003E1D49">
        <w:rPr>
          <w:rFonts w:cs="Times New Roman"/>
          <w:b/>
          <w:bCs/>
          <w:sz w:val="28"/>
          <w:szCs w:val="28"/>
        </w:rPr>
        <w:t>2. the prior trial testimony of a party or of any person who was a party when the testimony was given or of any person who at the time the testimony was given was an officer, director, member, employee, or managing or authorized agent of a party, may be used for any purpose by any party who is adversely interested when the prior testimony is offered in evidence;</w:t>
      </w:r>
    </w:p>
    <w:p w14:paraId="639A9085" w14:textId="77777777" w:rsidR="00AB0D27" w:rsidRPr="003E1D49" w:rsidRDefault="00AB0D27" w:rsidP="003E1D49">
      <w:pPr>
        <w:spacing w:line="240" w:lineRule="auto"/>
        <w:ind w:left="0" w:right="288"/>
        <w:rPr>
          <w:rFonts w:cs="Times New Roman"/>
          <w:b/>
          <w:bCs/>
          <w:sz w:val="28"/>
          <w:szCs w:val="28"/>
        </w:rPr>
      </w:pPr>
    </w:p>
    <w:p w14:paraId="4AE910E7" w14:textId="572F5EA7" w:rsidR="00F763FD" w:rsidRPr="003E1D49" w:rsidRDefault="00F763FD" w:rsidP="003E1D49">
      <w:pPr>
        <w:spacing w:line="240" w:lineRule="auto"/>
        <w:ind w:left="1440" w:right="720"/>
        <w:rPr>
          <w:rFonts w:cs="Times New Roman"/>
          <w:b/>
          <w:bCs/>
          <w:sz w:val="28"/>
          <w:szCs w:val="28"/>
        </w:rPr>
      </w:pPr>
      <w:r w:rsidRPr="003E1D49">
        <w:rPr>
          <w:rFonts w:cs="Times New Roman"/>
          <w:b/>
          <w:bCs/>
          <w:sz w:val="28"/>
          <w:szCs w:val="28"/>
        </w:rPr>
        <w:t>3. the prior trial testimony of any person may be used by any party for any purpose against any other party, provided the court finds:</w:t>
      </w:r>
    </w:p>
    <w:p w14:paraId="32E3E67C" w14:textId="6C138B85" w:rsidR="003E1D49" w:rsidRDefault="003E1D49" w:rsidP="003E1D49">
      <w:pPr>
        <w:spacing w:line="240" w:lineRule="auto"/>
        <w:ind w:left="0" w:right="288"/>
        <w:rPr>
          <w:rFonts w:cs="Times New Roman"/>
          <w:b/>
          <w:bCs/>
          <w:sz w:val="28"/>
          <w:szCs w:val="28"/>
        </w:rPr>
      </w:pPr>
    </w:p>
    <w:p w14:paraId="59FC4258" w14:textId="418D45DC" w:rsidR="00F763FD" w:rsidRPr="003E1D49" w:rsidRDefault="00F763FD" w:rsidP="003E1D49">
      <w:pPr>
        <w:spacing w:line="240" w:lineRule="auto"/>
        <w:ind w:left="2160" w:right="288"/>
        <w:rPr>
          <w:rFonts w:cs="Times New Roman"/>
          <w:b/>
          <w:bCs/>
          <w:sz w:val="28"/>
          <w:szCs w:val="28"/>
        </w:rPr>
      </w:pPr>
      <w:r w:rsidRPr="003E1D49">
        <w:rPr>
          <w:rFonts w:cs="Times New Roman"/>
          <w:b/>
          <w:bCs/>
          <w:sz w:val="28"/>
          <w:szCs w:val="28"/>
        </w:rPr>
        <w:t>(i) that the witness is dead; or</w:t>
      </w:r>
    </w:p>
    <w:p w14:paraId="388F89DD" w14:textId="77777777" w:rsidR="003E1D49" w:rsidRDefault="003E1D49" w:rsidP="003E1D49">
      <w:pPr>
        <w:spacing w:line="240" w:lineRule="auto"/>
        <w:ind w:left="0" w:right="288"/>
        <w:rPr>
          <w:rFonts w:cs="Times New Roman"/>
          <w:b/>
          <w:bCs/>
          <w:sz w:val="28"/>
          <w:szCs w:val="28"/>
        </w:rPr>
      </w:pPr>
    </w:p>
    <w:p w14:paraId="74C93676" w14:textId="5933F01E" w:rsidR="00F763FD" w:rsidRPr="003E1D49" w:rsidRDefault="00F763FD" w:rsidP="003E1D49">
      <w:pPr>
        <w:spacing w:line="240" w:lineRule="auto"/>
        <w:ind w:left="2160" w:right="720"/>
        <w:rPr>
          <w:rFonts w:cs="Times New Roman"/>
          <w:b/>
          <w:bCs/>
          <w:sz w:val="28"/>
          <w:szCs w:val="28"/>
        </w:rPr>
      </w:pPr>
      <w:r w:rsidRPr="003E1D49">
        <w:rPr>
          <w:rFonts w:cs="Times New Roman"/>
          <w:b/>
          <w:bCs/>
          <w:sz w:val="28"/>
          <w:szCs w:val="28"/>
        </w:rPr>
        <w:t>(ii) that the witness is at a greater distance than one hundred miles from the place of trial or is out of the state, unless it appears that the absence of the witness was procured by the party offering the testimony; or</w:t>
      </w:r>
    </w:p>
    <w:p w14:paraId="629DA6A0" w14:textId="23D51B83" w:rsidR="003E1D49" w:rsidRDefault="003E1D49" w:rsidP="003E1D49">
      <w:pPr>
        <w:spacing w:line="240" w:lineRule="auto"/>
        <w:ind w:left="0" w:right="288"/>
        <w:rPr>
          <w:rFonts w:cs="Times New Roman"/>
          <w:b/>
          <w:bCs/>
          <w:sz w:val="28"/>
          <w:szCs w:val="28"/>
        </w:rPr>
      </w:pPr>
    </w:p>
    <w:p w14:paraId="096ABB7F" w14:textId="28F91DF2" w:rsidR="00F763FD" w:rsidRPr="003E1D49" w:rsidRDefault="00F763FD" w:rsidP="003E1D49">
      <w:pPr>
        <w:spacing w:line="240" w:lineRule="auto"/>
        <w:ind w:left="2160" w:right="720"/>
        <w:rPr>
          <w:rFonts w:cs="Times New Roman"/>
          <w:b/>
          <w:bCs/>
          <w:sz w:val="28"/>
          <w:szCs w:val="28"/>
        </w:rPr>
      </w:pPr>
      <w:r w:rsidRPr="003E1D49">
        <w:rPr>
          <w:rFonts w:cs="Times New Roman"/>
          <w:b/>
          <w:bCs/>
          <w:sz w:val="28"/>
          <w:szCs w:val="28"/>
        </w:rPr>
        <w:lastRenderedPageBreak/>
        <w:t>(iii) that the witness is unable to attend or testify because of age, sickness, infirmity, or imprisonment; or</w:t>
      </w:r>
    </w:p>
    <w:p w14:paraId="0028337F" w14:textId="77777777" w:rsidR="003E1D49" w:rsidRDefault="003E1D49" w:rsidP="003E1D49">
      <w:pPr>
        <w:spacing w:line="240" w:lineRule="auto"/>
        <w:ind w:left="0" w:right="288"/>
        <w:rPr>
          <w:rFonts w:cs="Times New Roman"/>
          <w:b/>
          <w:bCs/>
          <w:sz w:val="28"/>
          <w:szCs w:val="28"/>
        </w:rPr>
      </w:pPr>
    </w:p>
    <w:p w14:paraId="6379A17D" w14:textId="47F152BF" w:rsidR="00F763FD" w:rsidRPr="003E1D49" w:rsidRDefault="00F763FD" w:rsidP="003E1D49">
      <w:pPr>
        <w:spacing w:line="240" w:lineRule="auto"/>
        <w:ind w:left="2160" w:right="720"/>
        <w:rPr>
          <w:rFonts w:cs="Times New Roman"/>
          <w:b/>
          <w:bCs/>
          <w:sz w:val="28"/>
          <w:szCs w:val="28"/>
        </w:rPr>
      </w:pPr>
      <w:r w:rsidRPr="003E1D49">
        <w:rPr>
          <w:rFonts w:cs="Times New Roman"/>
          <w:b/>
          <w:bCs/>
          <w:sz w:val="28"/>
          <w:szCs w:val="28"/>
        </w:rPr>
        <w:t>(iv) that the party offering the testimony has been unable to procure the attendance of the witness by diligent efforts; or</w:t>
      </w:r>
    </w:p>
    <w:p w14:paraId="7D02EF1A" w14:textId="77777777" w:rsidR="003E1D49" w:rsidRDefault="003E1D49" w:rsidP="003E1D49">
      <w:pPr>
        <w:spacing w:line="240" w:lineRule="auto"/>
        <w:ind w:left="0" w:right="288"/>
        <w:rPr>
          <w:rFonts w:cs="Times New Roman"/>
          <w:b/>
          <w:bCs/>
          <w:sz w:val="28"/>
          <w:szCs w:val="28"/>
        </w:rPr>
      </w:pPr>
    </w:p>
    <w:p w14:paraId="2B465035" w14:textId="3990A47C" w:rsidR="00F763FD" w:rsidRPr="003E1D49" w:rsidRDefault="00F763FD" w:rsidP="003E1D49">
      <w:pPr>
        <w:spacing w:line="240" w:lineRule="auto"/>
        <w:ind w:left="2160" w:right="720"/>
        <w:rPr>
          <w:rFonts w:cs="Times New Roman"/>
          <w:b/>
          <w:bCs/>
          <w:sz w:val="28"/>
          <w:szCs w:val="28"/>
        </w:rPr>
      </w:pPr>
      <w:r w:rsidRPr="003E1D49">
        <w:rPr>
          <w:rFonts w:cs="Times New Roman"/>
          <w:b/>
          <w:bCs/>
          <w:sz w:val="28"/>
          <w:szCs w:val="28"/>
        </w:rPr>
        <w:t>(v) upon motion on notice, that such exceptional circumstances exist as to make its use desirable, in the interest of justice and with due regard to the importance of presenting the testimony of witnesses orally in open court;</w:t>
      </w:r>
    </w:p>
    <w:p w14:paraId="14A70496" w14:textId="77777777" w:rsidR="00AB0D27" w:rsidRPr="003E1D49" w:rsidRDefault="00AB0D27" w:rsidP="003E1D49">
      <w:pPr>
        <w:spacing w:line="240" w:lineRule="auto"/>
        <w:ind w:left="0" w:right="288"/>
        <w:rPr>
          <w:rFonts w:cs="Times New Roman"/>
          <w:b/>
          <w:bCs/>
          <w:sz w:val="28"/>
          <w:szCs w:val="28"/>
        </w:rPr>
      </w:pPr>
    </w:p>
    <w:p w14:paraId="197B2B1C" w14:textId="1000325F" w:rsidR="00F763FD" w:rsidRPr="003E1D49" w:rsidRDefault="00F763FD" w:rsidP="003E1D49">
      <w:pPr>
        <w:spacing w:line="240" w:lineRule="auto"/>
        <w:ind w:left="1440" w:right="720"/>
        <w:rPr>
          <w:rFonts w:cs="Times New Roman"/>
          <w:b/>
          <w:bCs/>
          <w:sz w:val="28"/>
          <w:szCs w:val="28"/>
        </w:rPr>
      </w:pPr>
      <w:r w:rsidRPr="003E1D49">
        <w:rPr>
          <w:rFonts w:cs="Times New Roman"/>
          <w:b/>
          <w:bCs/>
          <w:sz w:val="28"/>
          <w:szCs w:val="28"/>
        </w:rPr>
        <w:t>4. the prior trial testimony of a person authorized to practice medicine may be used by any party without the necessity of showing unavailability or special circumstances subject to the right of any party to move for preclusion upon the ground that admission of the prior testimony would be prejudicial under the circumstances.</w:t>
      </w:r>
    </w:p>
    <w:p w14:paraId="288384D6" w14:textId="77777777" w:rsidR="00407913" w:rsidRPr="003E1D49" w:rsidRDefault="00407913" w:rsidP="003E1D49">
      <w:pPr>
        <w:spacing w:line="240" w:lineRule="auto"/>
        <w:ind w:left="0" w:right="288"/>
        <w:rPr>
          <w:rFonts w:cs="Times New Roman"/>
          <w:b/>
          <w:bCs/>
          <w:sz w:val="28"/>
          <w:szCs w:val="28"/>
        </w:rPr>
      </w:pPr>
    </w:p>
    <w:p w14:paraId="4FC993BD" w14:textId="34DE67EE" w:rsidR="00F763FD" w:rsidRPr="003E1D49" w:rsidRDefault="00F763FD" w:rsidP="003E1D49">
      <w:pPr>
        <w:spacing w:line="240" w:lineRule="auto"/>
        <w:ind w:right="720"/>
        <w:rPr>
          <w:rFonts w:cs="Times New Roman"/>
          <w:b/>
          <w:bCs/>
          <w:sz w:val="28"/>
          <w:szCs w:val="28"/>
        </w:rPr>
      </w:pPr>
      <w:r w:rsidRPr="003E1D49">
        <w:rPr>
          <w:rFonts w:cs="Times New Roman"/>
          <w:b/>
          <w:bCs/>
          <w:sz w:val="28"/>
          <w:szCs w:val="28"/>
        </w:rPr>
        <w:t>(b) Use of part of the prior trial testimony of a witness.  If only part of the prior trial testimony of a witness is read at the trial by a party, any other party may read any other part of the prior testimony of that witness that ought in fairness to be considered in connection with the part read.</w:t>
      </w:r>
    </w:p>
    <w:p w14:paraId="0427E131" w14:textId="77777777" w:rsidR="00407913" w:rsidRPr="003E1D49" w:rsidRDefault="00407913" w:rsidP="003E1D49">
      <w:pPr>
        <w:spacing w:line="240" w:lineRule="auto"/>
        <w:ind w:left="0" w:right="288"/>
        <w:rPr>
          <w:rFonts w:cs="Times New Roman"/>
          <w:b/>
          <w:bCs/>
          <w:sz w:val="28"/>
          <w:szCs w:val="28"/>
        </w:rPr>
      </w:pPr>
    </w:p>
    <w:p w14:paraId="3AB5D82C" w14:textId="6B3C8D62" w:rsidR="00F763FD" w:rsidRPr="003E1D49" w:rsidRDefault="00F763FD" w:rsidP="003E1D49">
      <w:pPr>
        <w:spacing w:line="240" w:lineRule="auto"/>
        <w:ind w:right="720"/>
        <w:rPr>
          <w:rFonts w:cs="Times New Roman"/>
          <w:b/>
          <w:bCs/>
          <w:sz w:val="28"/>
          <w:szCs w:val="28"/>
        </w:rPr>
      </w:pPr>
      <w:r w:rsidRPr="003E1D49">
        <w:rPr>
          <w:rFonts w:cs="Times New Roman"/>
          <w:b/>
          <w:bCs/>
          <w:sz w:val="28"/>
          <w:szCs w:val="28"/>
        </w:rPr>
        <w:t>(c) Substitution of parties;</w:t>
      </w:r>
      <w:r w:rsidR="006121F4" w:rsidRPr="003E1D49">
        <w:rPr>
          <w:rFonts w:cs="Times New Roman"/>
          <w:b/>
          <w:bCs/>
          <w:sz w:val="28"/>
          <w:szCs w:val="28"/>
        </w:rPr>
        <w:t xml:space="preserve"> </w:t>
      </w:r>
      <w:r w:rsidRPr="003E1D49">
        <w:rPr>
          <w:rFonts w:cs="Times New Roman"/>
          <w:b/>
          <w:bCs/>
          <w:sz w:val="28"/>
          <w:szCs w:val="28"/>
        </w:rPr>
        <w:t>prior actions.  Substitution of parties does not affect the right to use testimony previously taken at trial.</w:t>
      </w:r>
    </w:p>
    <w:p w14:paraId="6D32D7B1" w14:textId="4A87F278" w:rsidR="00F763FD" w:rsidRPr="003E1D49" w:rsidRDefault="00F763FD" w:rsidP="003E1D49">
      <w:pPr>
        <w:spacing w:line="240" w:lineRule="auto"/>
        <w:ind w:left="0" w:right="288"/>
        <w:rPr>
          <w:rFonts w:cs="Times New Roman"/>
          <w:b/>
          <w:bCs/>
          <w:sz w:val="28"/>
          <w:szCs w:val="28"/>
        </w:rPr>
      </w:pPr>
    </w:p>
    <w:p w14:paraId="6FB60877" w14:textId="5B00D4A1" w:rsidR="007D65AC" w:rsidRPr="003E1D49" w:rsidRDefault="00DE01CA" w:rsidP="003E1D49">
      <w:pPr>
        <w:spacing w:line="240" w:lineRule="auto"/>
        <w:ind w:right="288"/>
        <w:jc w:val="center"/>
        <w:rPr>
          <w:rFonts w:cs="Times New Roman"/>
          <w:b/>
          <w:bCs/>
          <w:sz w:val="28"/>
          <w:szCs w:val="28"/>
        </w:rPr>
      </w:pPr>
      <w:r w:rsidRPr="003E1D49">
        <w:rPr>
          <w:rFonts w:cs="Times New Roman"/>
          <w:b/>
          <w:bCs/>
          <w:sz w:val="28"/>
          <w:szCs w:val="28"/>
        </w:rPr>
        <w:t xml:space="preserve">Part II: </w:t>
      </w:r>
      <w:r w:rsidR="00183587" w:rsidRPr="003E1D49">
        <w:rPr>
          <w:rFonts w:cs="Times New Roman"/>
          <w:b/>
          <w:bCs/>
          <w:sz w:val="28"/>
          <w:szCs w:val="28"/>
        </w:rPr>
        <w:t>Common</w:t>
      </w:r>
      <w:r w:rsidR="00A806A3" w:rsidRPr="003E1D49">
        <w:rPr>
          <w:rFonts w:cs="Times New Roman"/>
          <w:b/>
          <w:bCs/>
          <w:sz w:val="28"/>
          <w:szCs w:val="28"/>
        </w:rPr>
        <w:t xml:space="preserve"> </w:t>
      </w:r>
      <w:r w:rsidRPr="003E1D49">
        <w:rPr>
          <w:rFonts w:cs="Times New Roman"/>
          <w:b/>
          <w:bCs/>
          <w:sz w:val="28"/>
          <w:szCs w:val="28"/>
        </w:rPr>
        <w:t>Law</w:t>
      </w:r>
    </w:p>
    <w:p w14:paraId="52898BA0" w14:textId="77777777" w:rsidR="00F763FD" w:rsidRPr="003E1D49" w:rsidRDefault="00F763FD" w:rsidP="003E1D49">
      <w:pPr>
        <w:spacing w:line="240" w:lineRule="auto"/>
        <w:ind w:left="0" w:right="288"/>
        <w:rPr>
          <w:rFonts w:cs="Times New Roman"/>
          <w:b/>
          <w:bCs/>
          <w:sz w:val="28"/>
          <w:szCs w:val="28"/>
        </w:rPr>
      </w:pPr>
    </w:p>
    <w:p w14:paraId="62AFDC39" w14:textId="6E661041" w:rsidR="00B6648F" w:rsidRPr="003E1D49" w:rsidRDefault="007D65AC" w:rsidP="003E1D49">
      <w:pPr>
        <w:spacing w:line="240" w:lineRule="auto"/>
        <w:ind w:right="288"/>
        <w:rPr>
          <w:rFonts w:cs="Times New Roman"/>
          <w:b/>
          <w:bCs/>
          <w:sz w:val="28"/>
          <w:szCs w:val="28"/>
        </w:rPr>
      </w:pPr>
      <w:r w:rsidRPr="003E1D49">
        <w:rPr>
          <w:rFonts w:cs="Times New Roman"/>
          <w:b/>
          <w:bCs/>
          <w:sz w:val="28"/>
          <w:szCs w:val="28"/>
        </w:rPr>
        <w:t xml:space="preserve">At </w:t>
      </w:r>
      <w:r w:rsidR="00344944" w:rsidRPr="003E1D49">
        <w:rPr>
          <w:rFonts w:cs="Times New Roman"/>
          <w:b/>
          <w:bCs/>
          <w:sz w:val="28"/>
          <w:szCs w:val="28"/>
        </w:rPr>
        <w:t xml:space="preserve">a hearing or </w:t>
      </w:r>
      <w:r w:rsidRPr="003E1D49">
        <w:rPr>
          <w:rFonts w:cs="Times New Roman"/>
          <w:b/>
          <w:bCs/>
          <w:sz w:val="28"/>
          <w:szCs w:val="28"/>
        </w:rPr>
        <w:t xml:space="preserve">trial in a civil </w:t>
      </w:r>
      <w:r w:rsidR="001375CB" w:rsidRPr="003E1D49">
        <w:rPr>
          <w:rFonts w:cs="Times New Roman"/>
          <w:b/>
          <w:bCs/>
          <w:sz w:val="28"/>
          <w:szCs w:val="28"/>
        </w:rPr>
        <w:t>proceeding,</w:t>
      </w:r>
      <w:r w:rsidRPr="003E1D49">
        <w:rPr>
          <w:rFonts w:cs="Times New Roman"/>
          <w:b/>
          <w:bCs/>
          <w:sz w:val="28"/>
          <w:szCs w:val="28"/>
        </w:rPr>
        <w:t xml:space="preserve"> the testimony of a witness that was taken at a prior</w:t>
      </w:r>
      <w:r w:rsidR="00B1798A" w:rsidRPr="003E1D49">
        <w:rPr>
          <w:rFonts w:cs="Times New Roman"/>
          <w:b/>
          <w:bCs/>
          <w:sz w:val="28"/>
          <w:szCs w:val="28"/>
        </w:rPr>
        <w:t xml:space="preserve"> hearing or </w:t>
      </w:r>
      <w:r w:rsidRPr="003E1D49">
        <w:rPr>
          <w:rFonts w:cs="Times New Roman"/>
          <w:b/>
          <w:bCs/>
          <w:sz w:val="28"/>
          <w:szCs w:val="28"/>
        </w:rPr>
        <w:t xml:space="preserve">trial or </w:t>
      </w:r>
      <w:r w:rsidR="00713A55" w:rsidRPr="003E1D49">
        <w:rPr>
          <w:rFonts w:cs="Times New Roman"/>
          <w:b/>
          <w:bCs/>
          <w:sz w:val="28"/>
          <w:szCs w:val="28"/>
        </w:rPr>
        <w:t>other legal proceeding before a tribunal</w:t>
      </w:r>
      <w:r w:rsidRPr="003E1D49">
        <w:rPr>
          <w:rFonts w:cs="Times New Roman"/>
          <w:b/>
          <w:bCs/>
          <w:sz w:val="28"/>
          <w:szCs w:val="28"/>
        </w:rPr>
        <w:t xml:space="preserve"> may be admitted, </w:t>
      </w:r>
      <w:r w:rsidRPr="003E1D49">
        <w:rPr>
          <w:rFonts w:cs="Times New Roman"/>
          <w:b/>
          <w:bCs/>
          <w:sz w:val="28"/>
          <w:szCs w:val="28"/>
        </w:rPr>
        <w:lastRenderedPageBreak/>
        <w:t>provided the witness is unavailable</w:t>
      </w:r>
      <w:r w:rsidR="00A44903" w:rsidRPr="003E1D49">
        <w:rPr>
          <w:rFonts w:cs="Times New Roman"/>
          <w:b/>
          <w:bCs/>
          <w:sz w:val="28"/>
          <w:szCs w:val="28"/>
        </w:rPr>
        <w:t xml:space="preserve"> due to death or otherwise as a </w:t>
      </w:r>
      <w:r w:rsidR="00E2758D" w:rsidRPr="003E1D49">
        <w:rPr>
          <w:rFonts w:cs="Times New Roman"/>
          <w:b/>
          <w:bCs/>
          <w:sz w:val="28"/>
          <w:szCs w:val="28"/>
        </w:rPr>
        <w:t>court may determine</w:t>
      </w:r>
      <w:r w:rsidR="00AB575F" w:rsidRPr="003E1D49">
        <w:rPr>
          <w:rFonts w:cs="Times New Roman"/>
          <w:b/>
          <w:bCs/>
          <w:sz w:val="28"/>
          <w:szCs w:val="28"/>
        </w:rPr>
        <w:t>;</w:t>
      </w:r>
      <w:r w:rsidRPr="003E1D49">
        <w:rPr>
          <w:rFonts w:cs="Times New Roman"/>
          <w:b/>
          <w:bCs/>
          <w:sz w:val="28"/>
          <w:szCs w:val="28"/>
        </w:rPr>
        <w:t xml:space="preserve"> the testimony </w:t>
      </w:r>
      <w:r w:rsidR="00332436" w:rsidRPr="003E1D49">
        <w:rPr>
          <w:rFonts w:cs="Times New Roman"/>
          <w:b/>
          <w:bCs/>
          <w:sz w:val="28"/>
          <w:szCs w:val="28"/>
        </w:rPr>
        <w:t>referred to the same subject matter</w:t>
      </w:r>
      <w:r w:rsidR="00A824CB" w:rsidRPr="003E1D49">
        <w:rPr>
          <w:rFonts w:cs="Times New Roman"/>
          <w:b/>
          <w:bCs/>
          <w:sz w:val="28"/>
          <w:szCs w:val="28"/>
        </w:rPr>
        <w:t xml:space="preserve"> and</w:t>
      </w:r>
      <w:r w:rsidR="00332436" w:rsidRPr="003E1D49">
        <w:rPr>
          <w:rFonts w:cs="Times New Roman"/>
          <w:b/>
          <w:bCs/>
          <w:sz w:val="28"/>
          <w:szCs w:val="28"/>
        </w:rPr>
        <w:t xml:space="preserve"> </w:t>
      </w:r>
      <w:r w:rsidRPr="003E1D49">
        <w:rPr>
          <w:rFonts w:cs="Times New Roman"/>
          <w:b/>
          <w:bCs/>
          <w:sz w:val="28"/>
          <w:szCs w:val="28"/>
        </w:rPr>
        <w:t>was given under oath</w:t>
      </w:r>
      <w:r w:rsidR="00332436" w:rsidRPr="003E1D49">
        <w:rPr>
          <w:rFonts w:cs="Times New Roman"/>
          <w:b/>
          <w:bCs/>
          <w:sz w:val="28"/>
          <w:szCs w:val="28"/>
        </w:rPr>
        <w:t xml:space="preserve"> </w:t>
      </w:r>
      <w:r w:rsidR="00E7799F" w:rsidRPr="003E1D49">
        <w:rPr>
          <w:rFonts w:cs="Times New Roman"/>
          <w:b/>
          <w:bCs/>
          <w:sz w:val="28"/>
          <w:szCs w:val="28"/>
        </w:rPr>
        <w:t>against the party contesting its admission</w:t>
      </w:r>
      <w:r w:rsidR="00A824CB" w:rsidRPr="003E1D49">
        <w:rPr>
          <w:rFonts w:cs="Times New Roman"/>
          <w:b/>
          <w:bCs/>
          <w:sz w:val="28"/>
          <w:szCs w:val="28"/>
        </w:rPr>
        <w:t>;</w:t>
      </w:r>
      <w:r w:rsidR="00E7799F" w:rsidRPr="003E1D49">
        <w:rPr>
          <w:rFonts w:cs="Times New Roman"/>
          <w:b/>
          <w:bCs/>
          <w:sz w:val="28"/>
          <w:szCs w:val="28"/>
        </w:rPr>
        <w:t xml:space="preserve"> and th</w:t>
      </w:r>
      <w:r w:rsidR="00511F64" w:rsidRPr="003E1D49">
        <w:rPr>
          <w:rFonts w:cs="Times New Roman"/>
          <w:b/>
          <w:bCs/>
          <w:sz w:val="28"/>
          <w:szCs w:val="28"/>
        </w:rPr>
        <w:t>e contesting</w:t>
      </w:r>
      <w:r w:rsidR="00E7799F" w:rsidRPr="003E1D49">
        <w:rPr>
          <w:rFonts w:cs="Times New Roman"/>
          <w:b/>
          <w:bCs/>
          <w:sz w:val="28"/>
          <w:szCs w:val="28"/>
        </w:rPr>
        <w:t xml:space="preserve"> </w:t>
      </w:r>
      <w:r w:rsidRPr="003E1D49">
        <w:rPr>
          <w:rFonts w:cs="Times New Roman"/>
          <w:b/>
          <w:bCs/>
          <w:sz w:val="28"/>
          <w:szCs w:val="28"/>
        </w:rPr>
        <w:t xml:space="preserve">party had the opportunity to </w:t>
      </w:r>
      <w:r w:rsidR="00E7799F" w:rsidRPr="003E1D49">
        <w:rPr>
          <w:rFonts w:cs="Times New Roman"/>
          <w:b/>
          <w:bCs/>
          <w:sz w:val="28"/>
          <w:szCs w:val="28"/>
        </w:rPr>
        <w:t xml:space="preserve">be represented by counsel and </w:t>
      </w:r>
      <w:r w:rsidRPr="003E1D49">
        <w:rPr>
          <w:rFonts w:cs="Times New Roman"/>
          <w:b/>
          <w:bCs/>
          <w:sz w:val="28"/>
          <w:szCs w:val="28"/>
        </w:rPr>
        <w:t>cross-examine the witness</w:t>
      </w:r>
      <w:r w:rsidR="00AB7EBF" w:rsidRPr="003E1D49">
        <w:rPr>
          <w:rFonts w:cs="Times New Roman"/>
          <w:b/>
          <w:bCs/>
          <w:sz w:val="28"/>
          <w:szCs w:val="28"/>
        </w:rPr>
        <w:t>.</w:t>
      </w:r>
    </w:p>
    <w:p w14:paraId="03131432" w14:textId="77777777" w:rsidR="00F35A44" w:rsidRPr="003E1D49" w:rsidRDefault="00F35A44" w:rsidP="003E1D49">
      <w:pPr>
        <w:spacing w:line="240" w:lineRule="auto"/>
        <w:ind w:left="0"/>
        <w:rPr>
          <w:rFonts w:cs="Times New Roman"/>
          <w:b/>
          <w:bCs/>
          <w:sz w:val="28"/>
          <w:szCs w:val="28"/>
        </w:rPr>
      </w:pPr>
    </w:p>
    <w:p w14:paraId="1DCFED21" w14:textId="7D4A2A75" w:rsidR="00243E4A" w:rsidRPr="003E1D49" w:rsidRDefault="00243E4A" w:rsidP="003E1D49">
      <w:pPr>
        <w:spacing w:line="240" w:lineRule="auto"/>
        <w:ind w:left="0"/>
        <w:jc w:val="center"/>
        <w:rPr>
          <w:rFonts w:cs="Times New Roman"/>
          <w:b/>
          <w:bCs/>
          <w:sz w:val="28"/>
          <w:szCs w:val="28"/>
        </w:rPr>
      </w:pPr>
      <w:r w:rsidRPr="003E1D49">
        <w:rPr>
          <w:rFonts w:cs="Times New Roman"/>
          <w:b/>
          <w:bCs/>
          <w:sz w:val="28"/>
          <w:szCs w:val="28"/>
        </w:rPr>
        <w:t>Note</w:t>
      </w:r>
    </w:p>
    <w:p w14:paraId="4CD28ED8" w14:textId="77777777" w:rsidR="003E1D49" w:rsidRPr="003E1D49" w:rsidRDefault="003E1D49" w:rsidP="003E1D49">
      <w:pPr>
        <w:spacing w:line="240" w:lineRule="auto"/>
        <w:ind w:left="0" w:right="-720"/>
        <w:rPr>
          <w:rFonts w:cs="Times New Roman"/>
          <w:b/>
          <w:bCs/>
          <w:szCs w:val="24"/>
        </w:rPr>
      </w:pPr>
    </w:p>
    <w:p w14:paraId="4E2ED864" w14:textId="437724FB" w:rsidR="006607A4" w:rsidRPr="003E1D49" w:rsidRDefault="00904935" w:rsidP="003E1D49">
      <w:pPr>
        <w:spacing w:line="240" w:lineRule="auto"/>
        <w:ind w:left="0" w:right="-720"/>
        <w:rPr>
          <w:rFonts w:cs="Times New Roman"/>
          <w:b/>
          <w:bCs/>
          <w:szCs w:val="24"/>
        </w:rPr>
      </w:pPr>
      <w:r w:rsidRPr="003E1D49">
        <w:rPr>
          <w:rFonts w:cs="Times New Roman"/>
          <w:b/>
          <w:bCs/>
          <w:szCs w:val="24"/>
        </w:rPr>
        <w:t>Introduction</w:t>
      </w:r>
    </w:p>
    <w:p w14:paraId="385C1FA1" w14:textId="77777777" w:rsidR="006607A4" w:rsidRPr="003E1D49" w:rsidRDefault="006607A4" w:rsidP="003E1D49">
      <w:pPr>
        <w:spacing w:line="240" w:lineRule="auto"/>
        <w:ind w:left="0" w:right="-720"/>
        <w:rPr>
          <w:rFonts w:cs="Times New Roman"/>
          <w:szCs w:val="24"/>
        </w:rPr>
      </w:pPr>
    </w:p>
    <w:p w14:paraId="36911D2E" w14:textId="315F3206" w:rsidR="00ED22E8" w:rsidRPr="003E1D49" w:rsidRDefault="00243E4A" w:rsidP="003E1D49">
      <w:pPr>
        <w:spacing w:line="240" w:lineRule="auto"/>
        <w:ind w:left="0"/>
        <w:rPr>
          <w:rFonts w:cs="Times New Roman"/>
          <w:szCs w:val="24"/>
        </w:rPr>
      </w:pPr>
      <w:r w:rsidRPr="003E1D49">
        <w:rPr>
          <w:rFonts w:cs="Times New Roman"/>
          <w:szCs w:val="24"/>
        </w:rPr>
        <w:tab/>
        <w:t>The rule sets forth a hearsay exception governing the admissibility of former testimony in civil actions</w:t>
      </w:r>
      <w:r w:rsidR="008A6996" w:rsidRPr="003E1D49">
        <w:rPr>
          <w:rFonts w:cs="Times New Roman"/>
          <w:szCs w:val="24"/>
        </w:rPr>
        <w:t xml:space="preserve">.  </w:t>
      </w:r>
      <w:r w:rsidRPr="003E1D49">
        <w:rPr>
          <w:rFonts w:cs="Times New Roman"/>
          <w:szCs w:val="24"/>
        </w:rPr>
        <w:t xml:space="preserve">It encompasses both the statutory former testimony exception for civil actions provided by CPLR 4517 and the former testimony exception recognized in civil actions under the </w:t>
      </w:r>
      <w:r w:rsidR="00AA51FF" w:rsidRPr="003E1D49">
        <w:rPr>
          <w:rFonts w:cs="Times New Roman"/>
          <w:szCs w:val="24"/>
        </w:rPr>
        <w:t>common</w:t>
      </w:r>
      <w:r w:rsidR="00A806A3" w:rsidRPr="003E1D49">
        <w:rPr>
          <w:rFonts w:cs="Times New Roman"/>
          <w:szCs w:val="24"/>
        </w:rPr>
        <w:t xml:space="preserve"> </w:t>
      </w:r>
      <w:r w:rsidR="00AA51FF" w:rsidRPr="003E1D49">
        <w:rPr>
          <w:rFonts w:cs="Times New Roman"/>
          <w:szCs w:val="24"/>
        </w:rPr>
        <w:t>law</w:t>
      </w:r>
      <w:r w:rsidRPr="003E1D49">
        <w:rPr>
          <w:rFonts w:cs="Times New Roman"/>
          <w:szCs w:val="24"/>
        </w:rPr>
        <w:t>.</w:t>
      </w:r>
    </w:p>
    <w:p w14:paraId="7D817664" w14:textId="77777777" w:rsidR="00ED22E8" w:rsidRPr="003E1D49" w:rsidRDefault="00ED22E8" w:rsidP="003E1D49">
      <w:pPr>
        <w:spacing w:line="240" w:lineRule="auto"/>
        <w:ind w:left="0"/>
        <w:rPr>
          <w:rFonts w:cs="Times New Roman"/>
          <w:szCs w:val="24"/>
        </w:rPr>
      </w:pPr>
    </w:p>
    <w:p w14:paraId="3C12FF39" w14:textId="4ED665CC" w:rsidR="00111C28" w:rsidRPr="003E1D49" w:rsidRDefault="00ED22E8" w:rsidP="003E1D49">
      <w:pPr>
        <w:spacing w:line="240" w:lineRule="auto"/>
        <w:ind w:left="0"/>
        <w:rPr>
          <w:rFonts w:cs="Times New Roman"/>
          <w:szCs w:val="24"/>
        </w:rPr>
      </w:pPr>
      <w:r w:rsidRPr="003E1D49">
        <w:rPr>
          <w:rFonts w:cs="Times New Roman"/>
          <w:szCs w:val="24"/>
        </w:rPr>
        <w:tab/>
        <w:t>Part I reproduces CPLR 4517 verbatim, including that statute’s numbering system</w:t>
      </w:r>
      <w:r w:rsidR="00111C28" w:rsidRPr="003E1D49">
        <w:rPr>
          <w:rFonts w:cs="Times New Roman"/>
          <w:szCs w:val="24"/>
        </w:rPr>
        <w:t>, except for the heading of the statute (Impeachment of witnesses;  parties;  unavailable witness) which is less informative</w:t>
      </w:r>
      <w:r w:rsidR="00096C5B" w:rsidRPr="003E1D49">
        <w:rPr>
          <w:rFonts w:cs="Times New Roman"/>
          <w:szCs w:val="24"/>
        </w:rPr>
        <w:t>, if not misleading, given that the statute and its embodiment in this rule</w:t>
      </w:r>
      <w:r w:rsidR="00111C28" w:rsidRPr="003E1D49">
        <w:rPr>
          <w:rFonts w:cs="Times New Roman"/>
          <w:szCs w:val="24"/>
        </w:rPr>
        <w:t xml:space="preserve"> simply set for</w:t>
      </w:r>
      <w:r w:rsidR="008F7E95" w:rsidRPr="003E1D49">
        <w:rPr>
          <w:rFonts w:cs="Times New Roman"/>
          <w:szCs w:val="24"/>
        </w:rPr>
        <w:t>th</w:t>
      </w:r>
      <w:r w:rsidR="00111C28" w:rsidRPr="003E1D49">
        <w:rPr>
          <w:rFonts w:cs="Times New Roman"/>
          <w:szCs w:val="24"/>
        </w:rPr>
        <w:t xml:space="preserve"> the requirements for the admissibility of former testimony.</w:t>
      </w:r>
    </w:p>
    <w:p w14:paraId="49289A06" w14:textId="77777777" w:rsidR="009D716F" w:rsidRPr="003E1D49" w:rsidRDefault="009D716F" w:rsidP="003E1D49">
      <w:pPr>
        <w:spacing w:line="240" w:lineRule="auto"/>
        <w:ind w:left="0"/>
        <w:rPr>
          <w:rFonts w:cs="Times New Roman"/>
          <w:szCs w:val="24"/>
        </w:rPr>
      </w:pPr>
    </w:p>
    <w:p w14:paraId="4F47C9FC" w14:textId="73C2A2A6" w:rsidR="00243E4A" w:rsidRPr="003E1D49" w:rsidRDefault="001E6997" w:rsidP="003E1D49">
      <w:pPr>
        <w:spacing w:line="240" w:lineRule="auto"/>
        <w:ind w:left="0"/>
        <w:rPr>
          <w:rFonts w:cs="Times New Roman"/>
          <w:szCs w:val="24"/>
        </w:rPr>
      </w:pPr>
      <w:r w:rsidRPr="003E1D49">
        <w:rPr>
          <w:rFonts w:cs="Times New Roman"/>
          <w:szCs w:val="24"/>
        </w:rPr>
        <w:tab/>
        <w:t>Part II is derived fro</w:t>
      </w:r>
      <w:r w:rsidR="00E256C3" w:rsidRPr="003E1D49">
        <w:rPr>
          <w:rFonts w:cs="Times New Roman"/>
          <w:szCs w:val="24"/>
        </w:rPr>
        <w:t xml:space="preserve">m </w:t>
      </w:r>
      <w:bookmarkStart w:id="1" w:name="_Hlk45888537"/>
      <w:r w:rsidR="005F13C9" w:rsidRPr="003E1D49">
        <w:rPr>
          <w:rFonts w:cs="Times New Roman"/>
          <w:i/>
          <w:iCs/>
          <w:szCs w:val="24"/>
        </w:rPr>
        <w:t>Fleury v Edwards</w:t>
      </w:r>
      <w:r w:rsidR="005F13C9" w:rsidRPr="003E1D49">
        <w:rPr>
          <w:rFonts w:cs="Times New Roman"/>
          <w:szCs w:val="24"/>
        </w:rPr>
        <w:t xml:space="preserve"> </w:t>
      </w:r>
      <w:r w:rsidR="00B6648F" w:rsidRPr="003E1D49">
        <w:rPr>
          <w:rFonts w:cs="Times New Roman"/>
          <w:szCs w:val="24"/>
        </w:rPr>
        <w:t>(</w:t>
      </w:r>
      <w:r w:rsidR="005F13C9" w:rsidRPr="003E1D49">
        <w:rPr>
          <w:rFonts w:cs="Times New Roman"/>
          <w:szCs w:val="24"/>
        </w:rPr>
        <w:t>14 NY2d 334 [1964</w:t>
      </w:r>
      <w:bookmarkEnd w:id="1"/>
      <w:r w:rsidR="005F13C9" w:rsidRPr="003E1D49">
        <w:rPr>
          <w:rFonts w:cs="Times New Roman"/>
          <w:szCs w:val="24"/>
        </w:rPr>
        <w:t>]</w:t>
      </w:r>
      <w:r w:rsidR="00B6648F" w:rsidRPr="003E1D49">
        <w:rPr>
          <w:rFonts w:cs="Times New Roman"/>
          <w:szCs w:val="24"/>
        </w:rPr>
        <w:t>)</w:t>
      </w:r>
      <w:r w:rsidR="005F13C9" w:rsidRPr="003E1D49">
        <w:rPr>
          <w:rFonts w:cs="Times New Roman"/>
          <w:szCs w:val="24"/>
        </w:rPr>
        <w:t xml:space="preserve"> </w:t>
      </w:r>
      <w:r w:rsidR="00E256C3" w:rsidRPr="003E1D49">
        <w:rPr>
          <w:rFonts w:cs="Times New Roman"/>
          <w:szCs w:val="24"/>
        </w:rPr>
        <w:t xml:space="preserve">and sets forth the </w:t>
      </w:r>
      <w:r w:rsidR="00AA51FF" w:rsidRPr="003E1D49">
        <w:rPr>
          <w:rFonts w:cs="Times New Roman"/>
          <w:szCs w:val="24"/>
        </w:rPr>
        <w:t>common</w:t>
      </w:r>
      <w:r w:rsidR="003B0064">
        <w:rPr>
          <w:rFonts w:cs="Times New Roman"/>
          <w:szCs w:val="24"/>
        </w:rPr>
        <w:t>-</w:t>
      </w:r>
      <w:r w:rsidR="00AA51FF" w:rsidRPr="003E1D49">
        <w:rPr>
          <w:rFonts w:cs="Times New Roman"/>
          <w:szCs w:val="24"/>
        </w:rPr>
        <w:t>law</w:t>
      </w:r>
      <w:r w:rsidR="00971CCF" w:rsidRPr="003E1D49">
        <w:rPr>
          <w:rFonts w:cs="Times New Roman"/>
          <w:szCs w:val="24"/>
        </w:rPr>
        <w:t xml:space="preserve"> rule on the admission of </w:t>
      </w:r>
      <w:r w:rsidR="000F4D5C" w:rsidRPr="003E1D49">
        <w:rPr>
          <w:rFonts w:cs="Times New Roman"/>
          <w:szCs w:val="24"/>
        </w:rPr>
        <w:t>former</w:t>
      </w:r>
      <w:r w:rsidR="00971CCF" w:rsidRPr="003E1D49">
        <w:rPr>
          <w:rFonts w:cs="Times New Roman"/>
          <w:szCs w:val="24"/>
        </w:rPr>
        <w:t xml:space="preserve"> testimony that continues to coexist with the statute</w:t>
      </w:r>
      <w:r w:rsidR="00996EF4" w:rsidRPr="003E1D49">
        <w:rPr>
          <w:rFonts w:cs="Times New Roman"/>
          <w:szCs w:val="24"/>
        </w:rPr>
        <w:t xml:space="preserve"> in a civil case.</w:t>
      </w:r>
      <w:r w:rsidR="00971CCF" w:rsidRPr="003E1D49">
        <w:rPr>
          <w:rFonts w:cs="Times New Roman"/>
          <w:szCs w:val="24"/>
        </w:rPr>
        <w:t xml:space="preserve"> </w:t>
      </w:r>
      <w:r w:rsidR="004A00E7" w:rsidRPr="003E1D49">
        <w:rPr>
          <w:rFonts w:cs="Times New Roman"/>
          <w:szCs w:val="24"/>
        </w:rPr>
        <w:t>T</w:t>
      </w:r>
      <w:r w:rsidR="00920A74" w:rsidRPr="003E1D49">
        <w:rPr>
          <w:rFonts w:cs="Times New Roman"/>
          <w:szCs w:val="24"/>
        </w:rPr>
        <w:t xml:space="preserve">here is no </w:t>
      </w:r>
      <w:r w:rsidR="00AA51FF" w:rsidRPr="003E1D49">
        <w:rPr>
          <w:rFonts w:cs="Times New Roman"/>
          <w:szCs w:val="24"/>
        </w:rPr>
        <w:t>common</w:t>
      </w:r>
      <w:r w:rsidR="00A806A3" w:rsidRPr="003E1D49">
        <w:rPr>
          <w:rFonts w:cs="Times New Roman"/>
          <w:szCs w:val="24"/>
        </w:rPr>
        <w:t>-</w:t>
      </w:r>
      <w:r w:rsidR="00AA51FF" w:rsidRPr="003E1D49">
        <w:rPr>
          <w:rFonts w:cs="Times New Roman"/>
          <w:szCs w:val="24"/>
        </w:rPr>
        <w:t>law</w:t>
      </w:r>
      <w:r w:rsidR="00920A74" w:rsidRPr="003E1D49">
        <w:rPr>
          <w:rFonts w:cs="Times New Roman"/>
          <w:szCs w:val="24"/>
        </w:rPr>
        <w:t xml:space="preserve"> former testimony exception applicable in criminal proceedings</w:t>
      </w:r>
      <w:r w:rsidR="008A6996" w:rsidRPr="003E1D49">
        <w:rPr>
          <w:rFonts w:cs="Times New Roman"/>
          <w:szCs w:val="24"/>
        </w:rPr>
        <w:t xml:space="preserve"> </w:t>
      </w:r>
      <w:r w:rsidR="00920A74" w:rsidRPr="003E1D49">
        <w:rPr>
          <w:rFonts w:cs="Times New Roman"/>
          <w:szCs w:val="24"/>
        </w:rPr>
        <w:t>(</w:t>
      </w:r>
      <w:r w:rsidR="00920A74" w:rsidRPr="003E1D49">
        <w:rPr>
          <w:rFonts w:cs="Times New Roman"/>
          <w:i/>
          <w:iCs/>
          <w:szCs w:val="24"/>
        </w:rPr>
        <w:t>People v Harding</w:t>
      </w:r>
      <w:r w:rsidR="00920A74" w:rsidRPr="003E1D49">
        <w:rPr>
          <w:rFonts w:cs="Times New Roman"/>
          <w:szCs w:val="24"/>
        </w:rPr>
        <w:t>, 37 NY2d 130</w:t>
      </w:r>
      <w:r w:rsidR="00A34000" w:rsidRPr="003E1D49">
        <w:rPr>
          <w:rFonts w:cs="Times New Roman"/>
          <w:szCs w:val="24"/>
        </w:rPr>
        <w:t>, 133-</w:t>
      </w:r>
      <w:r w:rsidR="006C1D1C" w:rsidRPr="003E1D49">
        <w:rPr>
          <w:rFonts w:cs="Times New Roman"/>
          <w:szCs w:val="24"/>
        </w:rPr>
        <w:t>1</w:t>
      </w:r>
      <w:r w:rsidR="00A34000" w:rsidRPr="003E1D49">
        <w:rPr>
          <w:rFonts w:cs="Times New Roman"/>
          <w:szCs w:val="24"/>
        </w:rPr>
        <w:t>34</w:t>
      </w:r>
      <w:r w:rsidR="00920A74" w:rsidRPr="003E1D49">
        <w:rPr>
          <w:rFonts w:cs="Times New Roman"/>
          <w:szCs w:val="24"/>
        </w:rPr>
        <w:t xml:space="preserve"> [1975]</w:t>
      </w:r>
      <w:r w:rsidR="005E798D" w:rsidRPr="003E1D49">
        <w:rPr>
          <w:rFonts w:cs="Times New Roman"/>
          <w:szCs w:val="24"/>
        </w:rPr>
        <w:t xml:space="preserve">; </w:t>
      </w:r>
      <w:r w:rsidR="005E798D" w:rsidRPr="003E1D49">
        <w:rPr>
          <w:rFonts w:cs="Times New Roman"/>
          <w:i/>
          <w:iCs/>
          <w:szCs w:val="24"/>
        </w:rPr>
        <w:t>see</w:t>
      </w:r>
      <w:r w:rsidR="005E798D" w:rsidRPr="003E1D49">
        <w:rPr>
          <w:rFonts w:cs="Times New Roman"/>
          <w:szCs w:val="24"/>
        </w:rPr>
        <w:t xml:space="preserve"> Guide to NY Evid rule 8.</w:t>
      </w:r>
      <w:r w:rsidR="00A40E78" w:rsidRPr="003E1D49">
        <w:rPr>
          <w:rFonts w:cs="Times New Roman"/>
          <w:szCs w:val="24"/>
        </w:rPr>
        <w:t>36.1</w:t>
      </w:r>
      <w:r w:rsidR="00D87F0D" w:rsidRPr="003E1D49">
        <w:rPr>
          <w:rFonts w:cs="Times New Roman"/>
          <w:szCs w:val="24"/>
        </w:rPr>
        <w:t>)</w:t>
      </w:r>
      <w:r w:rsidR="006C1D1C" w:rsidRPr="003E1D49">
        <w:rPr>
          <w:rFonts w:cs="Times New Roman"/>
          <w:szCs w:val="24"/>
        </w:rPr>
        <w:t>.</w:t>
      </w:r>
    </w:p>
    <w:p w14:paraId="48677A18" w14:textId="77777777" w:rsidR="005F13C9" w:rsidRPr="003E1D49" w:rsidRDefault="005F13C9" w:rsidP="003E1D49">
      <w:pPr>
        <w:spacing w:line="240" w:lineRule="auto"/>
        <w:ind w:left="0"/>
        <w:rPr>
          <w:rFonts w:cs="Times New Roman"/>
          <w:szCs w:val="24"/>
        </w:rPr>
      </w:pPr>
    </w:p>
    <w:p w14:paraId="2EBD8D97" w14:textId="30FE0987" w:rsidR="00904935" w:rsidRPr="003E1D49" w:rsidRDefault="00904935" w:rsidP="003E1D49">
      <w:pPr>
        <w:spacing w:line="240" w:lineRule="auto"/>
        <w:ind w:left="0"/>
        <w:rPr>
          <w:rFonts w:cs="Times New Roman"/>
          <w:b/>
          <w:bCs/>
          <w:szCs w:val="24"/>
        </w:rPr>
      </w:pPr>
      <w:r w:rsidRPr="003E1D49">
        <w:rPr>
          <w:rFonts w:cs="Times New Roman"/>
          <w:b/>
          <w:bCs/>
          <w:szCs w:val="24"/>
        </w:rPr>
        <w:t>Part I</w:t>
      </w:r>
    </w:p>
    <w:p w14:paraId="101CA1CA" w14:textId="77777777" w:rsidR="00243E4A" w:rsidRPr="003E1D49" w:rsidRDefault="00243E4A" w:rsidP="003E1D49">
      <w:pPr>
        <w:spacing w:line="240" w:lineRule="auto"/>
        <w:ind w:left="0" w:right="-720"/>
        <w:rPr>
          <w:rFonts w:cs="Times New Roman"/>
          <w:szCs w:val="24"/>
        </w:rPr>
      </w:pPr>
    </w:p>
    <w:p w14:paraId="16EDEA0A" w14:textId="120C1456" w:rsidR="0029106E" w:rsidRPr="003E1D49" w:rsidRDefault="00243E4A" w:rsidP="00643082">
      <w:pPr>
        <w:spacing w:line="240" w:lineRule="auto"/>
        <w:ind w:left="0"/>
        <w:rPr>
          <w:rFonts w:cs="Times New Roman"/>
          <w:szCs w:val="24"/>
        </w:rPr>
      </w:pPr>
      <w:r w:rsidRPr="003E1D49">
        <w:rPr>
          <w:rFonts w:cs="Times New Roman"/>
          <w:szCs w:val="24"/>
        </w:rPr>
        <w:tab/>
      </w:r>
      <w:r w:rsidRPr="003E1D49">
        <w:rPr>
          <w:rFonts w:cs="Times New Roman"/>
          <w:b/>
          <w:bCs/>
          <w:szCs w:val="24"/>
        </w:rPr>
        <w:t>Subdivision (a)</w:t>
      </w:r>
      <w:r w:rsidR="00C74566" w:rsidRPr="003E1D49">
        <w:rPr>
          <w:rFonts w:cs="Times New Roman"/>
          <w:b/>
          <w:bCs/>
          <w:szCs w:val="24"/>
        </w:rPr>
        <w:t xml:space="preserve"> </w:t>
      </w:r>
      <w:r w:rsidRPr="003E1D49">
        <w:rPr>
          <w:rFonts w:cs="Times New Roman"/>
          <w:szCs w:val="24"/>
        </w:rPr>
        <w:t>requires that the former testimony must have been “taken at a prior trial in the same action or at a prior trial involving the same parties or their representatives and arising from the same subject matter</w:t>
      </w:r>
      <w:r w:rsidR="006C1D1C" w:rsidRPr="003E1D49">
        <w:rPr>
          <w:rFonts w:cs="Times New Roman"/>
          <w:szCs w:val="24"/>
        </w:rPr>
        <w:t>.</w:t>
      </w:r>
      <w:r w:rsidRPr="003E1D49">
        <w:rPr>
          <w:rFonts w:cs="Times New Roman"/>
          <w:szCs w:val="24"/>
        </w:rPr>
        <w:t xml:space="preserve">” </w:t>
      </w:r>
      <w:r w:rsidR="00BB248B" w:rsidRPr="003E1D49">
        <w:rPr>
          <w:rFonts w:cs="Times New Roman"/>
          <w:szCs w:val="24"/>
        </w:rPr>
        <w:t xml:space="preserve"> </w:t>
      </w:r>
      <w:r w:rsidR="002B596D" w:rsidRPr="003E1D49">
        <w:rPr>
          <w:rFonts w:cs="Times New Roman"/>
          <w:iCs/>
          <w:szCs w:val="24"/>
        </w:rPr>
        <w:t>Cf.</w:t>
      </w:r>
      <w:r w:rsidR="008072A8" w:rsidRPr="003E1D49">
        <w:rPr>
          <w:rFonts w:cs="Times New Roman"/>
          <w:szCs w:val="24"/>
        </w:rPr>
        <w:t xml:space="preserve"> Part II</w:t>
      </w:r>
      <w:r w:rsidR="007071F3" w:rsidRPr="003E1D49">
        <w:rPr>
          <w:rFonts w:cs="Times New Roman"/>
          <w:szCs w:val="24"/>
        </w:rPr>
        <w:t xml:space="preserve">: </w:t>
      </w:r>
      <w:r w:rsidR="008072A8" w:rsidRPr="003E1D49">
        <w:rPr>
          <w:rFonts w:cs="Times New Roman"/>
          <w:szCs w:val="24"/>
        </w:rPr>
        <w:t xml:space="preserve"> </w:t>
      </w:r>
      <w:bookmarkStart w:id="2" w:name="_Hlk45891316"/>
      <w:r w:rsidR="008072A8" w:rsidRPr="003E1D49">
        <w:rPr>
          <w:rFonts w:cs="Times New Roman"/>
          <w:szCs w:val="24"/>
        </w:rPr>
        <w:t xml:space="preserve">the </w:t>
      </w:r>
      <w:r w:rsidR="00D568CF" w:rsidRPr="003E1D49">
        <w:rPr>
          <w:rFonts w:cs="Times New Roman"/>
          <w:szCs w:val="24"/>
        </w:rPr>
        <w:t>common</w:t>
      </w:r>
      <w:r w:rsidR="006C1D1C" w:rsidRPr="003E1D49">
        <w:rPr>
          <w:rFonts w:cs="Times New Roman"/>
          <w:szCs w:val="24"/>
        </w:rPr>
        <w:t>-</w:t>
      </w:r>
      <w:r w:rsidR="008072A8" w:rsidRPr="003E1D49">
        <w:rPr>
          <w:rFonts w:cs="Times New Roman"/>
          <w:szCs w:val="24"/>
        </w:rPr>
        <w:t>law rule</w:t>
      </w:r>
      <w:r w:rsidR="00AE235F" w:rsidRPr="003E1D49">
        <w:rPr>
          <w:rFonts w:cs="Times New Roman"/>
          <w:szCs w:val="24"/>
        </w:rPr>
        <w:t xml:space="preserve"> </w:t>
      </w:r>
      <w:r w:rsidR="008072A8" w:rsidRPr="003E1D49">
        <w:rPr>
          <w:rFonts w:cs="Times New Roman"/>
          <w:szCs w:val="24"/>
        </w:rPr>
        <w:t xml:space="preserve">does not require that the former testimony be “taken at a prior trial” </w:t>
      </w:r>
      <w:r w:rsidR="0066374B" w:rsidRPr="003E1D49">
        <w:rPr>
          <w:rFonts w:cs="Times New Roman"/>
          <w:szCs w:val="24"/>
        </w:rPr>
        <w:t>(</w:t>
      </w:r>
      <w:r w:rsidR="00A968DC" w:rsidRPr="003E1D49">
        <w:rPr>
          <w:rFonts w:cs="Times New Roman"/>
          <w:i/>
          <w:iCs/>
          <w:szCs w:val="24"/>
        </w:rPr>
        <w:t>Siegel v Waldbaum</w:t>
      </w:r>
      <w:r w:rsidR="00A968DC" w:rsidRPr="003E1D49">
        <w:rPr>
          <w:rFonts w:cs="Times New Roman"/>
          <w:szCs w:val="24"/>
        </w:rPr>
        <w:t>, 59 AD2d 555, 555 [2d Dept 1977]</w:t>
      </w:r>
      <w:r w:rsidR="0066374B" w:rsidRPr="003E1D49">
        <w:rPr>
          <w:rFonts w:cs="Times New Roman"/>
          <w:szCs w:val="24"/>
        </w:rPr>
        <w:t>)</w:t>
      </w:r>
      <w:r w:rsidR="00154BDC" w:rsidRPr="003E1D49">
        <w:rPr>
          <w:rFonts w:cs="Times New Roman"/>
          <w:szCs w:val="24"/>
        </w:rPr>
        <w:t>.</w:t>
      </w:r>
    </w:p>
    <w:bookmarkEnd w:id="2"/>
    <w:p w14:paraId="46EFE9A1" w14:textId="77777777" w:rsidR="0029106E" w:rsidRPr="003E1D49" w:rsidRDefault="0029106E" w:rsidP="003E1D49">
      <w:pPr>
        <w:spacing w:line="240" w:lineRule="auto"/>
        <w:ind w:left="0" w:right="-144"/>
        <w:rPr>
          <w:rFonts w:cs="Times New Roman"/>
          <w:szCs w:val="24"/>
        </w:rPr>
      </w:pPr>
    </w:p>
    <w:p w14:paraId="438C1E10" w14:textId="6A0E4206" w:rsidR="00A968DC" w:rsidRPr="003E1D49" w:rsidRDefault="003E1D49" w:rsidP="00643082">
      <w:pPr>
        <w:tabs>
          <w:tab w:val="left" w:pos="720"/>
        </w:tabs>
        <w:spacing w:line="240" w:lineRule="auto"/>
        <w:ind w:left="0"/>
        <w:rPr>
          <w:rFonts w:cs="Times New Roman"/>
          <w:szCs w:val="24"/>
        </w:rPr>
      </w:pPr>
      <w:r>
        <w:rPr>
          <w:rFonts w:cs="Times New Roman"/>
          <w:szCs w:val="24"/>
        </w:rPr>
        <w:tab/>
      </w:r>
      <w:r w:rsidR="00154BDC" w:rsidRPr="003E1D49">
        <w:rPr>
          <w:rFonts w:cs="Times New Roman"/>
          <w:szCs w:val="24"/>
        </w:rPr>
        <w:t>Subdivision (a) proceeds to define the authorized uses of the fo</w:t>
      </w:r>
      <w:r w:rsidR="0029106E" w:rsidRPr="003E1D49">
        <w:rPr>
          <w:rFonts w:cs="Times New Roman"/>
          <w:szCs w:val="24"/>
        </w:rPr>
        <w:t>rmer testimony in its following paragraphs.</w:t>
      </w:r>
    </w:p>
    <w:p w14:paraId="0F7D501E" w14:textId="77777777" w:rsidR="00A968DC" w:rsidRPr="003E1D49" w:rsidRDefault="00A968DC" w:rsidP="003E1D49">
      <w:pPr>
        <w:spacing w:line="240" w:lineRule="auto"/>
        <w:ind w:left="0" w:right="-144"/>
        <w:rPr>
          <w:rFonts w:cs="Times New Roman"/>
          <w:szCs w:val="24"/>
        </w:rPr>
      </w:pPr>
    </w:p>
    <w:p w14:paraId="466A0A7E" w14:textId="17BB4A7A" w:rsidR="004C710B" w:rsidRDefault="003E1D49" w:rsidP="00643082">
      <w:pPr>
        <w:tabs>
          <w:tab w:val="left" w:pos="720"/>
        </w:tabs>
        <w:spacing w:line="240" w:lineRule="auto"/>
        <w:ind w:left="0"/>
        <w:rPr>
          <w:rFonts w:cs="Times New Roman"/>
          <w:szCs w:val="24"/>
        </w:rPr>
      </w:pPr>
      <w:r>
        <w:rPr>
          <w:rFonts w:cs="Times New Roman"/>
          <w:szCs w:val="24"/>
        </w:rPr>
        <w:tab/>
      </w:r>
      <w:r w:rsidR="009058CA" w:rsidRPr="003E1D49">
        <w:rPr>
          <w:rFonts w:cs="Times New Roman"/>
          <w:szCs w:val="24"/>
        </w:rPr>
        <w:t>Subdivision</w:t>
      </w:r>
      <w:r w:rsidR="00B52F27" w:rsidRPr="003E1D49">
        <w:rPr>
          <w:rFonts w:cs="Times New Roman"/>
          <w:szCs w:val="24"/>
        </w:rPr>
        <w:t xml:space="preserve"> </w:t>
      </w:r>
      <w:r w:rsidR="00243E4A" w:rsidRPr="003E1D49">
        <w:rPr>
          <w:rFonts w:cs="Times New Roman"/>
          <w:szCs w:val="24"/>
        </w:rPr>
        <w:t>(a)</w:t>
      </w:r>
      <w:r w:rsidR="006C1D1C" w:rsidRPr="003E1D49">
        <w:rPr>
          <w:rFonts w:cs="Times New Roman"/>
          <w:szCs w:val="24"/>
        </w:rPr>
        <w:t xml:space="preserve"> </w:t>
      </w:r>
      <w:r w:rsidR="00243E4A" w:rsidRPr="003E1D49">
        <w:rPr>
          <w:rFonts w:cs="Times New Roman"/>
          <w:szCs w:val="24"/>
        </w:rPr>
        <w:t>(</w:t>
      </w:r>
      <w:r w:rsidR="003F430F" w:rsidRPr="003E1D49">
        <w:rPr>
          <w:rFonts w:cs="Times New Roman"/>
          <w:szCs w:val="24"/>
        </w:rPr>
        <w:t>1</w:t>
      </w:r>
      <w:r w:rsidR="00243E4A" w:rsidRPr="003E1D49">
        <w:rPr>
          <w:rFonts w:cs="Times New Roman"/>
          <w:szCs w:val="24"/>
        </w:rPr>
        <w:t>) provides for the use of the former testimony for impeachment of witnesses.</w:t>
      </w:r>
    </w:p>
    <w:p w14:paraId="5DA7B0F4" w14:textId="77777777" w:rsidR="003E1D49" w:rsidRPr="003E1D49" w:rsidRDefault="003E1D49" w:rsidP="003E1D49">
      <w:pPr>
        <w:spacing w:line="240" w:lineRule="auto"/>
        <w:ind w:left="0" w:right="-144"/>
        <w:rPr>
          <w:rFonts w:cs="Times New Roman"/>
          <w:szCs w:val="24"/>
        </w:rPr>
      </w:pPr>
    </w:p>
    <w:p w14:paraId="7B866E15" w14:textId="0724EDFC" w:rsidR="004C710B" w:rsidRDefault="003E1D49" w:rsidP="00643082">
      <w:pPr>
        <w:tabs>
          <w:tab w:val="left" w:pos="720"/>
        </w:tabs>
        <w:spacing w:line="240" w:lineRule="auto"/>
        <w:ind w:left="0"/>
        <w:rPr>
          <w:rFonts w:cs="Times New Roman"/>
          <w:szCs w:val="24"/>
        </w:rPr>
      </w:pPr>
      <w:r>
        <w:rPr>
          <w:rFonts w:cs="Times New Roman"/>
          <w:szCs w:val="24"/>
        </w:rPr>
        <w:tab/>
      </w:r>
      <w:r w:rsidR="009058CA" w:rsidRPr="003E1D49">
        <w:rPr>
          <w:rFonts w:cs="Times New Roman"/>
          <w:szCs w:val="24"/>
        </w:rPr>
        <w:t>Subdivision</w:t>
      </w:r>
      <w:r w:rsidR="00243E4A" w:rsidRPr="003E1D49">
        <w:rPr>
          <w:rFonts w:cs="Times New Roman"/>
          <w:szCs w:val="24"/>
        </w:rPr>
        <w:t xml:space="preserve"> (a)</w:t>
      </w:r>
      <w:r w:rsidR="006C1D1C" w:rsidRPr="003E1D49">
        <w:rPr>
          <w:rFonts w:cs="Times New Roman"/>
          <w:szCs w:val="24"/>
        </w:rPr>
        <w:t xml:space="preserve"> </w:t>
      </w:r>
      <w:r w:rsidR="00243E4A" w:rsidRPr="003E1D49">
        <w:rPr>
          <w:rFonts w:cs="Times New Roman"/>
          <w:szCs w:val="24"/>
        </w:rPr>
        <w:t>(</w:t>
      </w:r>
      <w:r w:rsidR="003F430F" w:rsidRPr="003E1D49">
        <w:rPr>
          <w:rFonts w:cs="Times New Roman"/>
          <w:szCs w:val="24"/>
        </w:rPr>
        <w:t>2</w:t>
      </w:r>
      <w:r w:rsidR="00243E4A" w:rsidRPr="003E1D49">
        <w:rPr>
          <w:rFonts w:cs="Times New Roman"/>
          <w:szCs w:val="24"/>
        </w:rPr>
        <w:t xml:space="preserve">) governs the use of former testimony of an adverse party and the </w:t>
      </w:r>
      <w:r w:rsidR="009100CC" w:rsidRPr="003E1D49">
        <w:rPr>
          <w:rFonts w:cs="Times New Roman"/>
          <w:bCs/>
          <w:i/>
          <w:szCs w:val="24"/>
        </w:rPr>
        <w:t>adverse</w:t>
      </w:r>
      <w:r w:rsidR="009100CC" w:rsidRPr="003E1D49">
        <w:rPr>
          <w:rFonts w:cs="Times New Roman"/>
          <w:szCs w:val="24"/>
        </w:rPr>
        <w:t xml:space="preserve"> party’s</w:t>
      </w:r>
      <w:r w:rsidR="00243E4A" w:rsidRPr="003E1D49">
        <w:rPr>
          <w:rFonts w:cs="Times New Roman"/>
          <w:szCs w:val="24"/>
        </w:rPr>
        <w:t xml:space="preserve"> employees. </w:t>
      </w:r>
    </w:p>
    <w:p w14:paraId="7756B321" w14:textId="77777777" w:rsidR="003E1D49" w:rsidRPr="003E1D49" w:rsidRDefault="003E1D49" w:rsidP="003E1D49">
      <w:pPr>
        <w:spacing w:line="240" w:lineRule="auto"/>
        <w:ind w:left="0" w:right="-144"/>
        <w:rPr>
          <w:rFonts w:cs="Times New Roman"/>
          <w:szCs w:val="24"/>
        </w:rPr>
      </w:pPr>
    </w:p>
    <w:p w14:paraId="2064ED7E" w14:textId="5CC24E4F" w:rsidR="004C710B" w:rsidRPr="003E1D49" w:rsidRDefault="003E1D49" w:rsidP="00643082">
      <w:pPr>
        <w:tabs>
          <w:tab w:val="left" w:pos="720"/>
        </w:tabs>
        <w:spacing w:line="240" w:lineRule="auto"/>
        <w:ind w:left="0"/>
        <w:rPr>
          <w:rFonts w:cs="Times New Roman"/>
          <w:szCs w:val="24"/>
        </w:rPr>
      </w:pPr>
      <w:r>
        <w:rPr>
          <w:rFonts w:cs="Times New Roman"/>
          <w:szCs w:val="24"/>
        </w:rPr>
        <w:lastRenderedPageBreak/>
        <w:tab/>
      </w:r>
      <w:r w:rsidR="009058CA" w:rsidRPr="003E1D49">
        <w:rPr>
          <w:rFonts w:cs="Times New Roman"/>
          <w:szCs w:val="24"/>
        </w:rPr>
        <w:t>Subdivision</w:t>
      </w:r>
      <w:r w:rsidR="00243E4A" w:rsidRPr="003E1D49">
        <w:rPr>
          <w:rFonts w:cs="Times New Roman"/>
          <w:szCs w:val="24"/>
        </w:rPr>
        <w:t xml:space="preserve"> (a)</w:t>
      </w:r>
      <w:r w:rsidR="006C1D1C" w:rsidRPr="003E1D49">
        <w:rPr>
          <w:rFonts w:cs="Times New Roman"/>
          <w:szCs w:val="24"/>
        </w:rPr>
        <w:t xml:space="preserve"> </w:t>
      </w:r>
      <w:r w:rsidR="00243E4A" w:rsidRPr="003E1D49">
        <w:rPr>
          <w:rFonts w:cs="Times New Roman"/>
          <w:szCs w:val="24"/>
        </w:rPr>
        <w:t>(</w:t>
      </w:r>
      <w:r w:rsidR="003F430F" w:rsidRPr="003E1D49">
        <w:rPr>
          <w:rFonts w:cs="Times New Roman"/>
          <w:szCs w:val="24"/>
        </w:rPr>
        <w:t>3</w:t>
      </w:r>
      <w:r w:rsidR="00243E4A" w:rsidRPr="003E1D49">
        <w:rPr>
          <w:rFonts w:cs="Times New Roman"/>
          <w:szCs w:val="24"/>
        </w:rPr>
        <w:t xml:space="preserve">) provides for the admissibility of the former trial testimony of a witness who is now deemed to be unavailable </w:t>
      </w:r>
      <w:r w:rsidR="00ED5BB8" w:rsidRPr="003E1D49">
        <w:rPr>
          <w:rFonts w:cs="Times New Roman"/>
          <w:szCs w:val="24"/>
        </w:rPr>
        <w:t>(</w:t>
      </w:r>
      <w:r w:rsidR="00243E4A" w:rsidRPr="003E1D49">
        <w:rPr>
          <w:rFonts w:cs="Times New Roman"/>
          <w:szCs w:val="24"/>
        </w:rPr>
        <w:t xml:space="preserve">by reason of one of the five categories of unavailability set forth </w:t>
      </w:r>
      <w:r w:rsidR="00872576" w:rsidRPr="003E1D49">
        <w:rPr>
          <w:rFonts w:cs="Times New Roman"/>
          <w:szCs w:val="24"/>
        </w:rPr>
        <w:t>in the rule</w:t>
      </w:r>
      <w:r w:rsidR="00ED5BB8" w:rsidRPr="003E1D49">
        <w:rPr>
          <w:rFonts w:cs="Times New Roman"/>
          <w:szCs w:val="24"/>
        </w:rPr>
        <w:t>)</w:t>
      </w:r>
      <w:r w:rsidR="00872576" w:rsidRPr="003E1D49">
        <w:rPr>
          <w:rFonts w:cs="Times New Roman"/>
          <w:szCs w:val="24"/>
        </w:rPr>
        <w:t xml:space="preserve"> </w:t>
      </w:r>
      <w:r w:rsidR="00243E4A" w:rsidRPr="003E1D49">
        <w:rPr>
          <w:rFonts w:cs="Times New Roman"/>
          <w:szCs w:val="24"/>
        </w:rPr>
        <w:t>to testify against a party who, at the former trial, had an opportunity to cross-examine the party.</w:t>
      </w:r>
    </w:p>
    <w:p w14:paraId="23DA065D" w14:textId="77777777" w:rsidR="00052824" w:rsidRPr="003E1D49" w:rsidRDefault="00052824" w:rsidP="003E1D49">
      <w:pPr>
        <w:spacing w:line="240" w:lineRule="auto"/>
        <w:ind w:left="0" w:right="-144"/>
        <w:rPr>
          <w:rFonts w:cs="Times New Roman"/>
          <w:szCs w:val="24"/>
        </w:rPr>
      </w:pPr>
    </w:p>
    <w:p w14:paraId="5CFB3B7E" w14:textId="47F9F957" w:rsidR="003D583E" w:rsidRPr="003E1D49" w:rsidRDefault="003E1D49" w:rsidP="00643082">
      <w:pPr>
        <w:tabs>
          <w:tab w:val="left" w:pos="720"/>
        </w:tabs>
        <w:spacing w:line="240" w:lineRule="auto"/>
        <w:ind w:left="0"/>
        <w:rPr>
          <w:rFonts w:cs="Times New Roman"/>
          <w:szCs w:val="24"/>
        </w:rPr>
      </w:pPr>
      <w:r>
        <w:rPr>
          <w:rFonts w:cs="Times New Roman"/>
          <w:szCs w:val="24"/>
        </w:rPr>
        <w:tab/>
      </w:r>
      <w:r w:rsidR="009058CA" w:rsidRPr="003E1D49">
        <w:rPr>
          <w:rFonts w:cs="Times New Roman"/>
          <w:szCs w:val="24"/>
        </w:rPr>
        <w:t>Subdivision</w:t>
      </w:r>
      <w:r w:rsidR="00243E4A" w:rsidRPr="003E1D49">
        <w:rPr>
          <w:rFonts w:cs="Times New Roman"/>
          <w:szCs w:val="24"/>
        </w:rPr>
        <w:t xml:space="preserve"> (a)</w:t>
      </w:r>
      <w:r w:rsidR="009058CA" w:rsidRPr="003E1D49">
        <w:rPr>
          <w:rFonts w:cs="Times New Roman"/>
          <w:szCs w:val="24"/>
        </w:rPr>
        <w:t xml:space="preserve"> </w:t>
      </w:r>
      <w:r w:rsidR="00243E4A" w:rsidRPr="003E1D49">
        <w:rPr>
          <w:rFonts w:cs="Times New Roman"/>
          <w:szCs w:val="24"/>
        </w:rPr>
        <w:t>(</w:t>
      </w:r>
      <w:r w:rsidR="003D583E" w:rsidRPr="003E1D49">
        <w:rPr>
          <w:rFonts w:cs="Times New Roman"/>
          <w:szCs w:val="24"/>
        </w:rPr>
        <w:t>4</w:t>
      </w:r>
      <w:r w:rsidR="00243E4A" w:rsidRPr="003E1D49">
        <w:rPr>
          <w:rFonts w:cs="Times New Roman"/>
          <w:szCs w:val="24"/>
        </w:rPr>
        <w:t>) permits the use of the former testimony of a physician by any party for any purpose without the need to show unavailability or special circumstances, subject to the court’s discretion.</w:t>
      </w:r>
    </w:p>
    <w:p w14:paraId="26A6A010" w14:textId="77777777" w:rsidR="00B6648F" w:rsidRPr="003E1D49" w:rsidRDefault="00B6648F" w:rsidP="003E1D49">
      <w:pPr>
        <w:spacing w:line="240" w:lineRule="auto"/>
        <w:ind w:left="0" w:right="-144"/>
        <w:rPr>
          <w:rFonts w:cs="Times New Roman"/>
          <w:szCs w:val="24"/>
        </w:rPr>
      </w:pPr>
    </w:p>
    <w:p w14:paraId="66D03DE9" w14:textId="26BFA652" w:rsidR="00243E4A" w:rsidRPr="003E1D49" w:rsidRDefault="003E1D49" w:rsidP="00643082">
      <w:pPr>
        <w:tabs>
          <w:tab w:val="left" w:pos="720"/>
        </w:tabs>
        <w:spacing w:line="240" w:lineRule="auto"/>
        <w:ind w:left="0"/>
        <w:rPr>
          <w:rFonts w:cs="Times New Roman"/>
          <w:szCs w:val="24"/>
        </w:rPr>
      </w:pPr>
      <w:r>
        <w:rPr>
          <w:rFonts w:cs="Times New Roman"/>
          <w:szCs w:val="24"/>
        </w:rPr>
        <w:tab/>
      </w:r>
      <w:r w:rsidR="0090153B" w:rsidRPr="003E1D49">
        <w:rPr>
          <w:rFonts w:cs="Times New Roman"/>
          <w:szCs w:val="24"/>
        </w:rPr>
        <w:t xml:space="preserve">For an analysis of those paragraphs, </w:t>
      </w:r>
      <w:r w:rsidR="0090153B" w:rsidRPr="003E1D49">
        <w:rPr>
          <w:rFonts w:cs="Times New Roman"/>
          <w:iCs/>
          <w:szCs w:val="24"/>
        </w:rPr>
        <w:t>see</w:t>
      </w:r>
      <w:r w:rsidR="0090153B" w:rsidRPr="003E1D49">
        <w:rPr>
          <w:rFonts w:cs="Times New Roman"/>
          <w:i/>
          <w:iCs/>
          <w:szCs w:val="24"/>
        </w:rPr>
        <w:t xml:space="preserve"> </w:t>
      </w:r>
      <w:r w:rsidR="00D74F86" w:rsidRPr="003E1D49">
        <w:rPr>
          <w:rFonts w:cs="Times New Roman"/>
          <w:szCs w:val="24"/>
          <w:lang w:val="x-none"/>
        </w:rPr>
        <w:t>Vincent C. Alexander, Practice Commentaries</w:t>
      </w:r>
      <w:r w:rsidR="006C1D1C" w:rsidRPr="003E1D49">
        <w:rPr>
          <w:rFonts w:cs="Times New Roman"/>
          <w:szCs w:val="24"/>
        </w:rPr>
        <w:t xml:space="preserve"> (</w:t>
      </w:r>
      <w:r w:rsidR="00D74F86" w:rsidRPr="003E1D49">
        <w:rPr>
          <w:rFonts w:cs="Times New Roman"/>
          <w:szCs w:val="24"/>
          <w:lang w:val="x-none"/>
        </w:rPr>
        <w:t xml:space="preserve">McKinney’s Cons Laws of NY, Book 7B, CPLR </w:t>
      </w:r>
      <w:r w:rsidR="00243E4A" w:rsidRPr="003E1D49">
        <w:rPr>
          <w:rFonts w:cs="Times New Roman"/>
          <w:szCs w:val="24"/>
        </w:rPr>
        <w:t>4517</w:t>
      </w:r>
      <w:r w:rsidR="006C1D1C" w:rsidRPr="003E1D49">
        <w:rPr>
          <w:rFonts w:cs="Times New Roman"/>
          <w:szCs w:val="24"/>
        </w:rPr>
        <w:t>)</w:t>
      </w:r>
      <w:r w:rsidR="00243E4A" w:rsidRPr="003E1D49">
        <w:rPr>
          <w:rFonts w:cs="Times New Roman"/>
          <w:szCs w:val="24"/>
        </w:rPr>
        <w:t>.</w:t>
      </w:r>
    </w:p>
    <w:p w14:paraId="0E36E769" w14:textId="5422EB1A" w:rsidR="00243E4A" w:rsidRPr="003E1D49" w:rsidRDefault="00243E4A" w:rsidP="003E1D49">
      <w:pPr>
        <w:spacing w:line="240" w:lineRule="auto"/>
        <w:ind w:left="0" w:right="-144"/>
        <w:rPr>
          <w:rFonts w:cs="Times New Roman"/>
          <w:szCs w:val="24"/>
        </w:rPr>
      </w:pPr>
    </w:p>
    <w:p w14:paraId="6B5852AD" w14:textId="42D3959B" w:rsidR="00243E4A" w:rsidRPr="003E1D49" w:rsidRDefault="00243E4A" w:rsidP="00643082">
      <w:pPr>
        <w:spacing w:line="240" w:lineRule="auto"/>
        <w:ind w:left="0"/>
        <w:rPr>
          <w:rFonts w:cs="Times New Roman"/>
          <w:szCs w:val="24"/>
        </w:rPr>
      </w:pPr>
      <w:r w:rsidRPr="003E1D49">
        <w:rPr>
          <w:rFonts w:cs="Times New Roman"/>
          <w:szCs w:val="24"/>
        </w:rPr>
        <w:tab/>
        <w:t>Subdivision (</w:t>
      </w:r>
      <w:r w:rsidR="00372417" w:rsidRPr="003E1D49">
        <w:rPr>
          <w:rFonts w:cs="Times New Roman"/>
          <w:szCs w:val="24"/>
        </w:rPr>
        <w:t>b</w:t>
      </w:r>
      <w:r w:rsidRPr="003E1D49">
        <w:rPr>
          <w:rFonts w:cs="Times New Roman"/>
          <w:szCs w:val="24"/>
        </w:rPr>
        <w:t xml:space="preserve">) sets forth the </w:t>
      </w:r>
      <w:r w:rsidR="00AA51FF" w:rsidRPr="003E1D49">
        <w:rPr>
          <w:rFonts w:cs="Times New Roman"/>
          <w:szCs w:val="24"/>
        </w:rPr>
        <w:t>common</w:t>
      </w:r>
      <w:r w:rsidR="00C81ECB">
        <w:rPr>
          <w:rFonts w:cs="Times New Roman"/>
          <w:szCs w:val="24"/>
        </w:rPr>
        <w:t>-</w:t>
      </w:r>
      <w:r w:rsidR="00AA51FF" w:rsidRPr="003E1D49">
        <w:rPr>
          <w:rFonts w:cs="Times New Roman"/>
          <w:szCs w:val="24"/>
        </w:rPr>
        <w:t>law</w:t>
      </w:r>
      <w:r w:rsidRPr="003E1D49">
        <w:rPr>
          <w:rFonts w:cs="Times New Roman"/>
          <w:szCs w:val="24"/>
        </w:rPr>
        <w:t xml:space="preserve"> rule of completeness as applied to former testimony</w:t>
      </w:r>
      <w:r w:rsidR="004B3FFF" w:rsidRPr="003E1D49">
        <w:rPr>
          <w:rFonts w:cs="Times New Roman"/>
          <w:szCs w:val="24"/>
        </w:rPr>
        <w:t>, which is also set forth in Guide to NY Evid</w:t>
      </w:r>
      <w:r w:rsidR="006C1D1C" w:rsidRPr="003E1D49">
        <w:rPr>
          <w:rFonts w:cs="Times New Roman"/>
          <w:szCs w:val="24"/>
        </w:rPr>
        <w:t>ence</w:t>
      </w:r>
      <w:r w:rsidR="004B3FFF" w:rsidRPr="003E1D49">
        <w:rPr>
          <w:rFonts w:cs="Times New Roman"/>
          <w:szCs w:val="24"/>
        </w:rPr>
        <w:t xml:space="preserve"> rule</w:t>
      </w:r>
      <w:r w:rsidRPr="003E1D49">
        <w:rPr>
          <w:rFonts w:cs="Times New Roman"/>
          <w:szCs w:val="24"/>
        </w:rPr>
        <w:t xml:space="preserve"> 4.03.</w:t>
      </w:r>
    </w:p>
    <w:p w14:paraId="3668A525" w14:textId="77777777" w:rsidR="00243E4A" w:rsidRPr="003E1D49" w:rsidRDefault="00243E4A" w:rsidP="003E1D49">
      <w:pPr>
        <w:spacing w:line="240" w:lineRule="auto"/>
        <w:ind w:left="0" w:right="-144"/>
        <w:rPr>
          <w:rFonts w:cs="Times New Roman"/>
          <w:szCs w:val="24"/>
        </w:rPr>
      </w:pPr>
    </w:p>
    <w:p w14:paraId="67943E4D" w14:textId="2CD06740" w:rsidR="00243E4A" w:rsidRPr="003E1D49" w:rsidRDefault="00243E4A" w:rsidP="00643082">
      <w:pPr>
        <w:spacing w:line="240" w:lineRule="auto"/>
        <w:ind w:left="0"/>
        <w:rPr>
          <w:rFonts w:cs="Times New Roman"/>
          <w:szCs w:val="24"/>
        </w:rPr>
      </w:pPr>
      <w:r w:rsidRPr="003E1D49">
        <w:rPr>
          <w:rFonts w:cs="Times New Roman"/>
          <w:szCs w:val="24"/>
        </w:rPr>
        <w:tab/>
        <w:t>Subdivision (</w:t>
      </w:r>
      <w:r w:rsidR="004B3FFF" w:rsidRPr="003E1D49">
        <w:rPr>
          <w:rFonts w:cs="Times New Roman"/>
          <w:szCs w:val="24"/>
        </w:rPr>
        <w:t>c</w:t>
      </w:r>
      <w:r w:rsidRPr="003E1D49">
        <w:rPr>
          <w:rFonts w:cs="Times New Roman"/>
          <w:szCs w:val="24"/>
        </w:rPr>
        <w:t>)</w:t>
      </w:r>
      <w:r w:rsidR="00A30E70" w:rsidRPr="003E1D49">
        <w:rPr>
          <w:rFonts w:cs="Times New Roman"/>
          <w:szCs w:val="24"/>
        </w:rPr>
        <w:t>,</w:t>
      </w:r>
      <w:r w:rsidRPr="003E1D49">
        <w:rPr>
          <w:rFonts w:cs="Times New Roman"/>
          <w:szCs w:val="24"/>
        </w:rPr>
        <w:t xml:space="preserve"> </w:t>
      </w:r>
      <w:r w:rsidR="000918D4" w:rsidRPr="003E1D49">
        <w:rPr>
          <w:rFonts w:cs="Times New Roman"/>
          <w:szCs w:val="24"/>
        </w:rPr>
        <w:t>which provides that the “[s]</w:t>
      </w:r>
      <w:r w:rsidR="008755C0" w:rsidRPr="003E1D49">
        <w:rPr>
          <w:rFonts w:cs="Times New Roman"/>
          <w:szCs w:val="24"/>
        </w:rPr>
        <w:t>ubstitution of parties does not affect the right to use testimony previously taken at trial</w:t>
      </w:r>
      <w:r w:rsidR="00DE7C5D" w:rsidRPr="003E1D49">
        <w:rPr>
          <w:rFonts w:cs="Times New Roman"/>
          <w:szCs w:val="24"/>
        </w:rPr>
        <w:t>,</w:t>
      </w:r>
      <w:r w:rsidR="00701661" w:rsidRPr="003E1D49">
        <w:rPr>
          <w:rFonts w:cs="Times New Roman"/>
          <w:szCs w:val="24"/>
        </w:rPr>
        <w:t>” applies equally to</w:t>
      </w:r>
      <w:r w:rsidR="00DE7C5D" w:rsidRPr="003E1D49">
        <w:rPr>
          <w:rFonts w:cs="Times New Roman"/>
          <w:szCs w:val="24"/>
        </w:rPr>
        <w:t xml:space="preserve"> the common</w:t>
      </w:r>
      <w:r w:rsidR="00C81ECB">
        <w:rPr>
          <w:rFonts w:cs="Times New Roman"/>
          <w:szCs w:val="24"/>
        </w:rPr>
        <w:t>-</w:t>
      </w:r>
      <w:r w:rsidR="00DE7C5D" w:rsidRPr="003E1D49">
        <w:rPr>
          <w:rFonts w:cs="Times New Roman"/>
          <w:szCs w:val="24"/>
        </w:rPr>
        <w:t>law</w:t>
      </w:r>
      <w:r w:rsidRPr="003E1D49">
        <w:rPr>
          <w:rFonts w:cs="Times New Roman"/>
          <w:szCs w:val="24"/>
        </w:rPr>
        <w:t xml:space="preserve"> rule set forth in </w:t>
      </w:r>
      <w:r w:rsidR="00C27AF6" w:rsidRPr="003E1D49">
        <w:rPr>
          <w:rFonts w:cs="Times New Roman"/>
          <w:szCs w:val="24"/>
        </w:rPr>
        <w:t>Part II of this rule.</w:t>
      </w:r>
    </w:p>
    <w:p w14:paraId="1511A3F3" w14:textId="2A918286" w:rsidR="00243E4A" w:rsidRPr="003E1D49" w:rsidRDefault="00243E4A" w:rsidP="003E1D49">
      <w:pPr>
        <w:spacing w:line="240" w:lineRule="auto"/>
        <w:ind w:left="0" w:right="-720"/>
        <w:rPr>
          <w:rFonts w:cs="Times New Roman"/>
          <w:szCs w:val="24"/>
        </w:rPr>
      </w:pPr>
    </w:p>
    <w:p w14:paraId="2B490E5F" w14:textId="62295CDA" w:rsidR="005C2FE1" w:rsidRPr="003E1D49" w:rsidRDefault="00B5255D" w:rsidP="003E1D49">
      <w:pPr>
        <w:spacing w:line="240" w:lineRule="auto"/>
        <w:ind w:left="0" w:right="-720"/>
        <w:rPr>
          <w:rFonts w:cs="Times New Roman"/>
          <w:b/>
          <w:bCs/>
          <w:szCs w:val="24"/>
        </w:rPr>
      </w:pPr>
      <w:r w:rsidRPr="003E1D49">
        <w:rPr>
          <w:rFonts w:cs="Times New Roman"/>
          <w:b/>
          <w:bCs/>
          <w:szCs w:val="24"/>
        </w:rPr>
        <w:t>Part II</w:t>
      </w:r>
    </w:p>
    <w:p w14:paraId="70536F9E" w14:textId="4BEDE540" w:rsidR="005C2FE1" w:rsidRPr="003E1D49" w:rsidRDefault="005C2FE1" w:rsidP="003E1D49">
      <w:pPr>
        <w:spacing w:line="240" w:lineRule="auto"/>
        <w:ind w:left="0" w:right="-720"/>
        <w:rPr>
          <w:rFonts w:cs="Times New Roman"/>
          <w:szCs w:val="24"/>
        </w:rPr>
      </w:pPr>
    </w:p>
    <w:p w14:paraId="3F2573B2" w14:textId="6C799E2A" w:rsidR="00F136AC" w:rsidRPr="003E1D49" w:rsidRDefault="00643082" w:rsidP="00643082">
      <w:pPr>
        <w:tabs>
          <w:tab w:val="left" w:pos="720"/>
        </w:tabs>
        <w:spacing w:line="240" w:lineRule="auto"/>
        <w:ind w:left="0"/>
        <w:rPr>
          <w:rFonts w:cs="Times New Roman"/>
          <w:szCs w:val="24"/>
        </w:rPr>
      </w:pPr>
      <w:r>
        <w:rPr>
          <w:rFonts w:cs="Times New Roman"/>
          <w:szCs w:val="24"/>
        </w:rPr>
        <w:tab/>
      </w:r>
      <w:r w:rsidR="00690EB5" w:rsidRPr="003E1D49">
        <w:rPr>
          <w:rFonts w:cs="Times New Roman"/>
          <w:szCs w:val="24"/>
        </w:rPr>
        <w:t xml:space="preserve">Part II </w:t>
      </w:r>
      <w:r w:rsidR="005C2FE1" w:rsidRPr="003E1D49">
        <w:rPr>
          <w:rFonts w:cs="Times New Roman"/>
          <w:szCs w:val="24"/>
        </w:rPr>
        <w:t>sets for</w:t>
      </w:r>
      <w:r w:rsidR="009058CA" w:rsidRPr="003E1D49">
        <w:rPr>
          <w:rFonts w:cs="Times New Roman"/>
          <w:szCs w:val="24"/>
        </w:rPr>
        <w:t>th</w:t>
      </w:r>
      <w:r w:rsidR="005C2FE1" w:rsidRPr="003E1D49">
        <w:rPr>
          <w:rFonts w:cs="Times New Roman"/>
          <w:szCs w:val="24"/>
        </w:rPr>
        <w:t xml:space="preserve"> the common</w:t>
      </w:r>
      <w:r w:rsidR="009058CA" w:rsidRPr="003E1D49">
        <w:rPr>
          <w:rFonts w:cs="Times New Roman"/>
          <w:szCs w:val="24"/>
        </w:rPr>
        <w:t>-</w:t>
      </w:r>
      <w:r w:rsidR="005C2FE1" w:rsidRPr="003E1D49">
        <w:rPr>
          <w:rFonts w:cs="Times New Roman"/>
          <w:szCs w:val="24"/>
        </w:rPr>
        <w:t>law rule and is derived</w:t>
      </w:r>
      <w:r w:rsidR="00095348" w:rsidRPr="003E1D49">
        <w:rPr>
          <w:rFonts w:cs="Times New Roman"/>
          <w:szCs w:val="24"/>
        </w:rPr>
        <w:t xml:space="preserve"> as noted</w:t>
      </w:r>
      <w:r w:rsidR="005C2FE1" w:rsidRPr="003E1D49">
        <w:rPr>
          <w:rFonts w:cs="Times New Roman"/>
          <w:szCs w:val="24"/>
        </w:rPr>
        <w:t xml:space="preserve"> from </w:t>
      </w:r>
      <w:r w:rsidR="00095348" w:rsidRPr="003E1D49">
        <w:rPr>
          <w:rFonts w:cs="Times New Roman"/>
          <w:i/>
          <w:iCs/>
          <w:szCs w:val="24"/>
        </w:rPr>
        <w:t>Fleury v Edwards</w:t>
      </w:r>
      <w:r w:rsidR="00A0707B" w:rsidRPr="003E1D49">
        <w:rPr>
          <w:rFonts w:cs="Times New Roman"/>
          <w:i/>
          <w:iCs/>
          <w:szCs w:val="24"/>
        </w:rPr>
        <w:t xml:space="preserve"> </w:t>
      </w:r>
      <w:r w:rsidR="00A0707B" w:rsidRPr="003E1D49">
        <w:rPr>
          <w:rFonts w:cs="Times New Roman"/>
          <w:szCs w:val="24"/>
        </w:rPr>
        <w:t>(1</w:t>
      </w:r>
      <w:r w:rsidR="00095348" w:rsidRPr="003E1D49">
        <w:rPr>
          <w:rFonts w:cs="Times New Roman"/>
          <w:szCs w:val="24"/>
        </w:rPr>
        <w:t>4 NY2d 334 [1964]</w:t>
      </w:r>
      <w:r w:rsidR="00A0707B" w:rsidRPr="003E1D49">
        <w:rPr>
          <w:rFonts w:cs="Times New Roman"/>
          <w:szCs w:val="24"/>
        </w:rPr>
        <w:t>)</w:t>
      </w:r>
      <w:r w:rsidR="00095348" w:rsidRPr="003E1D49">
        <w:rPr>
          <w:rFonts w:cs="Times New Roman"/>
          <w:szCs w:val="24"/>
        </w:rPr>
        <w:t>.</w:t>
      </w:r>
    </w:p>
    <w:p w14:paraId="59E3D1A6" w14:textId="1CCB99E6" w:rsidR="00E256C3" w:rsidRPr="003E1D49" w:rsidRDefault="00E256C3" w:rsidP="003E1D49">
      <w:pPr>
        <w:spacing w:line="240" w:lineRule="auto"/>
        <w:ind w:left="0" w:right="-144"/>
        <w:rPr>
          <w:rFonts w:cs="Times New Roman"/>
          <w:szCs w:val="24"/>
        </w:rPr>
      </w:pPr>
    </w:p>
    <w:p w14:paraId="20E6CC38" w14:textId="4F33E48A" w:rsidR="00E256C3" w:rsidRPr="003E1D49" w:rsidRDefault="00643082" w:rsidP="00643082">
      <w:pPr>
        <w:tabs>
          <w:tab w:val="left" w:pos="720"/>
        </w:tabs>
        <w:spacing w:line="240" w:lineRule="auto"/>
        <w:ind w:left="0"/>
        <w:rPr>
          <w:rFonts w:cs="Times New Roman"/>
          <w:szCs w:val="24"/>
        </w:rPr>
      </w:pPr>
      <w:r>
        <w:rPr>
          <w:rFonts w:cs="Times New Roman"/>
          <w:szCs w:val="24"/>
        </w:rPr>
        <w:tab/>
      </w:r>
      <w:r w:rsidR="00E256C3" w:rsidRPr="003E1D49">
        <w:rPr>
          <w:rFonts w:cs="Times New Roman"/>
          <w:szCs w:val="24"/>
        </w:rPr>
        <w:t xml:space="preserve">In </w:t>
      </w:r>
      <w:r w:rsidR="00E256C3" w:rsidRPr="003E1D49">
        <w:rPr>
          <w:rFonts w:cs="Times New Roman"/>
          <w:i/>
          <w:iCs/>
          <w:szCs w:val="24"/>
        </w:rPr>
        <w:t>Fleury</w:t>
      </w:r>
      <w:r w:rsidR="00E256C3" w:rsidRPr="003E1D49">
        <w:rPr>
          <w:rFonts w:cs="Times New Roman"/>
          <w:iCs/>
          <w:szCs w:val="24"/>
        </w:rPr>
        <w:t>,</w:t>
      </w:r>
      <w:r w:rsidR="00E256C3" w:rsidRPr="003E1D49">
        <w:rPr>
          <w:rFonts w:cs="Times New Roman"/>
          <w:szCs w:val="24"/>
        </w:rPr>
        <w:t xml:space="preserve"> the Court of Appeals held that the </w:t>
      </w:r>
      <w:r w:rsidR="00AA51FF" w:rsidRPr="003E1D49">
        <w:rPr>
          <w:rFonts w:cs="Times New Roman"/>
          <w:szCs w:val="24"/>
        </w:rPr>
        <w:t>common</w:t>
      </w:r>
      <w:r w:rsidR="006C1D1C" w:rsidRPr="003E1D49">
        <w:rPr>
          <w:rFonts w:cs="Times New Roman"/>
          <w:szCs w:val="24"/>
        </w:rPr>
        <w:t>-</w:t>
      </w:r>
      <w:r w:rsidR="00AA51FF" w:rsidRPr="003E1D49">
        <w:rPr>
          <w:rFonts w:cs="Times New Roman"/>
          <w:szCs w:val="24"/>
        </w:rPr>
        <w:t>law</w:t>
      </w:r>
      <w:r w:rsidR="00E256C3" w:rsidRPr="003E1D49">
        <w:rPr>
          <w:rFonts w:cs="Times New Roman"/>
          <w:szCs w:val="24"/>
        </w:rPr>
        <w:t xml:space="preserve"> exception </w:t>
      </w:r>
      <w:r w:rsidR="0088163F" w:rsidRPr="003E1D49">
        <w:rPr>
          <w:rFonts w:cs="Times New Roman"/>
          <w:szCs w:val="24"/>
        </w:rPr>
        <w:t xml:space="preserve">was </w:t>
      </w:r>
      <w:r w:rsidR="00E256C3" w:rsidRPr="003E1D49">
        <w:rPr>
          <w:rFonts w:cs="Times New Roman"/>
          <w:szCs w:val="24"/>
        </w:rPr>
        <w:t xml:space="preserve">conterminous with CPLR 4517’s statutory predecessor. Thus, the </w:t>
      </w:r>
      <w:r w:rsidR="00AA51FF" w:rsidRPr="003E1D49">
        <w:rPr>
          <w:rFonts w:cs="Times New Roman"/>
          <w:szCs w:val="24"/>
        </w:rPr>
        <w:t>common</w:t>
      </w:r>
      <w:r w:rsidR="006C1D1C" w:rsidRPr="003E1D49">
        <w:rPr>
          <w:rFonts w:cs="Times New Roman"/>
          <w:szCs w:val="24"/>
        </w:rPr>
        <w:t>-</w:t>
      </w:r>
      <w:r w:rsidR="00AA51FF" w:rsidRPr="003E1D49">
        <w:rPr>
          <w:rFonts w:cs="Times New Roman"/>
          <w:szCs w:val="24"/>
        </w:rPr>
        <w:t>law</w:t>
      </w:r>
      <w:r w:rsidR="00E256C3" w:rsidRPr="003E1D49">
        <w:rPr>
          <w:rFonts w:cs="Times New Roman"/>
          <w:szCs w:val="24"/>
        </w:rPr>
        <w:t xml:space="preserve"> rule may provide a basis for the admission of former testimony where the statute does not </w:t>
      </w:r>
      <w:r w:rsidR="00E256C3" w:rsidRPr="003E1D49">
        <w:rPr>
          <w:rFonts w:cs="Times New Roman"/>
          <w:iCs/>
          <w:szCs w:val="24"/>
        </w:rPr>
        <w:t>(</w:t>
      </w:r>
      <w:r w:rsidR="00E256C3" w:rsidRPr="003E1D49">
        <w:rPr>
          <w:rFonts w:cs="Times New Roman"/>
          <w:i/>
          <w:iCs/>
          <w:szCs w:val="24"/>
        </w:rPr>
        <w:t>Shaw v New York El</w:t>
      </w:r>
      <w:r w:rsidR="00250D5E" w:rsidRPr="003E1D49">
        <w:rPr>
          <w:rFonts w:cs="Times New Roman"/>
          <w:i/>
          <w:iCs/>
          <w:szCs w:val="24"/>
        </w:rPr>
        <w:t>. R.</w:t>
      </w:r>
      <w:r w:rsidR="00E256C3" w:rsidRPr="003E1D49">
        <w:rPr>
          <w:rFonts w:cs="Times New Roman"/>
          <w:i/>
          <w:iCs/>
          <w:szCs w:val="24"/>
        </w:rPr>
        <w:t>R.</w:t>
      </w:r>
      <w:r w:rsidR="00FF7386">
        <w:rPr>
          <w:rFonts w:cs="Times New Roman"/>
          <w:i/>
          <w:iCs/>
          <w:szCs w:val="24"/>
        </w:rPr>
        <w:t xml:space="preserve"> Co.</w:t>
      </w:r>
      <w:r w:rsidR="00E256C3" w:rsidRPr="003E1D49">
        <w:rPr>
          <w:rFonts w:cs="Times New Roman"/>
          <w:iCs/>
          <w:szCs w:val="24"/>
        </w:rPr>
        <w:t>,</w:t>
      </w:r>
      <w:r w:rsidR="00E256C3" w:rsidRPr="003E1D49">
        <w:rPr>
          <w:rFonts w:cs="Times New Roman"/>
          <w:szCs w:val="24"/>
        </w:rPr>
        <w:t xml:space="preserve"> 187 NY 186, 194 [1907] [“evidence was competent under the </w:t>
      </w:r>
      <w:r w:rsidR="00AA51FF" w:rsidRPr="003E1D49">
        <w:rPr>
          <w:rFonts w:cs="Times New Roman"/>
          <w:szCs w:val="24"/>
        </w:rPr>
        <w:t>common</w:t>
      </w:r>
      <w:r w:rsidR="0088163F" w:rsidRPr="003E1D49">
        <w:rPr>
          <w:rFonts w:cs="Times New Roman"/>
          <w:szCs w:val="24"/>
        </w:rPr>
        <w:t xml:space="preserve"> </w:t>
      </w:r>
      <w:r w:rsidR="00AA51FF" w:rsidRPr="003E1D49">
        <w:rPr>
          <w:rFonts w:cs="Times New Roman"/>
          <w:szCs w:val="24"/>
        </w:rPr>
        <w:t>law</w:t>
      </w:r>
      <w:r w:rsidR="00E256C3" w:rsidRPr="003E1D49">
        <w:rPr>
          <w:rFonts w:cs="Times New Roman"/>
          <w:szCs w:val="24"/>
        </w:rPr>
        <w:t xml:space="preserve">, even if not so under the statute”]).  </w:t>
      </w:r>
    </w:p>
    <w:p w14:paraId="62DC6B83" w14:textId="2FB5270C" w:rsidR="00095348" w:rsidRPr="003E1D49" w:rsidRDefault="00095348" w:rsidP="003E1D49">
      <w:pPr>
        <w:spacing w:line="240" w:lineRule="auto"/>
        <w:ind w:left="0" w:right="-144"/>
        <w:rPr>
          <w:rFonts w:cs="Times New Roman"/>
          <w:szCs w:val="24"/>
        </w:rPr>
      </w:pPr>
    </w:p>
    <w:p w14:paraId="3E387779" w14:textId="5B6379AC" w:rsidR="00752C6B" w:rsidRPr="003E1D49" w:rsidRDefault="00643082" w:rsidP="00643082">
      <w:pPr>
        <w:tabs>
          <w:tab w:val="left" w:pos="720"/>
        </w:tabs>
        <w:spacing w:line="240" w:lineRule="auto"/>
        <w:ind w:left="0"/>
        <w:rPr>
          <w:rFonts w:cs="Times New Roman"/>
          <w:szCs w:val="24"/>
        </w:rPr>
      </w:pPr>
      <w:r>
        <w:rPr>
          <w:rFonts w:cs="Times New Roman"/>
          <w:szCs w:val="24"/>
        </w:rPr>
        <w:tab/>
      </w:r>
      <w:r w:rsidR="0007050F" w:rsidRPr="003E1D49">
        <w:rPr>
          <w:rFonts w:cs="Times New Roman"/>
          <w:szCs w:val="24"/>
        </w:rPr>
        <w:t xml:space="preserve">In </w:t>
      </w:r>
      <w:r w:rsidR="0007050F" w:rsidRPr="003E1D49">
        <w:rPr>
          <w:rFonts w:cs="Times New Roman"/>
          <w:i/>
          <w:iCs/>
          <w:szCs w:val="24"/>
        </w:rPr>
        <w:t>Fleury</w:t>
      </w:r>
      <w:r w:rsidR="0007050F" w:rsidRPr="003E1D49">
        <w:rPr>
          <w:rFonts w:cs="Times New Roman"/>
          <w:szCs w:val="24"/>
        </w:rPr>
        <w:t xml:space="preserve">, the </w:t>
      </w:r>
      <w:r w:rsidR="00752C6B" w:rsidRPr="003E1D49">
        <w:rPr>
          <w:rFonts w:cs="Times New Roman"/>
          <w:szCs w:val="24"/>
        </w:rPr>
        <w:t xml:space="preserve">former testimony was taken </w:t>
      </w:r>
      <w:r w:rsidR="00E70D1B" w:rsidRPr="003E1D49">
        <w:rPr>
          <w:rFonts w:cs="Times New Roman"/>
          <w:szCs w:val="24"/>
        </w:rPr>
        <w:t xml:space="preserve">not </w:t>
      </w:r>
      <w:r w:rsidR="00971992" w:rsidRPr="003E1D49">
        <w:rPr>
          <w:rFonts w:cs="Times New Roman"/>
          <w:szCs w:val="24"/>
        </w:rPr>
        <w:t>at a prior trial</w:t>
      </w:r>
      <w:r w:rsidR="00F35C6E" w:rsidRPr="003E1D49">
        <w:rPr>
          <w:rFonts w:cs="Times New Roman"/>
          <w:szCs w:val="24"/>
        </w:rPr>
        <w:t>,</w:t>
      </w:r>
      <w:r w:rsidR="00971992" w:rsidRPr="003E1D49">
        <w:rPr>
          <w:rFonts w:cs="Times New Roman"/>
          <w:szCs w:val="24"/>
        </w:rPr>
        <w:t xml:space="preserve"> </w:t>
      </w:r>
      <w:r w:rsidR="00E70D1B" w:rsidRPr="003E1D49">
        <w:rPr>
          <w:rFonts w:cs="Times New Roman"/>
          <w:szCs w:val="24"/>
        </w:rPr>
        <w:t>but</w:t>
      </w:r>
      <w:r w:rsidR="00971992" w:rsidRPr="003E1D49">
        <w:rPr>
          <w:rFonts w:cs="Times New Roman"/>
          <w:szCs w:val="24"/>
        </w:rPr>
        <w:t xml:space="preserve"> </w:t>
      </w:r>
      <w:r w:rsidR="00FF40D1" w:rsidRPr="003E1D49">
        <w:rPr>
          <w:rFonts w:cs="Times New Roman"/>
          <w:szCs w:val="24"/>
        </w:rPr>
        <w:t xml:space="preserve">at a hearing held </w:t>
      </w:r>
      <w:r w:rsidR="00A52E35" w:rsidRPr="003E1D49">
        <w:rPr>
          <w:rFonts w:cs="Times New Roman"/>
          <w:szCs w:val="24"/>
        </w:rPr>
        <w:t xml:space="preserve">by </w:t>
      </w:r>
      <w:r w:rsidR="00FF40D1" w:rsidRPr="003E1D49">
        <w:rPr>
          <w:rFonts w:cs="Times New Roman"/>
          <w:szCs w:val="24"/>
        </w:rPr>
        <w:t>the State Motor Vehicle Bureau</w:t>
      </w:r>
      <w:r w:rsidR="00A52E35" w:rsidRPr="003E1D49">
        <w:rPr>
          <w:rFonts w:cs="Times New Roman"/>
          <w:szCs w:val="24"/>
        </w:rPr>
        <w:t xml:space="preserve">.  </w:t>
      </w:r>
      <w:r w:rsidR="00C54E24" w:rsidRPr="003E1D49">
        <w:rPr>
          <w:rFonts w:cs="Times New Roman"/>
          <w:szCs w:val="24"/>
        </w:rPr>
        <w:t>T</w:t>
      </w:r>
      <w:r w:rsidR="00415B3B" w:rsidRPr="003E1D49">
        <w:rPr>
          <w:rFonts w:cs="Times New Roman"/>
          <w:szCs w:val="24"/>
        </w:rPr>
        <w:t xml:space="preserve">he Court held that </w:t>
      </w:r>
      <w:r w:rsidR="00250D5E" w:rsidRPr="003E1D49">
        <w:rPr>
          <w:rFonts w:cs="Times New Roman"/>
          <w:szCs w:val="24"/>
        </w:rPr>
        <w:t>the former testimony</w:t>
      </w:r>
      <w:r w:rsidR="00415B3B" w:rsidRPr="003E1D49">
        <w:rPr>
          <w:rFonts w:cs="Times New Roman"/>
          <w:szCs w:val="24"/>
        </w:rPr>
        <w:t xml:space="preserve"> could </w:t>
      </w:r>
      <w:r w:rsidR="00123465" w:rsidRPr="003E1D49">
        <w:rPr>
          <w:rFonts w:cs="Times New Roman"/>
          <w:szCs w:val="24"/>
          <w:lang w:val="x-none"/>
        </w:rPr>
        <w:t xml:space="preserve">be </w:t>
      </w:r>
      <w:r w:rsidR="00BD581A" w:rsidRPr="003E1D49">
        <w:rPr>
          <w:rFonts w:cs="Times New Roman"/>
          <w:szCs w:val="24"/>
        </w:rPr>
        <w:t xml:space="preserve">introduced in </w:t>
      </w:r>
      <w:r w:rsidR="00123465" w:rsidRPr="003E1D49">
        <w:rPr>
          <w:rFonts w:cs="Times New Roman"/>
          <w:szCs w:val="24"/>
          <w:lang w:val="x-none"/>
        </w:rPr>
        <w:t xml:space="preserve">evidence by </w:t>
      </w:r>
      <w:r w:rsidR="00BB0697" w:rsidRPr="003E1D49">
        <w:rPr>
          <w:rFonts w:cs="Times New Roman"/>
          <w:szCs w:val="24"/>
        </w:rPr>
        <w:t xml:space="preserve">the deceased’s </w:t>
      </w:r>
      <w:r w:rsidR="00123465" w:rsidRPr="003E1D49">
        <w:rPr>
          <w:rFonts w:cs="Times New Roman"/>
          <w:szCs w:val="24"/>
          <w:lang w:val="x-none"/>
        </w:rPr>
        <w:t xml:space="preserve">administratrix at the trial of </w:t>
      </w:r>
      <w:r w:rsidR="002677AB" w:rsidRPr="003E1D49">
        <w:rPr>
          <w:rFonts w:cs="Times New Roman"/>
          <w:szCs w:val="24"/>
        </w:rPr>
        <w:t>a</w:t>
      </w:r>
      <w:r w:rsidR="00123465" w:rsidRPr="003E1D49">
        <w:rPr>
          <w:rFonts w:cs="Times New Roman"/>
          <w:szCs w:val="24"/>
          <w:lang w:val="x-none"/>
        </w:rPr>
        <w:t xml:space="preserve"> personal injury</w:t>
      </w:r>
      <w:r w:rsidR="00415B3B" w:rsidRPr="003E1D49">
        <w:rPr>
          <w:rFonts w:cs="Times New Roman"/>
          <w:szCs w:val="24"/>
        </w:rPr>
        <w:t xml:space="preserve"> </w:t>
      </w:r>
      <w:r w:rsidR="00123465" w:rsidRPr="003E1D49">
        <w:rPr>
          <w:rFonts w:cs="Times New Roman"/>
          <w:szCs w:val="24"/>
          <w:lang w:val="x-none"/>
        </w:rPr>
        <w:t>suit</w:t>
      </w:r>
      <w:r w:rsidR="00C54E24" w:rsidRPr="003E1D49">
        <w:rPr>
          <w:rFonts w:cs="Times New Roman"/>
          <w:szCs w:val="24"/>
        </w:rPr>
        <w:t xml:space="preserve"> against the party the deceased had testified against</w:t>
      </w:r>
      <w:r w:rsidR="00A07406" w:rsidRPr="003E1D49">
        <w:rPr>
          <w:rFonts w:cs="Times New Roman"/>
          <w:szCs w:val="24"/>
        </w:rPr>
        <w:t xml:space="preserve"> who had been present at the hearing with counsel and </w:t>
      </w:r>
      <w:r w:rsidR="00736ED6" w:rsidRPr="003E1D49">
        <w:rPr>
          <w:rFonts w:cs="Times New Roman"/>
          <w:szCs w:val="24"/>
        </w:rPr>
        <w:t xml:space="preserve">had </w:t>
      </w:r>
      <w:r w:rsidR="00A07406" w:rsidRPr="003E1D49">
        <w:rPr>
          <w:rFonts w:cs="Times New Roman"/>
          <w:szCs w:val="24"/>
        </w:rPr>
        <w:t>cross-examined the deceased.</w:t>
      </w:r>
    </w:p>
    <w:p w14:paraId="66DA1472" w14:textId="574F3859" w:rsidR="00672623" w:rsidRPr="003E1D49" w:rsidRDefault="00672623" w:rsidP="00643082">
      <w:pPr>
        <w:spacing w:line="240" w:lineRule="auto"/>
        <w:ind w:left="0" w:right="-144"/>
        <w:rPr>
          <w:rFonts w:cs="Times New Roman"/>
          <w:szCs w:val="24"/>
        </w:rPr>
      </w:pPr>
    </w:p>
    <w:p w14:paraId="53A7D3E5" w14:textId="67FDC155" w:rsidR="0007050F" w:rsidRPr="003E1D49" w:rsidRDefault="00643082" w:rsidP="00643082">
      <w:pPr>
        <w:tabs>
          <w:tab w:val="left" w:pos="720"/>
        </w:tabs>
        <w:spacing w:line="240" w:lineRule="auto"/>
        <w:ind w:left="0"/>
        <w:rPr>
          <w:rFonts w:cs="Times New Roman"/>
          <w:szCs w:val="24"/>
        </w:rPr>
      </w:pPr>
      <w:r>
        <w:rPr>
          <w:rFonts w:cs="Times New Roman"/>
          <w:szCs w:val="24"/>
        </w:rPr>
        <w:tab/>
      </w:r>
      <w:r w:rsidR="00F56DA9" w:rsidRPr="003E1D49">
        <w:rPr>
          <w:rFonts w:cs="Times New Roman"/>
          <w:szCs w:val="24"/>
        </w:rPr>
        <w:t xml:space="preserve">Thus, the first requirement of the </w:t>
      </w:r>
      <w:r w:rsidR="00AA51FF" w:rsidRPr="003E1D49">
        <w:rPr>
          <w:rFonts w:cs="Times New Roman"/>
          <w:szCs w:val="24"/>
        </w:rPr>
        <w:t>common</w:t>
      </w:r>
      <w:r w:rsidR="006C1D1C" w:rsidRPr="003E1D49">
        <w:rPr>
          <w:rFonts w:cs="Times New Roman"/>
          <w:szCs w:val="24"/>
        </w:rPr>
        <w:t>-</w:t>
      </w:r>
      <w:r w:rsidR="00AA51FF" w:rsidRPr="003E1D49">
        <w:rPr>
          <w:rFonts w:cs="Times New Roman"/>
          <w:szCs w:val="24"/>
        </w:rPr>
        <w:t>law</w:t>
      </w:r>
      <w:r w:rsidR="00F56DA9" w:rsidRPr="003E1D49">
        <w:rPr>
          <w:rFonts w:cs="Times New Roman"/>
          <w:szCs w:val="24"/>
        </w:rPr>
        <w:t xml:space="preserve"> rule </w:t>
      </w:r>
      <w:r w:rsidR="009313CE" w:rsidRPr="003E1D49">
        <w:rPr>
          <w:rFonts w:cs="Times New Roman"/>
          <w:szCs w:val="24"/>
        </w:rPr>
        <w:t xml:space="preserve">for the admission of </w:t>
      </w:r>
      <w:r w:rsidR="000F4D5C" w:rsidRPr="003E1D49">
        <w:rPr>
          <w:rFonts w:cs="Times New Roman"/>
          <w:szCs w:val="24"/>
        </w:rPr>
        <w:t>former</w:t>
      </w:r>
      <w:r w:rsidR="009313CE" w:rsidRPr="003E1D49">
        <w:rPr>
          <w:rFonts w:cs="Times New Roman"/>
          <w:szCs w:val="24"/>
        </w:rPr>
        <w:t xml:space="preserve"> testimony </w:t>
      </w:r>
      <w:r w:rsidR="00F56DA9" w:rsidRPr="003E1D49">
        <w:rPr>
          <w:rFonts w:cs="Times New Roman"/>
          <w:szCs w:val="24"/>
        </w:rPr>
        <w:t>is that the witness be unavailable</w:t>
      </w:r>
      <w:r w:rsidR="009435C9" w:rsidRPr="003E1D49">
        <w:rPr>
          <w:rFonts w:cs="Times New Roman"/>
          <w:szCs w:val="24"/>
        </w:rPr>
        <w:t>.  I</w:t>
      </w:r>
      <w:r w:rsidR="00F56DA9" w:rsidRPr="003E1D49">
        <w:rPr>
          <w:rFonts w:cs="Times New Roman"/>
          <w:szCs w:val="24"/>
        </w:rPr>
        <w:t xml:space="preserve">n </w:t>
      </w:r>
      <w:r w:rsidR="00F56DA9" w:rsidRPr="003E1D49">
        <w:rPr>
          <w:rFonts w:cs="Times New Roman"/>
          <w:i/>
          <w:iCs/>
          <w:szCs w:val="24"/>
        </w:rPr>
        <w:t>Fl</w:t>
      </w:r>
      <w:r w:rsidR="00AE45B7" w:rsidRPr="003E1D49">
        <w:rPr>
          <w:rFonts w:cs="Times New Roman"/>
          <w:i/>
          <w:iCs/>
          <w:szCs w:val="24"/>
        </w:rPr>
        <w:t>eury</w:t>
      </w:r>
      <w:r w:rsidR="007C7DD7" w:rsidRPr="003E1D49">
        <w:rPr>
          <w:rFonts w:cs="Times New Roman"/>
          <w:szCs w:val="24"/>
        </w:rPr>
        <w:t xml:space="preserve">, </w:t>
      </w:r>
      <w:r w:rsidR="00AE45B7" w:rsidRPr="003E1D49">
        <w:rPr>
          <w:rFonts w:cs="Times New Roman"/>
          <w:szCs w:val="24"/>
        </w:rPr>
        <w:t xml:space="preserve">the </w:t>
      </w:r>
      <w:r w:rsidR="0007050F" w:rsidRPr="003E1D49">
        <w:rPr>
          <w:rFonts w:cs="Times New Roman"/>
          <w:szCs w:val="24"/>
        </w:rPr>
        <w:t>unavailability of the witness was due to the witness’s death.</w:t>
      </w:r>
      <w:r w:rsidR="00FF7386">
        <w:rPr>
          <w:rFonts w:cs="Times New Roman"/>
          <w:szCs w:val="24"/>
        </w:rPr>
        <w:t xml:space="preserve"> </w:t>
      </w:r>
      <w:r w:rsidR="0007050F" w:rsidRPr="003E1D49">
        <w:rPr>
          <w:rFonts w:cs="Times New Roman"/>
          <w:szCs w:val="24"/>
        </w:rPr>
        <w:t xml:space="preserve">Whether the </w:t>
      </w:r>
      <w:r w:rsidR="00AA51FF" w:rsidRPr="003E1D49">
        <w:rPr>
          <w:rFonts w:cs="Times New Roman"/>
          <w:szCs w:val="24"/>
        </w:rPr>
        <w:t>common</w:t>
      </w:r>
      <w:r w:rsidR="009058CA" w:rsidRPr="003E1D49">
        <w:rPr>
          <w:rFonts w:cs="Times New Roman"/>
          <w:szCs w:val="24"/>
        </w:rPr>
        <w:t>-</w:t>
      </w:r>
      <w:r w:rsidR="00AA51FF" w:rsidRPr="003E1D49">
        <w:rPr>
          <w:rFonts w:cs="Times New Roman"/>
          <w:szCs w:val="24"/>
        </w:rPr>
        <w:t>law</w:t>
      </w:r>
      <w:r w:rsidR="0007050F" w:rsidRPr="003E1D49">
        <w:rPr>
          <w:rFonts w:cs="Times New Roman"/>
          <w:szCs w:val="24"/>
        </w:rPr>
        <w:t xml:space="preserve"> rule extends to other forms of unavailability (e.g., incompetency, beyond the jurisdiction, illness) </w:t>
      </w:r>
      <w:r w:rsidR="00FC370E" w:rsidRPr="003E1D49">
        <w:rPr>
          <w:rFonts w:cs="Times New Roman"/>
          <w:szCs w:val="24"/>
        </w:rPr>
        <w:t>is an open question.</w:t>
      </w:r>
    </w:p>
    <w:p w14:paraId="77C46506" w14:textId="77777777" w:rsidR="00FC370E" w:rsidRPr="003E1D49" w:rsidRDefault="00FC370E" w:rsidP="00643082">
      <w:pPr>
        <w:spacing w:line="240" w:lineRule="auto"/>
        <w:ind w:left="0" w:right="-144"/>
        <w:rPr>
          <w:rFonts w:cs="Times New Roman"/>
          <w:szCs w:val="24"/>
        </w:rPr>
      </w:pPr>
    </w:p>
    <w:p w14:paraId="01EB0BF4" w14:textId="0B6CC6C9" w:rsidR="00C7356D" w:rsidRPr="003E1D49" w:rsidRDefault="00643082" w:rsidP="00643082">
      <w:pPr>
        <w:tabs>
          <w:tab w:val="left" w:pos="720"/>
        </w:tabs>
        <w:spacing w:line="240" w:lineRule="auto"/>
        <w:ind w:left="0"/>
        <w:rPr>
          <w:rFonts w:cs="Times New Roman"/>
          <w:szCs w:val="24"/>
        </w:rPr>
      </w:pPr>
      <w:r>
        <w:rPr>
          <w:rFonts w:cs="Times New Roman"/>
          <w:szCs w:val="24"/>
        </w:rPr>
        <w:tab/>
      </w:r>
      <w:r w:rsidR="00284DA5" w:rsidRPr="003E1D49">
        <w:rPr>
          <w:rFonts w:cs="Times New Roman"/>
          <w:szCs w:val="24"/>
        </w:rPr>
        <w:t xml:space="preserve">With respect to the </w:t>
      </w:r>
      <w:r w:rsidR="0007050F" w:rsidRPr="003E1D49">
        <w:rPr>
          <w:rFonts w:cs="Times New Roman"/>
          <w:szCs w:val="24"/>
        </w:rPr>
        <w:t xml:space="preserve">remaining </w:t>
      </w:r>
      <w:r w:rsidR="00284DA5" w:rsidRPr="003E1D49">
        <w:rPr>
          <w:rFonts w:cs="Times New Roman"/>
          <w:szCs w:val="24"/>
        </w:rPr>
        <w:t xml:space="preserve">requirements of the </w:t>
      </w:r>
      <w:r w:rsidR="00AA51FF" w:rsidRPr="003E1D49">
        <w:rPr>
          <w:rFonts w:cs="Times New Roman"/>
          <w:szCs w:val="24"/>
        </w:rPr>
        <w:t>common</w:t>
      </w:r>
      <w:r w:rsidR="009058CA" w:rsidRPr="003E1D49">
        <w:rPr>
          <w:rFonts w:cs="Times New Roman"/>
          <w:szCs w:val="24"/>
        </w:rPr>
        <w:t>-</w:t>
      </w:r>
      <w:r w:rsidR="00AA51FF" w:rsidRPr="003E1D49">
        <w:rPr>
          <w:rFonts w:cs="Times New Roman"/>
          <w:szCs w:val="24"/>
        </w:rPr>
        <w:t>law</w:t>
      </w:r>
      <w:r w:rsidR="00284DA5" w:rsidRPr="003E1D49">
        <w:rPr>
          <w:rFonts w:cs="Times New Roman"/>
          <w:szCs w:val="24"/>
        </w:rPr>
        <w:t xml:space="preserve"> rule, the </w:t>
      </w:r>
      <w:r w:rsidR="00F136AC" w:rsidRPr="003E1D49">
        <w:rPr>
          <w:rFonts w:cs="Times New Roman"/>
          <w:i/>
          <w:iCs/>
          <w:szCs w:val="24"/>
        </w:rPr>
        <w:t>Fleury</w:t>
      </w:r>
      <w:r w:rsidR="005C2FE1" w:rsidRPr="003E1D49">
        <w:rPr>
          <w:rFonts w:cs="Times New Roman"/>
          <w:szCs w:val="24"/>
        </w:rPr>
        <w:t xml:space="preserve"> Court</w:t>
      </w:r>
      <w:r w:rsidR="0007050F" w:rsidRPr="003E1D49">
        <w:rPr>
          <w:rFonts w:cs="Times New Roman"/>
          <w:szCs w:val="24"/>
        </w:rPr>
        <w:t xml:space="preserve"> </w:t>
      </w:r>
      <w:r w:rsidR="008D2EDC" w:rsidRPr="003E1D49">
        <w:rPr>
          <w:rFonts w:cs="Times New Roman"/>
          <w:szCs w:val="24"/>
        </w:rPr>
        <w:t>stated:</w:t>
      </w:r>
    </w:p>
    <w:p w14:paraId="264E0BB5" w14:textId="77777777" w:rsidR="00F31C2F" w:rsidRPr="003E1D49" w:rsidRDefault="00F31C2F" w:rsidP="003E1D49">
      <w:pPr>
        <w:spacing w:line="240" w:lineRule="auto"/>
        <w:ind w:left="0" w:right="-144"/>
        <w:rPr>
          <w:rFonts w:cs="Times New Roman"/>
          <w:szCs w:val="24"/>
        </w:rPr>
      </w:pPr>
    </w:p>
    <w:p w14:paraId="56350F13" w14:textId="01B46D7A" w:rsidR="006D1099" w:rsidRPr="003E1D49" w:rsidRDefault="005C2FE1" w:rsidP="00643082">
      <w:pPr>
        <w:spacing w:line="240" w:lineRule="auto"/>
        <w:ind w:right="720"/>
        <w:rPr>
          <w:rFonts w:cs="Times New Roman"/>
          <w:szCs w:val="24"/>
        </w:rPr>
      </w:pPr>
      <w:r w:rsidRPr="003E1D49">
        <w:rPr>
          <w:rFonts w:cs="Times New Roman"/>
          <w:szCs w:val="24"/>
        </w:rPr>
        <w:lastRenderedPageBreak/>
        <w:t>“</w:t>
      </w:r>
      <w:r w:rsidR="00594266" w:rsidRPr="003E1D49">
        <w:rPr>
          <w:rFonts w:cs="Times New Roman"/>
          <w:szCs w:val="24"/>
        </w:rPr>
        <w:t>t</w:t>
      </w:r>
      <w:r w:rsidRPr="003E1D49">
        <w:rPr>
          <w:rFonts w:cs="Times New Roman"/>
          <w:szCs w:val="24"/>
        </w:rPr>
        <w:t xml:space="preserve">he prime and essential requirement for </w:t>
      </w:r>
      <w:r w:rsidR="00814FCC" w:rsidRPr="003E1D49">
        <w:rPr>
          <w:rFonts w:cs="Times New Roman"/>
          <w:szCs w:val="24"/>
        </w:rPr>
        <w:t xml:space="preserve">[the former testimony’s] </w:t>
      </w:r>
      <w:bookmarkStart w:id="3" w:name="_Hlk45893686"/>
      <w:r w:rsidRPr="003E1D49">
        <w:rPr>
          <w:rFonts w:cs="Times New Roman"/>
          <w:szCs w:val="24"/>
        </w:rPr>
        <w:t>use is that it relate</w:t>
      </w:r>
      <w:r w:rsidR="00F70AB4" w:rsidRPr="003E1D49">
        <w:rPr>
          <w:rFonts w:cs="Times New Roman"/>
          <w:szCs w:val="24"/>
        </w:rPr>
        <w:t>d</w:t>
      </w:r>
      <w:r w:rsidR="00E83D9B" w:rsidRPr="003E1D49">
        <w:rPr>
          <w:rFonts w:cs="Times New Roman"/>
          <w:szCs w:val="24"/>
        </w:rPr>
        <w:t xml:space="preserve"> </w:t>
      </w:r>
      <w:r w:rsidRPr="003E1D49">
        <w:rPr>
          <w:rFonts w:cs="Times New Roman"/>
          <w:szCs w:val="24"/>
        </w:rPr>
        <w:t>to the same subject matter as given under oath and against the same party now contesting it with the right in the latter to have counsel present and to cross-examine.</w:t>
      </w:r>
      <w:bookmarkEnd w:id="3"/>
      <w:r w:rsidRPr="003E1D49">
        <w:rPr>
          <w:rFonts w:cs="Times New Roman"/>
          <w:szCs w:val="24"/>
        </w:rPr>
        <w:t>” (</w:t>
      </w:r>
      <w:r w:rsidRPr="003E1D49">
        <w:rPr>
          <w:rFonts w:cs="Times New Roman"/>
          <w:i/>
          <w:iCs/>
          <w:szCs w:val="24"/>
        </w:rPr>
        <w:t>Id</w:t>
      </w:r>
      <w:r w:rsidRPr="003E1D49">
        <w:rPr>
          <w:rFonts w:cs="Times New Roman"/>
          <w:szCs w:val="24"/>
        </w:rPr>
        <w:t>. at 339</w:t>
      </w:r>
      <w:r w:rsidR="00F70AB4" w:rsidRPr="003E1D49">
        <w:rPr>
          <w:rFonts w:cs="Times New Roman"/>
          <w:szCs w:val="24"/>
        </w:rPr>
        <w:t>.</w:t>
      </w:r>
      <w:r w:rsidRPr="003E1D49">
        <w:rPr>
          <w:rFonts w:cs="Times New Roman"/>
          <w:szCs w:val="24"/>
        </w:rPr>
        <w:t xml:space="preserve">) </w:t>
      </w:r>
    </w:p>
    <w:p w14:paraId="7F10783F" w14:textId="44E1A507" w:rsidR="007A4B68" w:rsidRPr="003E1D49" w:rsidRDefault="007A4B68" w:rsidP="00643082">
      <w:pPr>
        <w:spacing w:line="240" w:lineRule="auto"/>
        <w:ind w:left="0" w:right="-144"/>
        <w:rPr>
          <w:rFonts w:cs="Times New Roman"/>
          <w:szCs w:val="24"/>
        </w:rPr>
      </w:pPr>
    </w:p>
    <w:p w14:paraId="0080B4FA" w14:textId="731C60DB" w:rsidR="005C2FE1" w:rsidRPr="003E1D49" w:rsidRDefault="005C2FE1" w:rsidP="00643082">
      <w:pPr>
        <w:spacing w:line="240" w:lineRule="auto"/>
        <w:ind w:left="0"/>
        <w:rPr>
          <w:rFonts w:cs="Times New Roman"/>
          <w:szCs w:val="24"/>
        </w:rPr>
      </w:pPr>
      <w:r w:rsidRPr="003E1D49">
        <w:rPr>
          <w:rFonts w:cs="Times New Roman"/>
          <w:szCs w:val="24"/>
        </w:rPr>
        <w:t xml:space="preserve">Of note, this </w:t>
      </w:r>
      <w:r w:rsidR="00AA51FF" w:rsidRPr="003E1D49">
        <w:rPr>
          <w:rFonts w:cs="Times New Roman"/>
          <w:szCs w:val="24"/>
        </w:rPr>
        <w:t>common</w:t>
      </w:r>
      <w:r w:rsidR="00F70AB4" w:rsidRPr="003E1D49">
        <w:rPr>
          <w:rFonts w:cs="Times New Roman"/>
          <w:szCs w:val="24"/>
        </w:rPr>
        <w:t>-</w:t>
      </w:r>
      <w:r w:rsidR="00AA51FF" w:rsidRPr="003E1D49">
        <w:rPr>
          <w:rFonts w:cs="Times New Roman"/>
          <w:szCs w:val="24"/>
        </w:rPr>
        <w:t>law</w:t>
      </w:r>
      <w:r w:rsidRPr="003E1D49">
        <w:rPr>
          <w:rFonts w:cs="Times New Roman"/>
          <w:szCs w:val="24"/>
        </w:rPr>
        <w:t xml:space="preserve"> rule is not restricted to former testimony at a trial, as required by CPLR 4517</w:t>
      </w:r>
      <w:r w:rsidR="00F70AB4" w:rsidRPr="003E1D49">
        <w:rPr>
          <w:rFonts w:cs="Times New Roman"/>
          <w:szCs w:val="24"/>
        </w:rPr>
        <w:t xml:space="preserve"> </w:t>
      </w:r>
      <w:r w:rsidRPr="003E1D49">
        <w:rPr>
          <w:rFonts w:cs="Times New Roman"/>
          <w:szCs w:val="24"/>
        </w:rPr>
        <w:t xml:space="preserve">(a) and set forth in </w:t>
      </w:r>
      <w:r w:rsidR="00E52AC8">
        <w:rPr>
          <w:rFonts w:cs="Times New Roman"/>
          <w:szCs w:val="24"/>
        </w:rPr>
        <w:t xml:space="preserve">Part I, </w:t>
      </w:r>
      <w:r w:rsidRPr="003E1D49">
        <w:rPr>
          <w:rFonts w:cs="Times New Roman"/>
          <w:szCs w:val="24"/>
        </w:rPr>
        <w:t>subdivision</w:t>
      </w:r>
      <w:r w:rsidR="00E52AC8">
        <w:rPr>
          <w:rFonts w:cs="Times New Roman"/>
          <w:szCs w:val="24"/>
        </w:rPr>
        <w:t xml:space="preserve"> </w:t>
      </w:r>
      <w:r w:rsidRPr="003E1D49">
        <w:rPr>
          <w:rFonts w:cs="Times New Roman"/>
          <w:szCs w:val="24"/>
        </w:rPr>
        <w:t>(a)</w:t>
      </w:r>
      <w:r w:rsidR="00E52AC8">
        <w:rPr>
          <w:rFonts w:cs="Times New Roman"/>
          <w:szCs w:val="24"/>
        </w:rPr>
        <w:t xml:space="preserve"> of this rule</w:t>
      </w:r>
      <w:r w:rsidRPr="003E1D49">
        <w:rPr>
          <w:rFonts w:cs="Times New Roman"/>
          <w:szCs w:val="24"/>
        </w:rPr>
        <w:t>,</w:t>
      </w:r>
      <w:r w:rsidR="009058CA" w:rsidRPr="003E1D49">
        <w:rPr>
          <w:rFonts w:cs="Times New Roman"/>
          <w:szCs w:val="24"/>
        </w:rPr>
        <w:t xml:space="preserve"> </w:t>
      </w:r>
      <w:r w:rsidRPr="003E1D49">
        <w:rPr>
          <w:rFonts w:cs="Times New Roman"/>
          <w:szCs w:val="24"/>
        </w:rPr>
        <w:t>but extends to former testimony “given in any legal proceeding and before any tribunal employing cross-examination as part of its procedure,” which includes administrative hearings (</w:t>
      </w:r>
      <w:r w:rsidR="002D2705" w:rsidRPr="003E1D49">
        <w:rPr>
          <w:rFonts w:cs="Times New Roman"/>
          <w:i/>
          <w:szCs w:val="24"/>
        </w:rPr>
        <w:t>i</w:t>
      </w:r>
      <w:r w:rsidRPr="003E1D49">
        <w:rPr>
          <w:rFonts w:cs="Times New Roman"/>
          <w:i/>
          <w:iCs/>
          <w:szCs w:val="24"/>
        </w:rPr>
        <w:t>d</w:t>
      </w:r>
      <w:r w:rsidRPr="003E1D49">
        <w:rPr>
          <w:rFonts w:cs="Times New Roman"/>
          <w:szCs w:val="24"/>
        </w:rPr>
        <w:t xml:space="preserve">. at 338 [driver’s license revocation hearing]). </w:t>
      </w:r>
      <w:r w:rsidR="00B831C5" w:rsidRPr="003E1D49">
        <w:rPr>
          <w:rFonts w:cs="Times New Roman"/>
          <w:szCs w:val="24"/>
        </w:rPr>
        <w:t>(</w:t>
      </w:r>
      <w:r w:rsidR="006F61AD" w:rsidRPr="003E1D49">
        <w:rPr>
          <w:rFonts w:cs="Times New Roman"/>
          <w:i/>
          <w:iCs/>
          <w:szCs w:val="24"/>
        </w:rPr>
        <w:t xml:space="preserve">See </w:t>
      </w:r>
      <w:r w:rsidR="00B654B7" w:rsidRPr="003E1D49">
        <w:rPr>
          <w:rFonts w:cs="Times New Roman"/>
          <w:i/>
          <w:iCs/>
          <w:szCs w:val="24"/>
        </w:rPr>
        <w:t>Siege</w:t>
      </w:r>
      <w:r w:rsidR="003F1121" w:rsidRPr="003E1D49">
        <w:rPr>
          <w:rFonts w:cs="Times New Roman"/>
          <w:i/>
          <w:iCs/>
          <w:szCs w:val="24"/>
        </w:rPr>
        <w:t>l</w:t>
      </w:r>
      <w:r w:rsidR="00B654B7" w:rsidRPr="003E1D49">
        <w:rPr>
          <w:rFonts w:cs="Times New Roman"/>
          <w:szCs w:val="24"/>
        </w:rPr>
        <w:t xml:space="preserve">, 59 AD2d </w:t>
      </w:r>
      <w:r w:rsidR="003F1121" w:rsidRPr="003E1D49">
        <w:rPr>
          <w:rFonts w:cs="Times New Roman"/>
          <w:szCs w:val="24"/>
        </w:rPr>
        <w:t xml:space="preserve">at </w:t>
      </w:r>
      <w:r w:rsidR="00B654B7" w:rsidRPr="003E1D49">
        <w:rPr>
          <w:rFonts w:cs="Times New Roman"/>
          <w:szCs w:val="24"/>
        </w:rPr>
        <w:t>555</w:t>
      </w:r>
      <w:r w:rsidR="00ED1F92" w:rsidRPr="003E1D49">
        <w:rPr>
          <w:rFonts w:cs="Times New Roman"/>
          <w:szCs w:val="24"/>
        </w:rPr>
        <w:t xml:space="preserve"> [allowing testimony of a deceased given in an examination before trial]</w:t>
      </w:r>
      <w:r w:rsidR="00842742" w:rsidRPr="003E1D49">
        <w:rPr>
          <w:rFonts w:cs="Times New Roman"/>
          <w:szCs w:val="24"/>
        </w:rPr>
        <w:t xml:space="preserve">; </w:t>
      </w:r>
      <w:r w:rsidR="00842742" w:rsidRPr="003E1D49">
        <w:rPr>
          <w:rFonts w:cs="Times New Roman"/>
          <w:i/>
          <w:iCs/>
          <w:szCs w:val="24"/>
        </w:rPr>
        <w:t>but see</w:t>
      </w:r>
      <w:r w:rsidR="00842742" w:rsidRPr="003E1D49">
        <w:rPr>
          <w:rFonts w:cs="Times New Roman"/>
          <w:szCs w:val="24"/>
        </w:rPr>
        <w:t xml:space="preserve"> CPLR 3117 </w:t>
      </w:r>
      <w:r w:rsidR="00F70AB4" w:rsidRPr="003E1D49">
        <w:rPr>
          <w:rFonts w:cs="Times New Roman"/>
          <w:szCs w:val="24"/>
        </w:rPr>
        <w:t>[</w:t>
      </w:r>
      <w:r w:rsidR="00842742" w:rsidRPr="003E1D49">
        <w:rPr>
          <w:rFonts w:cs="Times New Roman"/>
          <w:szCs w:val="24"/>
        </w:rPr>
        <w:t xml:space="preserve">Use of </w:t>
      </w:r>
      <w:r w:rsidR="00F70AB4" w:rsidRPr="003E1D49">
        <w:rPr>
          <w:rFonts w:cs="Times New Roman"/>
          <w:szCs w:val="24"/>
        </w:rPr>
        <w:t>d</w:t>
      </w:r>
      <w:r w:rsidR="00842742" w:rsidRPr="003E1D49">
        <w:rPr>
          <w:rFonts w:cs="Times New Roman"/>
          <w:szCs w:val="24"/>
        </w:rPr>
        <w:t>epositions</w:t>
      </w:r>
      <w:r w:rsidR="00F70AB4" w:rsidRPr="003E1D49">
        <w:rPr>
          <w:rFonts w:cs="Times New Roman"/>
          <w:szCs w:val="24"/>
        </w:rPr>
        <w:t>].</w:t>
      </w:r>
      <w:r w:rsidR="00842742" w:rsidRPr="003E1D49">
        <w:rPr>
          <w:rFonts w:cs="Times New Roman"/>
          <w:szCs w:val="24"/>
        </w:rPr>
        <w:t>)</w:t>
      </w:r>
    </w:p>
    <w:sectPr w:rsidR="005C2FE1" w:rsidRPr="003E1D49" w:rsidSect="003E1D49">
      <w:footerReference w:type="default" r:id="rId7"/>
      <w:pgSz w:w="12240" w:h="15840" w:code="1"/>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9A082" w14:textId="77777777" w:rsidR="00927809" w:rsidRDefault="00927809" w:rsidP="004F4F31">
      <w:pPr>
        <w:spacing w:line="240" w:lineRule="auto"/>
      </w:pPr>
      <w:r>
        <w:separator/>
      </w:r>
    </w:p>
  </w:endnote>
  <w:endnote w:type="continuationSeparator" w:id="0">
    <w:p w14:paraId="5B92C1C4" w14:textId="77777777" w:rsidR="00927809" w:rsidRDefault="00927809" w:rsidP="004F4F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5157637"/>
      <w:docPartObj>
        <w:docPartGallery w:val="Page Numbers (Bottom of Page)"/>
        <w:docPartUnique/>
      </w:docPartObj>
    </w:sdtPr>
    <w:sdtEndPr>
      <w:rPr>
        <w:noProof/>
      </w:rPr>
    </w:sdtEndPr>
    <w:sdtContent>
      <w:p w14:paraId="04CC1DD9" w14:textId="49428837" w:rsidR="004F4F31" w:rsidRDefault="004F4F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1C4620" w14:textId="77777777" w:rsidR="004F4F31" w:rsidRDefault="004F4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1FFB7" w14:textId="77777777" w:rsidR="00927809" w:rsidRDefault="00927809" w:rsidP="004F4F31">
      <w:pPr>
        <w:spacing w:line="240" w:lineRule="auto"/>
      </w:pPr>
      <w:r>
        <w:separator/>
      </w:r>
    </w:p>
  </w:footnote>
  <w:footnote w:type="continuationSeparator" w:id="0">
    <w:p w14:paraId="3A6B1375" w14:textId="77777777" w:rsidR="00927809" w:rsidRDefault="00927809" w:rsidP="004F4F3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FD"/>
    <w:rsid w:val="00045314"/>
    <w:rsid w:val="0004610E"/>
    <w:rsid w:val="00052824"/>
    <w:rsid w:val="0007050F"/>
    <w:rsid w:val="00071646"/>
    <w:rsid w:val="00072124"/>
    <w:rsid w:val="00082ABE"/>
    <w:rsid w:val="000918D4"/>
    <w:rsid w:val="00095348"/>
    <w:rsid w:val="00096C5B"/>
    <w:rsid w:val="000F4D5C"/>
    <w:rsid w:val="00101DEB"/>
    <w:rsid w:val="0011041F"/>
    <w:rsid w:val="00111C28"/>
    <w:rsid w:val="0011697D"/>
    <w:rsid w:val="00117110"/>
    <w:rsid w:val="00123465"/>
    <w:rsid w:val="00124572"/>
    <w:rsid w:val="001375CB"/>
    <w:rsid w:val="00154BDC"/>
    <w:rsid w:val="00174480"/>
    <w:rsid w:val="00183587"/>
    <w:rsid w:val="00184214"/>
    <w:rsid w:val="00190443"/>
    <w:rsid w:val="001B1E76"/>
    <w:rsid w:val="001C4B38"/>
    <w:rsid w:val="001E6997"/>
    <w:rsid w:val="001F4030"/>
    <w:rsid w:val="002215E9"/>
    <w:rsid w:val="00236277"/>
    <w:rsid w:val="002423C0"/>
    <w:rsid w:val="00243E4A"/>
    <w:rsid w:val="00250D5E"/>
    <w:rsid w:val="00262BC0"/>
    <w:rsid w:val="002677AB"/>
    <w:rsid w:val="00271A95"/>
    <w:rsid w:val="00284DA5"/>
    <w:rsid w:val="0029106E"/>
    <w:rsid w:val="00297FE7"/>
    <w:rsid w:val="002A6606"/>
    <w:rsid w:val="002B596D"/>
    <w:rsid w:val="002C0ED7"/>
    <w:rsid w:val="002D2705"/>
    <w:rsid w:val="00313670"/>
    <w:rsid w:val="0032232A"/>
    <w:rsid w:val="00323EBF"/>
    <w:rsid w:val="00332436"/>
    <w:rsid w:val="003329BD"/>
    <w:rsid w:val="00343800"/>
    <w:rsid w:val="00344944"/>
    <w:rsid w:val="00355B1B"/>
    <w:rsid w:val="00372417"/>
    <w:rsid w:val="0037678E"/>
    <w:rsid w:val="00382B37"/>
    <w:rsid w:val="003B0064"/>
    <w:rsid w:val="003B3D62"/>
    <w:rsid w:val="003D583E"/>
    <w:rsid w:val="003D62A6"/>
    <w:rsid w:val="003E1D49"/>
    <w:rsid w:val="003E4F92"/>
    <w:rsid w:val="003F1121"/>
    <w:rsid w:val="003F430F"/>
    <w:rsid w:val="00402E53"/>
    <w:rsid w:val="00407913"/>
    <w:rsid w:val="0041210A"/>
    <w:rsid w:val="004147CD"/>
    <w:rsid w:val="00415B3B"/>
    <w:rsid w:val="00446EE2"/>
    <w:rsid w:val="0047052F"/>
    <w:rsid w:val="004A00E7"/>
    <w:rsid w:val="004A2375"/>
    <w:rsid w:val="004A7FE1"/>
    <w:rsid w:val="004B3FFF"/>
    <w:rsid w:val="004C45C2"/>
    <w:rsid w:val="004C710B"/>
    <w:rsid w:val="004F1644"/>
    <w:rsid w:val="004F4F31"/>
    <w:rsid w:val="005014F6"/>
    <w:rsid w:val="00504622"/>
    <w:rsid w:val="00511F64"/>
    <w:rsid w:val="005836C6"/>
    <w:rsid w:val="0058787B"/>
    <w:rsid w:val="00594266"/>
    <w:rsid w:val="00596A9B"/>
    <w:rsid w:val="005C2FE1"/>
    <w:rsid w:val="005D5EA6"/>
    <w:rsid w:val="005E2A23"/>
    <w:rsid w:val="005E798D"/>
    <w:rsid w:val="005F13C9"/>
    <w:rsid w:val="005F46B0"/>
    <w:rsid w:val="00604063"/>
    <w:rsid w:val="006121F4"/>
    <w:rsid w:val="00643082"/>
    <w:rsid w:val="00645541"/>
    <w:rsid w:val="006463F6"/>
    <w:rsid w:val="006521E6"/>
    <w:rsid w:val="006607A4"/>
    <w:rsid w:val="0066374B"/>
    <w:rsid w:val="00663D48"/>
    <w:rsid w:val="00672623"/>
    <w:rsid w:val="00686CD8"/>
    <w:rsid w:val="00690EB5"/>
    <w:rsid w:val="006A08A1"/>
    <w:rsid w:val="006C1D1C"/>
    <w:rsid w:val="006C3731"/>
    <w:rsid w:val="006D1099"/>
    <w:rsid w:val="006F113C"/>
    <w:rsid w:val="006F61AD"/>
    <w:rsid w:val="00701661"/>
    <w:rsid w:val="007071F3"/>
    <w:rsid w:val="00713A55"/>
    <w:rsid w:val="007226C8"/>
    <w:rsid w:val="00736ED6"/>
    <w:rsid w:val="0073711F"/>
    <w:rsid w:val="0074678D"/>
    <w:rsid w:val="00752C6B"/>
    <w:rsid w:val="00763AA2"/>
    <w:rsid w:val="007A4B68"/>
    <w:rsid w:val="007C7B80"/>
    <w:rsid w:val="007C7DD7"/>
    <w:rsid w:val="007D65AC"/>
    <w:rsid w:val="007D7AA3"/>
    <w:rsid w:val="00800CFC"/>
    <w:rsid w:val="008072A8"/>
    <w:rsid w:val="00814FCC"/>
    <w:rsid w:val="00842742"/>
    <w:rsid w:val="008604A0"/>
    <w:rsid w:val="00872576"/>
    <w:rsid w:val="008755C0"/>
    <w:rsid w:val="0088163F"/>
    <w:rsid w:val="008A6996"/>
    <w:rsid w:val="008B4F03"/>
    <w:rsid w:val="008D0A22"/>
    <w:rsid w:val="008D2EDC"/>
    <w:rsid w:val="008F192D"/>
    <w:rsid w:val="008F7E95"/>
    <w:rsid w:val="0090153B"/>
    <w:rsid w:val="00904935"/>
    <w:rsid w:val="009058CA"/>
    <w:rsid w:val="009068DF"/>
    <w:rsid w:val="009100CC"/>
    <w:rsid w:val="00920A74"/>
    <w:rsid w:val="00927809"/>
    <w:rsid w:val="009313CE"/>
    <w:rsid w:val="00941947"/>
    <w:rsid w:val="009435C9"/>
    <w:rsid w:val="0096607F"/>
    <w:rsid w:val="00971992"/>
    <w:rsid w:val="00971CCF"/>
    <w:rsid w:val="00996EF4"/>
    <w:rsid w:val="009C42D3"/>
    <w:rsid w:val="009D716F"/>
    <w:rsid w:val="009D7D8B"/>
    <w:rsid w:val="009F048D"/>
    <w:rsid w:val="00A02F7A"/>
    <w:rsid w:val="00A0707B"/>
    <w:rsid w:val="00A07406"/>
    <w:rsid w:val="00A30E70"/>
    <w:rsid w:val="00A312EE"/>
    <w:rsid w:val="00A34000"/>
    <w:rsid w:val="00A40E78"/>
    <w:rsid w:val="00A426CB"/>
    <w:rsid w:val="00A44903"/>
    <w:rsid w:val="00A52E35"/>
    <w:rsid w:val="00A57AA8"/>
    <w:rsid w:val="00A806A3"/>
    <w:rsid w:val="00A824CB"/>
    <w:rsid w:val="00A8352D"/>
    <w:rsid w:val="00A968DC"/>
    <w:rsid w:val="00AA51FF"/>
    <w:rsid w:val="00AA7E83"/>
    <w:rsid w:val="00AB0D27"/>
    <w:rsid w:val="00AB55E7"/>
    <w:rsid w:val="00AB575F"/>
    <w:rsid w:val="00AB7EBF"/>
    <w:rsid w:val="00AD11A0"/>
    <w:rsid w:val="00AD569D"/>
    <w:rsid w:val="00AE235F"/>
    <w:rsid w:val="00AE34B4"/>
    <w:rsid w:val="00AE45B7"/>
    <w:rsid w:val="00AF2E5A"/>
    <w:rsid w:val="00B0551F"/>
    <w:rsid w:val="00B11565"/>
    <w:rsid w:val="00B1798A"/>
    <w:rsid w:val="00B35016"/>
    <w:rsid w:val="00B5255D"/>
    <w:rsid w:val="00B52F27"/>
    <w:rsid w:val="00B654B7"/>
    <w:rsid w:val="00B6648F"/>
    <w:rsid w:val="00B831C5"/>
    <w:rsid w:val="00BB0018"/>
    <w:rsid w:val="00BB0697"/>
    <w:rsid w:val="00BB248B"/>
    <w:rsid w:val="00BB5653"/>
    <w:rsid w:val="00BD581A"/>
    <w:rsid w:val="00BD6881"/>
    <w:rsid w:val="00BF67E1"/>
    <w:rsid w:val="00C073B1"/>
    <w:rsid w:val="00C26C9B"/>
    <w:rsid w:val="00C271C1"/>
    <w:rsid w:val="00C27AF6"/>
    <w:rsid w:val="00C54E24"/>
    <w:rsid w:val="00C7356D"/>
    <w:rsid w:val="00C74566"/>
    <w:rsid w:val="00C81ECB"/>
    <w:rsid w:val="00C87B66"/>
    <w:rsid w:val="00C95D31"/>
    <w:rsid w:val="00CC064C"/>
    <w:rsid w:val="00CF2F0D"/>
    <w:rsid w:val="00CF402A"/>
    <w:rsid w:val="00D00648"/>
    <w:rsid w:val="00D020FE"/>
    <w:rsid w:val="00D472D6"/>
    <w:rsid w:val="00D568CF"/>
    <w:rsid w:val="00D6179A"/>
    <w:rsid w:val="00D74F86"/>
    <w:rsid w:val="00D808BB"/>
    <w:rsid w:val="00D80997"/>
    <w:rsid w:val="00D87F0D"/>
    <w:rsid w:val="00DB5918"/>
    <w:rsid w:val="00DC4CD7"/>
    <w:rsid w:val="00DE01CA"/>
    <w:rsid w:val="00DE7C5D"/>
    <w:rsid w:val="00E22585"/>
    <w:rsid w:val="00E256C3"/>
    <w:rsid w:val="00E267DE"/>
    <w:rsid w:val="00E2758D"/>
    <w:rsid w:val="00E50347"/>
    <w:rsid w:val="00E52AC8"/>
    <w:rsid w:val="00E54932"/>
    <w:rsid w:val="00E70D1B"/>
    <w:rsid w:val="00E7799F"/>
    <w:rsid w:val="00E80687"/>
    <w:rsid w:val="00E839F1"/>
    <w:rsid w:val="00E83D9B"/>
    <w:rsid w:val="00EA128D"/>
    <w:rsid w:val="00EA14AD"/>
    <w:rsid w:val="00EB667F"/>
    <w:rsid w:val="00ED1F92"/>
    <w:rsid w:val="00ED22E8"/>
    <w:rsid w:val="00ED5BB8"/>
    <w:rsid w:val="00EF6F87"/>
    <w:rsid w:val="00F05AFA"/>
    <w:rsid w:val="00F136AC"/>
    <w:rsid w:val="00F31C2F"/>
    <w:rsid w:val="00F33A54"/>
    <w:rsid w:val="00F35A44"/>
    <w:rsid w:val="00F35C6E"/>
    <w:rsid w:val="00F56DA9"/>
    <w:rsid w:val="00F70AB4"/>
    <w:rsid w:val="00F70BF3"/>
    <w:rsid w:val="00F763FD"/>
    <w:rsid w:val="00FA1E86"/>
    <w:rsid w:val="00FC370E"/>
    <w:rsid w:val="00FD3BF1"/>
    <w:rsid w:val="00FF40D1"/>
    <w:rsid w:val="00FF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E6471"/>
  <w15:chartTrackingRefBased/>
  <w15:docId w15:val="{7B6D91F7-12C7-477D-AA47-F1BBACD3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F0D"/>
    <w:pPr>
      <w:spacing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0FE"/>
    <w:pPr>
      <w:contextualSpacing/>
    </w:pPr>
  </w:style>
  <w:style w:type="character" w:styleId="CommentReference">
    <w:name w:val="annotation reference"/>
    <w:basedOn w:val="DefaultParagraphFont"/>
    <w:uiPriority w:val="99"/>
    <w:semiHidden/>
    <w:unhideWhenUsed/>
    <w:rsid w:val="006C1D1C"/>
    <w:rPr>
      <w:sz w:val="16"/>
      <w:szCs w:val="16"/>
    </w:rPr>
  </w:style>
  <w:style w:type="paragraph" w:styleId="CommentText">
    <w:name w:val="annotation text"/>
    <w:basedOn w:val="Normal"/>
    <w:link w:val="CommentTextChar"/>
    <w:uiPriority w:val="99"/>
    <w:semiHidden/>
    <w:unhideWhenUsed/>
    <w:rsid w:val="006C1D1C"/>
    <w:pPr>
      <w:spacing w:line="240" w:lineRule="auto"/>
    </w:pPr>
    <w:rPr>
      <w:sz w:val="20"/>
      <w:szCs w:val="20"/>
    </w:rPr>
  </w:style>
  <w:style w:type="character" w:customStyle="1" w:styleId="CommentTextChar">
    <w:name w:val="Comment Text Char"/>
    <w:basedOn w:val="DefaultParagraphFont"/>
    <w:link w:val="CommentText"/>
    <w:uiPriority w:val="99"/>
    <w:semiHidden/>
    <w:rsid w:val="006C1D1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C1D1C"/>
    <w:rPr>
      <w:b/>
      <w:bCs/>
    </w:rPr>
  </w:style>
  <w:style w:type="character" w:customStyle="1" w:styleId="CommentSubjectChar">
    <w:name w:val="Comment Subject Char"/>
    <w:basedOn w:val="CommentTextChar"/>
    <w:link w:val="CommentSubject"/>
    <w:uiPriority w:val="99"/>
    <w:semiHidden/>
    <w:rsid w:val="006C1D1C"/>
    <w:rPr>
      <w:rFonts w:ascii="Times New Roman" w:hAnsi="Times New Roman"/>
      <w:b/>
      <w:bCs/>
      <w:sz w:val="20"/>
      <w:szCs w:val="20"/>
    </w:rPr>
  </w:style>
  <w:style w:type="paragraph" w:styleId="BalloonText">
    <w:name w:val="Balloon Text"/>
    <w:basedOn w:val="Normal"/>
    <w:link w:val="BalloonTextChar"/>
    <w:uiPriority w:val="99"/>
    <w:semiHidden/>
    <w:unhideWhenUsed/>
    <w:rsid w:val="006C1D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D1C"/>
    <w:rPr>
      <w:rFonts w:ascii="Segoe UI" w:hAnsi="Segoe UI" w:cs="Segoe UI"/>
      <w:sz w:val="18"/>
      <w:szCs w:val="18"/>
    </w:rPr>
  </w:style>
  <w:style w:type="paragraph" w:styleId="Header">
    <w:name w:val="header"/>
    <w:basedOn w:val="Normal"/>
    <w:link w:val="HeaderChar"/>
    <w:uiPriority w:val="99"/>
    <w:unhideWhenUsed/>
    <w:rsid w:val="004F4F31"/>
    <w:pPr>
      <w:tabs>
        <w:tab w:val="center" w:pos="4680"/>
        <w:tab w:val="right" w:pos="9360"/>
      </w:tabs>
      <w:spacing w:line="240" w:lineRule="auto"/>
    </w:pPr>
  </w:style>
  <w:style w:type="character" w:customStyle="1" w:styleId="HeaderChar">
    <w:name w:val="Header Char"/>
    <w:basedOn w:val="DefaultParagraphFont"/>
    <w:link w:val="Header"/>
    <w:uiPriority w:val="99"/>
    <w:rsid w:val="004F4F31"/>
    <w:rPr>
      <w:rFonts w:ascii="Times New Roman" w:hAnsi="Times New Roman"/>
      <w:sz w:val="24"/>
    </w:rPr>
  </w:style>
  <w:style w:type="paragraph" w:styleId="Footer">
    <w:name w:val="footer"/>
    <w:basedOn w:val="Normal"/>
    <w:link w:val="FooterChar"/>
    <w:uiPriority w:val="99"/>
    <w:unhideWhenUsed/>
    <w:rsid w:val="004F4F31"/>
    <w:pPr>
      <w:tabs>
        <w:tab w:val="center" w:pos="4680"/>
        <w:tab w:val="right" w:pos="9360"/>
      </w:tabs>
      <w:spacing w:line="240" w:lineRule="auto"/>
    </w:pPr>
  </w:style>
  <w:style w:type="character" w:customStyle="1" w:styleId="FooterChar">
    <w:name w:val="Footer Char"/>
    <w:basedOn w:val="DefaultParagraphFont"/>
    <w:link w:val="Footer"/>
    <w:uiPriority w:val="99"/>
    <w:rsid w:val="004F4F3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043235">
      <w:bodyDiv w:val="1"/>
      <w:marLeft w:val="0"/>
      <w:marRight w:val="0"/>
      <w:marTop w:val="0"/>
      <w:marBottom w:val="0"/>
      <w:divBdr>
        <w:top w:val="none" w:sz="0" w:space="0" w:color="auto"/>
        <w:left w:val="none" w:sz="0" w:space="0" w:color="auto"/>
        <w:bottom w:val="none" w:sz="0" w:space="0" w:color="auto"/>
        <w:right w:val="none" w:sz="0" w:space="0" w:color="auto"/>
      </w:divBdr>
      <w:divsChild>
        <w:div w:id="1816023137">
          <w:marLeft w:val="0"/>
          <w:marRight w:val="0"/>
          <w:marTop w:val="0"/>
          <w:marBottom w:val="0"/>
          <w:divBdr>
            <w:top w:val="none" w:sz="0" w:space="0" w:color="auto"/>
            <w:left w:val="none" w:sz="0" w:space="0" w:color="auto"/>
            <w:bottom w:val="none" w:sz="0" w:space="0" w:color="auto"/>
            <w:right w:val="none" w:sz="0" w:space="0" w:color="auto"/>
          </w:divBdr>
          <w:divsChild>
            <w:div w:id="2051998072">
              <w:marLeft w:val="0"/>
              <w:marRight w:val="0"/>
              <w:marTop w:val="0"/>
              <w:marBottom w:val="0"/>
              <w:divBdr>
                <w:top w:val="none" w:sz="0" w:space="0" w:color="auto"/>
                <w:left w:val="none" w:sz="0" w:space="0" w:color="auto"/>
                <w:bottom w:val="none" w:sz="0" w:space="0" w:color="auto"/>
                <w:right w:val="none" w:sz="0" w:space="0" w:color="auto"/>
              </w:divBdr>
              <w:divsChild>
                <w:div w:id="7940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03737">
      <w:bodyDiv w:val="1"/>
      <w:marLeft w:val="0"/>
      <w:marRight w:val="0"/>
      <w:marTop w:val="0"/>
      <w:marBottom w:val="0"/>
      <w:divBdr>
        <w:top w:val="none" w:sz="0" w:space="0" w:color="auto"/>
        <w:left w:val="none" w:sz="0" w:space="0" w:color="auto"/>
        <w:bottom w:val="none" w:sz="0" w:space="0" w:color="auto"/>
        <w:right w:val="none" w:sz="0" w:space="0" w:color="auto"/>
      </w:divBdr>
      <w:divsChild>
        <w:div w:id="548344401">
          <w:marLeft w:val="0"/>
          <w:marRight w:val="0"/>
          <w:marTop w:val="0"/>
          <w:marBottom w:val="0"/>
          <w:divBdr>
            <w:top w:val="none" w:sz="0" w:space="0" w:color="auto"/>
            <w:left w:val="none" w:sz="0" w:space="0" w:color="auto"/>
            <w:bottom w:val="none" w:sz="0" w:space="0" w:color="auto"/>
            <w:right w:val="none" w:sz="0" w:space="0" w:color="auto"/>
          </w:divBdr>
          <w:divsChild>
            <w:div w:id="887688237">
              <w:marLeft w:val="0"/>
              <w:marRight w:val="0"/>
              <w:marTop w:val="0"/>
              <w:marBottom w:val="0"/>
              <w:divBdr>
                <w:top w:val="none" w:sz="0" w:space="0" w:color="auto"/>
                <w:left w:val="none" w:sz="0" w:space="0" w:color="auto"/>
                <w:bottom w:val="none" w:sz="0" w:space="0" w:color="auto"/>
                <w:right w:val="none" w:sz="0" w:space="0" w:color="auto"/>
              </w:divBdr>
              <w:divsChild>
                <w:div w:id="1861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0B0A3-A56F-4B45-AC7C-455B33D9B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5</cp:revision>
  <dcterms:created xsi:type="dcterms:W3CDTF">2020-12-09T16:41:00Z</dcterms:created>
  <dcterms:modified xsi:type="dcterms:W3CDTF">2020-12-18T18:09:00Z</dcterms:modified>
</cp:coreProperties>
</file>