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6D08C" w14:textId="77777777" w:rsidR="00173EFD" w:rsidRDefault="00173EFD">
      <w:pPr>
        <w:kinsoku w:val="0"/>
        <w:overflowPunct w:val="0"/>
        <w:autoSpaceDE/>
        <w:autoSpaceDN/>
        <w:adjustRightInd/>
        <w:spacing w:before="7" w:line="331" w:lineRule="exact"/>
        <w:jc w:val="center"/>
        <w:textAlignment w:val="baseline"/>
        <w:rPr>
          <w:rFonts w:ascii="Arial" w:hAnsi="Arial"/>
          <w:b/>
          <w:spacing w:val="-2"/>
          <w:sz w:val="28"/>
        </w:rPr>
      </w:pPr>
      <w:r>
        <w:rPr>
          <w:rFonts w:ascii="Arial" w:hAnsi="Arial"/>
          <w:b/>
          <w:spacing w:val="-2"/>
          <w:sz w:val="28"/>
        </w:rPr>
        <w:t>ENTRAPMENT</w:t>
      </w:r>
    </w:p>
    <w:p w14:paraId="3A0B788E" w14:textId="77777777" w:rsidR="00173EFD" w:rsidRDefault="00173EFD">
      <w:pPr>
        <w:kinsoku w:val="0"/>
        <w:overflowPunct w:val="0"/>
        <w:autoSpaceDE/>
        <w:autoSpaceDN/>
        <w:adjustRightInd/>
        <w:spacing w:line="331" w:lineRule="exact"/>
        <w:jc w:val="center"/>
        <w:textAlignment w:val="baseline"/>
        <w:rPr>
          <w:rFonts w:ascii="Arial" w:hAnsi="Arial"/>
          <w:b/>
          <w:sz w:val="28"/>
        </w:rPr>
      </w:pPr>
      <w:r>
        <w:rPr>
          <w:rFonts w:ascii="Arial" w:hAnsi="Arial"/>
          <w:b/>
          <w:sz w:val="28"/>
        </w:rPr>
        <w:t>Penal Law § 40.05</w:t>
      </w:r>
    </w:p>
    <w:p w14:paraId="2F0921F6" w14:textId="77777777" w:rsidR="003458C2" w:rsidRPr="00686618" w:rsidRDefault="00173EFD" w:rsidP="003458C2">
      <w:pPr>
        <w:tabs>
          <w:tab w:val="center" w:pos="3960"/>
        </w:tabs>
        <w:jc w:val="center"/>
        <w:rPr>
          <w:rFonts w:ascii="Arial" w:eastAsia="Yu Gothic UI" w:hAnsi="Arial" w:cs="Arial"/>
          <w:bCs/>
          <w:sz w:val="24"/>
        </w:rPr>
      </w:pPr>
      <w:r w:rsidRPr="00686618">
        <w:rPr>
          <w:rFonts w:ascii="Arial" w:hAnsi="Arial"/>
          <w:bCs/>
          <w:sz w:val="24"/>
        </w:rPr>
        <w:t>(Effective September 1, 1967)</w:t>
      </w:r>
      <w:r w:rsidR="003458C2" w:rsidRPr="00686618">
        <w:rPr>
          <w:rFonts w:ascii="Arial" w:eastAsia="Yu Gothic UI" w:hAnsi="Arial" w:cs="Arial"/>
          <w:bCs/>
          <w:sz w:val="24"/>
        </w:rPr>
        <w:t xml:space="preserve"> </w:t>
      </w:r>
    </w:p>
    <w:p w14:paraId="4B23091B" w14:textId="3D45CD78" w:rsidR="003458C2" w:rsidRPr="00415C7D" w:rsidRDefault="003458C2" w:rsidP="003458C2">
      <w:pPr>
        <w:tabs>
          <w:tab w:val="center" w:pos="3960"/>
        </w:tabs>
        <w:jc w:val="center"/>
        <w:rPr>
          <w:rFonts w:ascii="Arial" w:eastAsia="Yu Gothic UI" w:hAnsi="Arial" w:cs="Arial"/>
          <w:vertAlign w:val="superscript"/>
        </w:rPr>
      </w:pPr>
      <w:r>
        <w:rPr>
          <w:rFonts w:ascii="Arial" w:eastAsia="Yu Gothic UI" w:hAnsi="Arial" w:cs="Arial"/>
        </w:rPr>
        <w:t xml:space="preserve">(Revised </w:t>
      </w:r>
      <w:r w:rsidR="00804096">
        <w:rPr>
          <w:rFonts w:ascii="Arial" w:eastAsia="Yu Gothic UI" w:hAnsi="Arial" w:cs="Arial"/>
        </w:rPr>
        <w:t>June</w:t>
      </w:r>
      <w:r>
        <w:rPr>
          <w:rFonts w:ascii="Arial" w:eastAsia="Yu Gothic UI" w:hAnsi="Arial" w:cs="Arial"/>
        </w:rPr>
        <w:t>, 2020)</w:t>
      </w:r>
      <w:r w:rsidR="00F949CF">
        <w:rPr>
          <w:rFonts w:ascii="Arial" w:eastAsia="Yu Gothic UI" w:hAnsi="Arial" w:cs="Arial"/>
          <w:vertAlign w:val="superscript"/>
        </w:rPr>
        <w:t>1</w:t>
      </w:r>
      <w:r w:rsidR="00F42F3C">
        <w:rPr>
          <w:rFonts w:ascii="Arial" w:eastAsia="Yu Gothic UI" w:hAnsi="Arial" w:cs="Arial"/>
          <w:vertAlign w:val="superscript"/>
        </w:rPr>
        <w:t xml:space="preserve">  </w:t>
      </w:r>
    </w:p>
    <w:p w14:paraId="198F6172" w14:textId="3D618819" w:rsidR="00173EFD" w:rsidRDefault="00847DE9">
      <w:pPr>
        <w:kinsoku w:val="0"/>
        <w:overflowPunct w:val="0"/>
        <w:autoSpaceDE/>
        <w:autoSpaceDN/>
        <w:adjustRightInd/>
        <w:spacing w:before="364" w:after="279" w:line="320" w:lineRule="exact"/>
        <w:ind w:left="1440" w:right="1440"/>
        <w:jc w:val="both"/>
        <w:textAlignment w:val="baseline"/>
        <w:rPr>
          <w:rFonts w:ascii="Arial" w:hAnsi="Arial"/>
          <w:i/>
          <w:spacing w:val="-4"/>
          <w:sz w:val="28"/>
        </w:rPr>
      </w:pPr>
      <w:r>
        <w:rPr>
          <w:noProof/>
        </w:rPr>
        <mc:AlternateContent>
          <mc:Choice Requires="wps">
            <w:drawing>
              <wp:anchor distT="0" distB="0" distL="0" distR="0" simplePos="0" relativeHeight="251658240" behindDoc="0" locked="0" layoutInCell="0" allowOverlap="1" wp14:anchorId="00439E04" wp14:editId="7BB33B8E">
                <wp:simplePos x="0" y="0"/>
                <wp:positionH relativeFrom="page">
                  <wp:posOffset>2892425</wp:posOffset>
                </wp:positionH>
                <wp:positionV relativeFrom="page">
                  <wp:posOffset>1740535</wp:posOffset>
                </wp:positionV>
                <wp:extent cx="198818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F56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7.75pt,137.05pt" to="384.3pt,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R1wAEAAGoDAAAOAAAAZHJzL2Uyb0RvYy54bWysU01v2zAMvQ/YfxB0X/yBdciMOD2k6y7Z&#10;FqDdD2Ak2RYqi4KkxM6/H6V8rNtuQ30QSJF8enykV/fzaNhR+aDRtrxalJwpK1Bq27f85/PjhyVn&#10;IYKVYNCqlp9U4Pfr9+9Wk2tUjQMaqTwjEBuaybV8iNE1RRHEoEYIC3TKUrBDP0Ik1/eF9DAR+miK&#10;uiw/FRN66TwKFQLdPpyDfJ3xu06J+KPrgorMtJy4xXz6fO7TWaxX0PQe3KDFhQb8B4sRtKVHb1AP&#10;EIEdvP4HatTCY8AuLgSOBXadFir3QN1U5V/dPA3gVO6FxAnuJlN4O1jx/bjzTMuW15xZGGlEW20V&#10;q5MykwsNJWzszqfexGyf3BbFS2AWNwPYXmWGzydHZVWqKP4oSU5whL+fvqGkHDhEzDLNnR8TJAnA&#10;5jyN020aao5M0GX1ebmslneciWusgOZa6HyIXxWOLBktN8Q5A8NxG2IiAs01Jb1j8VEbk4dtLJsI&#10;/K7+WOaKgEbLFE15wff7jfHsCGlf8pfbosjrNI8HKzPaoEB+udgRtDnb9LqxFzWSAGcp9yhPO39V&#10;iQaaaV6WL23Maz9X//5F1r8AAAD//wMAUEsDBBQABgAIAAAAIQDG3FpW3gAAAAsBAAAPAAAAZHJz&#10;L2Rvd25yZXYueG1sTI/BTsMwDIbvSLxDZCRuLN1ou6o0nRjSDlwmUfYAbuO1FY1TNdlaeHqChARH&#10;259/fy52ixnElSbXW1awXkUgiBure24VnN4PDxkI55E1DpZJwSc52JW3NwXm2s78RtfKtyKEsMtR&#10;Qef9mEvpmo4MupUdicPsbCeDPpRTK/WEcwg3g9xEUSoN9hwudDjSS0fNR3UxQeP8iHHEh/3pmB55&#10;ft1n9VfllLq/W56fQHha/B8MP/phB8rgVNsLaycGBXGSJAFVsNnGaxCB2KZZCqL+7ciykP9/KL8B&#10;AAD//wMAUEsBAi0AFAAGAAgAAAAhALaDOJL+AAAA4QEAABMAAAAAAAAAAAAAAAAAAAAAAFtDb250&#10;ZW50X1R5cGVzXS54bWxQSwECLQAUAAYACAAAACEAOP0h/9YAAACUAQAACwAAAAAAAAAAAAAAAAAv&#10;AQAAX3JlbHMvLnJlbHNQSwECLQAUAAYACAAAACEABbH0dcABAABqAwAADgAAAAAAAAAAAAAAAAAu&#10;AgAAZHJzL2Uyb0RvYy54bWxQSwECLQAUAAYACAAAACEAxtxaVt4AAAALAQAADwAAAAAAAAAAAAAA&#10;AAAaBAAAZHJzL2Rvd25yZXYueG1sUEsFBgAAAAAEAAQA8wAAACUFAAAAAA==&#10;" o:allowincell="f" strokeweight="1.2pt">
                <w10:wrap type="square" anchorx="page" anchory="page"/>
              </v:line>
            </w:pict>
          </mc:Fallback>
        </mc:AlternateContent>
      </w:r>
      <w:r w:rsidR="00DE62B7">
        <w:rPr>
          <w:rFonts w:ascii="Arial" w:hAnsi="Arial"/>
          <w:i/>
          <w:spacing w:val="-4"/>
          <w:sz w:val="28"/>
        </w:rPr>
        <w:t xml:space="preserve">If </w:t>
      </w:r>
      <w:r w:rsidR="00173EFD">
        <w:rPr>
          <w:rFonts w:ascii="Arial" w:hAnsi="Arial"/>
          <w:i/>
          <w:spacing w:val="-4"/>
          <w:sz w:val="28"/>
        </w:rPr>
        <w:t>the affirmative defense of entrapment is applicable, omit the final two paragraphs of the instructions of the crime charged, and substitute the following:</w:t>
      </w:r>
    </w:p>
    <w:p w14:paraId="2C9A10D5" w14:textId="1C6DD954" w:rsidR="00173EFD" w:rsidRDefault="00847DE9">
      <w:pPr>
        <w:kinsoku w:val="0"/>
        <w:overflowPunct w:val="0"/>
        <w:autoSpaceDE/>
        <w:autoSpaceDN/>
        <w:adjustRightInd/>
        <w:spacing w:before="376" w:line="324" w:lineRule="exact"/>
        <w:ind w:firstLine="720"/>
        <w:jc w:val="both"/>
        <w:textAlignment w:val="baseline"/>
        <w:rPr>
          <w:rFonts w:ascii="Arial" w:hAnsi="Arial"/>
          <w:sz w:val="28"/>
        </w:rPr>
      </w:pPr>
      <w:r>
        <w:rPr>
          <w:noProof/>
        </w:rPr>
        <mc:AlternateContent>
          <mc:Choice Requires="wps">
            <w:drawing>
              <wp:anchor distT="0" distB="0" distL="0" distR="0" simplePos="0" relativeHeight="251659264" behindDoc="0" locked="0" layoutInCell="0" allowOverlap="1" wp14:anchorId="3D11BE18" wp14:editId="7F9D26D3">
                <wp:simplePos x="0" y="0"/>
                <wp:positionH relativeFrom="page">
                  <wp:posOffset>2892425</wp:posOffset>
                </wp:positionH>
                <wp:positionV relativeFrom="page">
                  <wp:posOffset>2971800</wp:posOffset>
                </wp:positionV>
                <wp:extent cx="1985010"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7CE86"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7.75pt,234pt" to="384.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dIvwEAAGoDAAAOAAAAZHJzL2Uyb0RvYy54bWysU01v2zAMvQ/YfxB0Xxx365AZcXpI112y&#10;LUC7H8BIsi1UEgVJiZ1/P0r5aLfdhvogkCL59PhIL+8ma9hBhajRtbyezTlTTqDUrm/5r6eHDwvO&#10;YgInwaBTLT+qyO9W798tR9+oGxzQSBUYgbjYjL7lQ0q+qaooBmUhztArR8EOg4VEbugrGWAkdGuq&#10;m/n8czVikD6gUDHS7f0pyFcFv+uUSD+7LqrETMuJWypnKOcun9VqCU0fwA9anGnAf7CwoB09eoW6&#10;hwRsH/Q/UFaLgBG7NBNoK+w6LVTpgbqp53918ziAV6UXEif6q0zx7WDFj8M2MC1pdpw5sDSijXaK&#10;fczKjD42lLB225B7E5N79BsUz5E5XA/gelUYPh09ldW5ovqjJDvRE/5u/I6ScmCfsMg0dcFmSBKA&#10;TWUax+s01JSYoMv6y+KWNOFMXGIVNJdCH2L6ptCybLTcEOcCDIdNTJkINJeU/I7DB21MGbZxbCTw&#10;xaf6tlRENFrmaM6Lod+tTWAHyPtSvtIWRV6nBdw7WdAGBfLr2U6gzcmm1407q5EFOEm5Q3nchotK&#10;NNBC87x8eWNe+6X65RdZ/QYAAP//AwBQSwMEFAAGAAgAAAAhAONiuF/gAAAACwEAAA8AAABkcnMv&#10;ZG93bnJldi54bWxMj0FLw0AQhe+C/2EZwZvdVJo0xGyKCIIgWEwtetwmYzY0Oxt2t2301ztCQW8z&#10;8x5vvleuJjuII/rQO1IwnyUgkBrX9tQpeNs83uQgQtTU6sERKvjCAKvq8qLURetO9IrHOnaCQygU&#10;WoGJcSykDI1Bq8PMjUisfTpvdeTVd7L1+sThdpC3SZJJq3viD0aP+GCw2dcHq+DF+I/NdrvW7375&#10;9Py9j+t60Uulrq+m+zsQEaf4Z4ZffEaHipl27kBtEIOCRZqmbOUhy7kUO5ZZPgexO19kVcr/Haof&#10;AAAA//8DAFBLAQItABQABgAIAAAAIQC2gziS/gAAAOEBAAATAAAAAAAAAAAAAAAAAAAAAABbQ29u&#10;dGVudF9UeXBlc10ueG1sUEsBAi0AFAAGAAgAAAAhADj9If/WAAAAlAEAAAsAAAAAAAAAAAAAAAAA&#10;LwEAAF9yZWxzLy5yZWxzUEsBAi0AFAAGAAgAAAAhAGScB0i/AQAAagMAAA4AAAAAAAAAAAAAAAAA&#10;LgIAAGRycy9lMm9Eb2MueG1sUEsBAi0AFAAGAAgAAAAhAONiuF/gAAAACwEAAA8AAAAAAAAAAAAA&#10;AAAAGQQAAGRycy9kb3ducmV2LnhtbFBLBQYAAAAABAAEAPMAAAAmBQAAAAA=&#10;" o:allowincell="f" strokeweight="1.45pt">
                <w10:wrap type="square" anchorx="page" anchory="page"/>
              </v:line>
            </w:pict>
          </mc:Fallback>
        </mc:AlternateContent>
      </w:r>
      <w:r w:rsidR="00173EFD">
        <w:rPr>
          <w:rFonts w:ascii="Arial" w:hAnsi="Arial"/>
          <w:sz w:val="28"/>
        </w:rPr>
        <w:t>If you find that the People have not proven beyond a reasonable doubt any one of those elements, you must find the defendant not guilty</w:t>
      </w:r>
      <w:r w:rsidR="00663EE1">
        <w:rPr>
          <w:rFonts w:ascii="Arial" w:hAnsi="Arial"/>
          <w:sz w:val="28"/>
        </w:rPr>
        <w:t>.</w:t>
      </w:r>
    </w:p>
    <w:p w14:paraId="2D847A9F" w14:textId="28A7460A" w:rsidR="00173EFD" w:rsidRPr="000A5575" w:rsidRDefault="00173EFD">
      <w:pPr>
        <w:kinsoku w:val="0"/>
        <w:overflowPunct w:val="0"/>
        <w:autoSpaceDE/>
        <w:autoSpaceDN/>
        <w:adjustRightInd/>
        <w:spacing w:before="316" w:line="326" w:lineRule="exact"/>
        <w:ind w:firstLine="720"/>
        <w:jc w:val="both"/>
        <w:textAlignment w:val="baseline"/>
        <w:rPr>
          <w:rFonts w:ascii="Arial" w:hAnsi="Arial"/>
          <w:spacing w:val="-2"/>
          <w:sz w:val="28"/>
        </w:rPr>
      </w:pPr>
      <w:r>
        <w:rPr>
          <w:rFonts w:ascii="Arial" w:hAnsi="Arial"/>
          <w:spacing w:val="-2"/>
          <w:sz w:val="28"/>
        </w:rPr>
        <w:t xml:space="preserve">If you find that the People have proven beyond a reasonable doubt each of the </w:t>
      </w:r>
      <w:r w:rsidRPr="00663EE1">
        <w:rPr>
          <w:rFonts w:ascii="Arial" w:hAnsi="Arial"/>
          <w:spacing w:val="-2"/>
          <w:sz w:val="28"/>
        </w:rPr>
        <w:t>elements, you must consider the affirmative defense of entrapment that the defendant has raised.</w:t>
      </w:r>
      <w:r w:rsidR="00680799" w:rsidRPr="00663EE1">
        <w:rPr>
          <w:rFonts w:ascii="Arial" w:hAnsi="Arial"/>
          <w:spacing w:val="-2"/>
          <w:sz w:val="28"/>
        </w:rPr>
        <w:t xml:space="preserve"> </w:t>
      </w:r>
      <w:r w:rsidR="00680799" w:rsidRPr="000A5575">
        <w:rPr>
          <w:rFonts w:ascii="Arial" w:hAnsi="Arial"/>
          <w:spacing w:val="-2"/>
          <w:sz w:val="28"/>
        </w:rPr>
        <w:t xml:space="preserve">Remember, if you have already found the defendant not guilty, you will not consider this affirmative defense. </w:t>
      </w:r>
    </w:p>
    <w:p w14:paraId="4E60E4ED" w14:textId="77777777" w:rsidR="00173EFD" w:rsidRDefault="00173EFD">
      <w:pPr>
        <w:kinsoku w:val="0"/>
        <w:overflowPunct w:val="0"/>
        <w:autoSpaceDE/>
        <w:autoSpaceDN/>
        <w:adjustRightInd/>
        <w:spacing w:before="318" w:line="326" w:lineRule="exact"/>
        <w:ind w:firstLine="720"/>
        <w:jc w:val="both"/>
        <w:textAlignment w:val="baseline"/>
        <w:rPr>
          <w:rFonts w:ascii="Arial" w:hAnsi="Arial"/>
          <w:sz w:val="28"/>
        </w:rPr>
      </w:pPr>
      <w:r>
        <w:rPr>
          <w:rFonts w:ascii="Arial" w:hAnsi="Arial"/>
          <w:sz w:val="28"/>
        </w:rPr>
        <w:t>Under our law, it is an affirmative defense that the defendant engaged in the prohibited conduct because:</w:t>
      </w:r>
    </w:p>
    <w:p w14:paraId="763B36A7" w14:textId="77777777" w:rsidR="00173EFD" w:rsidRDefault="00173EFD">
      <w:pPr>
        <w:numPr>
          <w:ilvl w:val="0"/>
          <w:numId w:val="1"/>
        </w:numPr>
        <w:kinsoku w:val="0"/>
        <w:overflowPunct w:val="0"/>
        <w:autoSpaceDE/>
        <w:autoSpaceDN/>
        <w:adjustRightInd/>
        <w:spacing w:before="326" w:line="323" w:lineRule="exact"/>
        <w:jc w:val="both"/>
        <w:textAlignment w:val="baseline"/>
        <w:rPr>
          <w:rFonts w:ascii="Arial" w:hAnsi="Arial"/>
          <w:spacing w:val="-4"/>
          <w:sz w:val="28"/>
        </w:rPr>
      </w:pPr>
      <w:r>
        <w:rPr>
          <w:rFonts w:ascii="Arial" w:hAnsi="Arial"/>
          <w:spacing w:val="-4"/>
          <w:sz w:val="28"/>
        </w:rPr>
        <w:t>he/she was induced or encouraged to do so by a public servant, [or by a person acting in cooperation with a public servant,] who was seeking to obtain evidence against him/her for the purpose of criminal prosecution, and</w:t>
      </w:r>
    </w:p>
    <w:p w14:paraId="58ACADB6" w14:textId="77777777" w:rsidR="00173EFD" w:rsidRDefault="00173EFD">
      <w:pPr>
        <w:numPr>
          <w:ilvl w:val="0"/>
          <w:numId w:val="1"/>
        </w:numPr>
        <w:kinsoku w:val="0"/>
        <w:overflowPunct w:val="0"/>
        <w:autoSpaceDE/>
        <w:autoSpaceDN/>
        <w:adjustRightInd/>
        <w:spacing w:before="330" w:line="323" w:lineRule="exact"/>
        <w:jc w:val="both"/>
        <w:textAlignment w:val="baseline"/>
        <w:rPr>
          <w:rFonts w:ascii="Arial" w:hAnsi="Arial"/>
          <w:sz w:val="28"/>
        </w:rPr>
      </w:pPr>
      <w:r>
        <w:rPr>
          <w:rFonts w:ascii="Arial" w:hAnsi="Arial"/>
          <w:sz w:val="28"/>
        </w:rPr>
        <w:t>the methods used to obtain the evidence were such as to create a substantial risk that the offense would be committed by a person not otherwise disposed to commit it.</w:t>
      </w:r>
    </w:p>
    <w:p w14:paraId="7391017F" w14:textId="7564A652" w:rsidR="00173EFD" w:rsidRPr="00D32D44" w:rsidRDefault="00173EFD">
      <w:pPr>
        <w:kinsoku w:val="0"/>
        <w:overflowPunct w:val="0"/>
        <w:autoSpaceDE/>
        <w:autoSpaceDN/>
        <w:adjustRightInd/>
        <w:spacing w:before="329" w:line="321" w:lineRule="exact"/>
        <w:ind w:firstLine="720"/>
        <w:jc w:val="both"/>
        <w:textAlignment w:val="baseline"/>
        <w:rPr>
          <w:rFonts w:ascii="Arial" w:hAnsi="Arial"/>
          <w:sz w:val="17"/>
        </w:rPr>
      </w:pPr>
      <w:r>
        <w:rPr>
          <w:rFonts w:ascii="Arial" w:hAnsi="Arial"/>
          <w:sz w:val="28"/>
        </w:rPr>
        <w:t>Inducement or encouragement to commit an offense means active inducement or encouragement of a person who is not predisposed to commit the offense. Conduct merely affording a person an opportunity to commit an offense does not constitute entrapment.</w:t>
      </w:r>
      <w:r w:rsidR="00D32D44">
        <w:rPr>
          <w:rFonts w:ascii="Arial" w:hAnsi="Arial"/>
          <w:sz w:val="28"/>
          <w:vertAlign w:val="superscript"/>
        </w:rPr>
        <w:t>2</w:t>
      </w:r>
    </w:p>
    <w:p w14:paraId="1CF351EF" w14:textId="77777777" w:rsidR="00173EFD" w:rsidRDefault="00173EFD">
      <w:pPr>
        <w:kinsoku w:val="0"/>
        <w:overflowPunct w:val="0"/>
        <w:autoSpaceDE/>
        <w:autoSpaceDN/>
        <w:adjustRightInd/>
        <w:spacing w:before="336" w:line="320" w:lineRule="exact"/>
        <w:ind w:left="720"/>
        <w:textAlignment w:val="baseline"/>
        <w:rPr>
          <w:rFonts w:ascii="Arial" w:hAnsi="Arial"/>
          <w:i/>
          <w:sz w:val="28"/>
        </w:rPr>
      </w:pPr>
      <w:r>
        <w:rPr>
          <w:rFonts w:ascii="Arial" w:hAnsi="Arial"/>
          <w:i/>
          <w:sz w:val="28"/>
        </w:rPr>
        <w:lastRenderedPageBreak/>
        <w:t>[Note: Add where appropriate:</w:t>
      </w:r>
    </w:p>
    <w:p w14:paraId="12B7725D" w14:textId="0BE33880" w:rsidR="00674089" w:rsidRPr="00C1495E" w:rsidRDefault="00173EFD">
      <w:pPr>
        <w:kinsoku w:val="0"/>
        <w:overflowPunct w:val="0"/>
        <w:autoSpaceDE/>
        <w:autoSpaceDN/>
        <w:adjustRightInd/>
        <w:spacing w:before="4" w:line="324" w:lineRule="exact"/>
        <w:ind w:firstLine="720"/>
        <w:jc w:val="both"/>
        <w:textAlignment w:val="baseline"/>
        <w:rPr>
          <w:rFonts w:ascii="Arial" w:hAnsi="Arial"/>
          <w:sz w:val="28"/>
        </w:rPr>
      </w:pPr>
      <w:r>
        <w:rPr>
          <w:rFonts w:ascii="Arial" w:hAnsi="Arial"/>
          <w:sz w:val="28"/>
        </w:rPr>
        <w:t>In determining whether the defendant was not otherwise disposed to commit the offense, you may consider</w:t>
      </w:r>
      <w:r w:rsidR="00BD7643">
        <w:rPr>
          <w:rFonts w:ascii="Arial" w:hAnsi="Arial"/>
          <w:sz w:val="28"/>
        </w:rPr>
        <w:t xml:space="preserve"> </w:t>
      </w:r>
      <w:r w:rsidR="008130ED" w:rsidRPr="00CE0C79">
        <w:rPr>
          <w:rFonts w:ascii="Arial" w:hAnsi="Arial"/>
          <w:sz w:val="28"/>
        </w:rPr>
        <w:t xml:space="preserve">whether </w:t>
      </w:r>
      <w:r w:rsidR="008130ED" w:rsidRPr="00C1495E">
        <w:rPr>
          <w:rFonts w:ascii="Arial" w:hAnsi="Arial"/>
          <w:sz w:val="28"/>
        </w:rPr>
        <w:t>he/she</w:t>
      </w:r>
      <w:r w:rsidRPr="00C1495E">
        <w:rPr>
          <w:rFonts w:ascii="Arial" w:hAnsi="Arial"/>
          <w:sz w:val="28"/>
        </w:rPr>
        <w:t xml:space="preserve"> </w:t>
      </w:r>
    </w:p>
    <w:p w14:paraId="6B04DF76" w14:textId="77777777" w:rsidR="00674089" w:rsidRPr="00C1495E" w:rsidRDefault="00674089">
      <w:pPr>
        <w:kinsoku w:val="0"/>
        <w:overflowPunct w:val="0"/>
        <w:autoSpaceDE/>
        <w:autoSpaceDN/>
        <w:adjustRightInd/>
        <w:spacing w:before="4" w:line="324" w:lineRule="exact"/>
        <w:ind w:firstLine="720"/>
        <w:jc w:val="both"/>
        <w:textAlignment w:val="baseline"/>
        <w:rPr>
          <w:rFonts w:ascii="Arial" w:hAnsi="Arial"/>
          <w:sz w:val="28"/>
        </w:rPr>
      </w:pPr>
    </w:p>
    <w:p w14:paraId="0D6F431A" w14:textId="69ECB480" w:rsidR="00674089" w:rsidRPr="00C1495E" w:rsidRDefault="00674089" w:rsidP="00674089">
      <w:pPr>
        <w:ind w:left="-720" w:firstLine="720"/>
        <w:jc w:val="both"/>
        <w:rPr>
          <w:rFonts w:ascii="Arial" w:hAnsi="Arial" w:cs="Arial"/>
          <w:i/>
          <w:iCs/>
          <w:sz w:val="28"/>
          <w:szCs w:val="28"/>
        </w:rPr>
      </w:pPr>
      <w:bookmarkStart w:id="0" w:name="_Hlk30687519"/>
      <w:r w:rsidRPr="00C1495E">
        <w:rPr>
          <w:rFonts w:ascii="Arial" w:hAnsi="Arial" w:cs="Arial"/>
          <w:i/>
          <w:iCs/>
          <w:sz w:val="28"/>
          <w:szCs w:val="28"/>
        </w:rPr>
        <w:t>Select appropriate alternative(s):</w:t>
      </w:r>
      <w:r w:rsidR="00344A91" w:rsidRPr="00C1495E">
        <w:rPr>
          <w:rFonts w:ascii="Arial" w:hAnsi="Arial"/>
          <w:sz w:val="28"/>
          <w:vertAlign w:val="superscript"/>
        </w:rPr>
        <w:t xml:space="preserve"> </w:t>
      </w:r>
    </w:p>
    <w:p w14:paraId="03A80E16" w14:textId="77777777" w:rsidR="00674089" w:rsidRPr="00C1495E" w:rsidRDefault="00674089" w:rsidP="00674089">
      <w:pPr>
        <w:ind w:left="-720" w:firstLine="720"/>
        <w:jc w:val="both"/>
        <w:rPr>
          <w:rFonts w:ascii="Arial" w:hAnsi="Arial" w:cs="Arial"/>
          <w:i/>
          <w:iCs/>
          <w:sz w:val="28"/>
          <w:szCs w:val="28"/>
        </w:rPr>
      </w:pPr>
    </w:p>
    <w:p w14:paraId="49D64F2B" w14:textId="77777777" w:rsidR="008130ED" w:rsidRPr="00C1495E" w:rsidRDefault="008130ED" w:rsidP="009E5A8F">
      <w:pPr>
        <w:ind w:firstLine="720"/>
        <w:jc w:val="both"/>
        <w:rPr>
          <w:rFonts w:ascii="Arial" w:hAnsi="Arial" w:cs="Arial"/>
          <w:sz w:val="28"/>
          <w:szCs w:val="28"/>
        </w:rPr>
      </w:pPr>
      <w:r w:rsidRPr="00C1495E">
        <w:rPr>
          <w:rFonts w:ascii="Arial" w:hAnsi="Arial" w:cs="Arial"/>
          <w:sz w:val="28"/>
          <w:szCs w:val="28"/>
        </w:rPr>
        <w:t xml:space="preserve">has </w:t>
      </w:r>
      <w:r w:rsidR="00674089" w:rsidRPr="00C1495E">
        <w:rPr>
          <w:rFonts w:ascii="Arial" w:hAnsi="Arial" w:cs="Arial"/>
          <w:sz w:val="28"/>
          <w:szCs w:val="28"/>
        </w:rPr>
        <w:t xml:space="preserve">engaged in criminal conduct of the same nature </w:t>
      </w:r>
    </w:p>
    <w:p w14:paraId="71AE7CF7" w14:textId="77777777" w:rsidR="008130ED" w:rsidRPr="00C1495E" w:rsidRDefault="008130ED" w:rsidP="009E5A8F">
      <w:pPr>
        <w:ind w:firstLine="720"/>
        <w:jc w:val="both"/>
        <w:rPr>
          <w:rFonts w:ascii="Arial" w:hAnsi="Arial" w:cs="Arial"/>
          <w:sz w:val="28"/>
          <w:szCs w:val="28"/>
        </w:rPr>
      </w:pPr>
    </w:p>
    <w:p w14:paraId="006DE80F" w14:textId="4DFD116E" w:rsidR="00674089" w:rsidRPr="00C1495E" w:rsidRDefault="00BB1867" w:rsidP="009E5A8F">
      <w:pPr>
        <w:ind w:firstLine="720"/>
        <w:jc w:val="both"/>
        <w:rPr>
          <w:rFonts w:ascii="Arial" w:hAnsi="Arial" w:cs="Arial"/>
          <w:sz w:val="28"/>
          <w:szCs w:val="28"/>
        </w:rPr>
      </w:pPr>
      <w:r w:rsidRPr="00C1495E">
        <w:rPr>
          <w:rFonts w:ascii="Arial" w:hAnsi="Arial" w:cs="Arial"/>
          <w:sz w:val="28"/>
          <w:szCs w:val="28"/>
        </w:rPr>
        <w:t>[and]</w:t>
      </w:r>
    </w:p>
    <w:p w14:paraId="500C0940" w14:textId="77777777" w:rsidR="00386E8E" w:rsidRPr="00C1495E" w:rsidRDefault="00386E8E" w:rsidP="009E5A8F">
      <w:pPr>
        <w:ind w:firstLine="720"/>
        <w:jc w:val="both"/>
        <w:rPr>
          <w:rFonts w:ascii="Arial" w:hAnsi="Arial" w:cs="Arial"/>
          <w:sz w:val="28"/>
          <w:szCs w:val="28"/>
        </w:rPr>
      </w:pPr>
    </w:p>
    <w:p w14:paraId="136C2FFD" w14:textId="170D6A14" w:rsidR="00674089" w:rsidRPr="00C1495E" w:rsidRDefault="00674089" w:rsidP="009E5A8F">
      <w:pPr>
        <w:ind w:firstLine="720"/>
        <w:jc w:val="both"/>
        <w:rPr>
          <w:rFonts w:ascii="Arial" w:hAnsi="Arial"/>
          <w:sz w:val="28"/>
          <w:vertAlign w:val="superscript"/>
        </w:rPr>
      </w:pPr>
      <w:r w:rsidRPr="00C1495E">
        <w:rPr>
          <w:rFonts w:ascii="Arial" w:hAnsi="Arial" w:cs="Arial"/>
          <w:sz w:val="28"/>
          <w:szCs w:val="28"/>
        </w:rPr>
        <w:t>was convicted of a crime of the same nature.</w:t>
      </w:r>
      <w:r w:rsidR="00D651B2" w:rsidRPr="00C1495E">
        <w:rPr>
          <w:rFonts w:ascii="Arial" w:hAnsi="Arial"/>
          <w:sz w:val="28"/>
          <w:vertAlign w:val="superscript"/>
        </w:rPr>
        <w:t>3</w:t>
      </w:r>
    </w:p>
    <w:p w14:paraId="35BDD920" w14:textId="77777777" w:rsidR="008130ED" w:rsidRPr="00C1495E" w:rsidRDefault="008130ED" w:rsidP="009E5A8F">
      <w:pPr>
        <w:ind w:firstLine="720"/>
        <w:jc w:val="both"/>
        <w:rPr>
          <w:rFonts w:ascii="Arial" w:hAnsi="Arial" w:cs="Arial"/>
          <w:sz w:val="28"/>
          <w:szCs w:val="28"/>
        </w:rPr>
      </w:pPr>
    </w:p>
    <w:bookmarkEnd w:id="0"/>
    <w:p w14:paraId="006C3781" w14:textId="6DE5D35A" w:rsidR="00173EFD" w:rsidRPr="00C51E31" w:rsidRDefault="002D4971" w:rsidP="00C51E31">
      <w:pPr>
        <w:kinsoku w:val="0"/>
        <w:overflowPunct w:val="0"/>
        <w:autoSpaceDE/>
        <w:autoSpaceDN/>
        <w:adjustRightInd/>
        <w:spacing w:before="4" w:line="324" w:lineRule="exact"/>
        <w:jc w:val="both"/>
        <w:textAlignment w:val="baseline"/>
        <w:rPr>
          <w:rFonts w:ascii="Arial" w:hAnsi="Arial"/>
          <w:color w:val="C00000"/>
          <w:sz w:val="28"/>
        </w:rPr>
      </w:pPr>
      <w:r w:rsidRPr="00C1495E">
        <w:rPr>
          <w:rFonts w:ascii="Arial" w:hAnsi="Arial"/>
          <w:sz w:val="28"/>
        </w:rPr>
        <w:t xml:space="preserve">That evidence, </w:t>
      </w:r>
      <w:r w:rsidR="00173EFD" w:rsidRPr="00222A0D">
        <w:rPr>
          <w:rFonts w:ascii="Arial" w:hAnsi="Arial"/>
          <w:sz w:val="28"/>
        </w:rPr>
        <w:t xml:space="preserve">however, does not require you to find that he/she was predisposed to commit </w:t>
      </w:r>
      <w:r w:rsidR="00173EFD">
        <w:rPr>
          <w:rFonts w:ascii="Arial" w:hAnsi="Arial"/>
          <w:sz w:val="28"/>
        </w:rPr>
        <w:t>the crime. It is</w:t>
      </w:r>
      <w:r w:rsidR="00E8440F">
        <w:rPr>
          <w:rFonts w:ascii="Arial" w:hAnsi="Arial"/>
          <w:sz w:val="28"/>
        </w:rPr>
        <w:t xml:space="preserve"> </w:t>
      </w:r>
      <w:r w:rsidR="00173EFD">
        <w:rPr>
          <w:rFonts w:ascii="Arial" w:hAnsi="Arial"/>
          <w:sz w:val="28"/>
        </w:rPr>
        <w:t>simply one of the factors that you may take into account in making that determination.]</w:t>
      </w:r>
      <w:r w:rsidR="00BD394D" w:rsidRPr="00BD394D">
        <w:rPr>
          <w:rFonts w:ascii="Arial" w:hAnsi="Arial"/>
          <w:sz w:val="28"/>
          <w:vertAlign w:val="superscript"/>
        </w:rPr>
        <w:t>4</w:t>
      </w:r>
    </w:p>
    <w:p w14:paraId="529A09C8" w14:textId="77777777" w:rsidR="00173EFD" w:rsidRDefault="00173EFD">
      <w:pPr>
        <w:kinsoku w:val="0"/>
        <w:overflowPunct w:val="0"/>
        <w:autoSpaceDE/>
        <w:autoSpaceDN/>
        <w:adjustRightInd/>
        <w:spacing w:before="328" w:line="320" w:lineRule="exact"/>
        <w:ind w:left="720"/>
        <w:jc w:val="both"/>
        <w:textAlignment w:val="baseline"/>
        <w:rPr>
          <w:rFonts w:ascii="Arial" w:hAnsi="Arial"/>
          <w:i/>
          <w:sz w:val="28"/>
        </w:rPr>
      </w:pPr>
      <w:r>
        <w:rPr>
          <w:rFonts w:ascii="Arial" w:hAnsi="Arial"/>
          <w:i/>
          <w:sz w:val="28"/>
        </w:rPr>
        <w:t>[Note: Add where appropriate:</w:t>
      </w:r>
    </w:p>
    <w:p w14:paraId="515A12D3" w14:textId="68A69753" w:rsidR="00027F45" w:rsidRPr="00027F45" w:rsidRDefault="00173EFD">
      <w:pPr>
        <w:kinsoku w:val="0"/>
        <w:overflowPunct w:val="0"/>
        <w:autoSpaceDE/>
        <w:autoSpaceDN/>
        <w:adjustRightInd/>
        <w:spacing w:line="323" w:lineRule="exact"/>
        <w:ind w:firstLine="720"/>
        <w:jc w:val="both"/>
        <w:textAlignment w:val="baseline"/>
        <w:rPr>
          <w:rFonts w:ascii="Arial" w:hAnsi="Arial"/>
          <w:sz w:val="28"/>
        </w:rPr>
      </w:pPr>
      <w:r>
        <w:rPr>
          <w:rFonts w:ascii="Arial" w:hAnsi="Arial"/>
          <w:sz w:val="28"/>
        </w:rPr>
        <w:t>In determining whether the defendant was not otherwise disposed to commit the offense, you may consider that he/she has no criminal history. The fact that the defendant has no criminal history, however, does not require you to find that he/she was not predisposed to commit the crime. It is simply one of the factors that you may take into account in making that determination</w:t>
      </w:r>
      <w:r w:rsidR="00F42F3C">
        <w:rPr>
          <w:rFonts w:ascii="Arial" w:hAnsi="Arial"/>
          <w:sz w:val="28"/>
        </w:rPr>
        <w:t>.</w:t>
      </w:r>
      <w:r w:rsidR="00B61CF3">
        <w:rPr>
          <w:rFonts w:ascii="Arial" w:hAnsi="Arial"/>
          <w:sz w:val="28"/>
        </w:rPr>
        <w:t xml:space="preserve"> </w:t>
      </w:r>
      <w:r w:rsidR="00B61CF3">
        <w:rPr>
          <w:rStyle w:val="EndnoteReference"/>
          <w:rFonts w:ascii="Arial" w:hAnsi="Arial"/>
          <w:sz w:val="28"/>
        </w:rPr>
        <w:endnoteReference w:id="1"/>
      </w:r>
      <w:r w:rsidR="00027F45">
        <w:rPr>
          <w:rFonts w:ascii="Arial" w:hAnsi="Arial"/>
          <w:sz w:val="28"/>
        </w:rPr>
        <w:t>]</w:t>
      </w:r>
    </w:p>
    <w:p w14:paraId="21C9053F" w14:textId="77777777" w:rsidR="00173EFD" w:rsidRDefault="00173EFD">
      <w:pPr>
        <w:kinsoku w:val="0"/>
        <w:overflowPunct w:val="0"/>
        <w:autoSpaceDE/>
        <w:autoSpaceDN/>
        <w:adjustRightInd/>
        <w:spacing w:before="329" w:line="324" w:lineRule="exact"/>
        <w:ind w:firstLine="720"/>
        <w:jc w:val="both"/>
        <w:textAlignment w:val="baseline"/>
        <w:rPr>
          <w:rFonts w:ascii="Arial" w:hAnsi="Arial"/>
          <w:sz w:val="28"/>
        </w:rPr>
      </w:pPr>
      <w:r>
        <w:rPr>
          <w:rFonts w:ascii="Arial" w:hAnsi="Arial"/>
          <w:sz w:val="28"/>
        </w:rPr>
        <w:t>Under our law, the defendant has the burden of proving this affirmative defense by a preponderance of the evidence.</w:t>
      </w:r>
    </w:p>
    <w:p w14:paraId="7DC0DEB6" w14:textId="42FC3C5F" w:rsidR="009E58FB" w:rsidRPr="009E58FB" w:rsidRDefault="009E58FB" w:rsidP="009E58FB">
      <w:pPr>
        <w:kinsoku w:val="0"/>
        <w:overflowPunct w:val="0"/>
        <w:autoSpaceDE/>
        <w:autoSpaceDN/>
        <w:adjustRightInd/>
        <w:spacing w:before="322" w:line="324" w:lineRule="exact"/>
        <w:ind w:firstLine="720"/>
        <w:jc w:val="both"/>
        <w:textAlignment w:val="baseline"/>
        <w:rPr>
          <w:rFonts w:ascii="Arial" w:hAnsi="Arial"/>
          <w:sz w:val="28"/>
        </w:rPr>
      </w:pPr>
      <w:r w:rsidRPr="009E58FB">
        <w:rPr>
          <w:rFonts w:ascii="Arial" w:hAnsi="Arial"/>
          <w:sz w:val="28"/>
        </w:rPr>
        <w:t>In determining whether the defendant has proven the affirmative defense by a preponderance of the evidence, you may consider evidence introduced by the People or by the defendant.</w:t>
      </w:r>
    </w:p>
    <w:p w14:paraId="67E6ACBA" w14:textId="77777777" w:rsidR="00173EFD" w:rsidRDefault="00173EFD">
      <w:pPr>
        <w:kinsoku w:val="0"/>
        <w:overflowPunct w:val="0"/>
        <w:autoSpaceDE/>
        <w:autoSpaceDN/>
        <w:adjustRightInd/>
        <w:spacing w:before="326" w:line="324" w:lineRule="exact"/>
        <w:ind w:firstLine="720"/>
        <w:jc w:val="both"/>
        <w:textAlignment w:val="baseline"/>
        <w:rPr>
          <w:rFonts w:ascii="Arial" w:hAnsi="Arial"/>
          <w:sz w:val="28"/>
        </w:rPr>
      </w:pPr>
      <w:r>
        <w:rPr>
          <w:rFonts w:ascii="Arial" w:hAnsi="Arial"/>
          <w:sz w:val="28"/>
        </w:rPr>
        <w:t xml:space="preserve">A preponderance of the evidence means the greater part of the believable and reliable evidence, not in terms of the number of witnesses or the length of time taken to present the evidence, but in terms of its quality and the weight and the </w:t>
      </w:r>
      <w:r>
        <w:rPr>
          <w:rFonts w:ascii="Arial" w:hAnsi="Arial"/>
          <w:sz w:val="28"/>
        </w:rPr>
        <w:lastRenderedPageBreak/>
        <w:t>convincing effect it has. For the affirmative defense to be proved by a preponderance of the evidence, the evidence that supports the affirmative defense must be of such convincing quality as to outweigh any evidence to the contrary.</w:t>
      </w:r>
    </w:p>
    <w:p w14:paraId="3E7C609E" w14:textId="5240E163" w:rsidR="00173EFD" w:rsidRPr="00FF6D83" w:rsidRDefault="00173EFD" w:rsidP="00FF6D83">
      <w:pPr>
        <w:kinsoku w:val="0"/>
        <w:overflowPunct w:val="0"/>
        <w:autoSpaceDE/>
        <w:autoSpaceDN/>
        <w:adjustRightInd/>
        <w:spacing w:before="329" w:line="324" w:lineRule="exact"/>
        <w:ind w:firstLine="720"/>
        <w:jc w:val="both"/>
        <w:textAlignment w:val="baseline"/>
        <w:rPr>
          <w:rFonts w:ascii="Arial" w:hAnsi="Arial"/>
          <w:spacing w:val="-4"/>
          <w:sz w:val="28"/>
        </w:rPr>
      </w:pPr>
      <w:r>
        <w:rPr>
          <w:rFonts w:ascii="Arial" w:hAnsi="Arial"/>
          <w:spacing w:val="-4"/>
          <w:sz w:val="28"/>
        </w:rPr>
        <w:t xml:space="preserve">If you find that the defendant has not proven the affirmative defense by a preponderance of the evidence, then, based upon your initial determination that the People had proven beyond a reasonable doubt each of the elements of </w:t>
      </w:r>
      <w:r>
        <w:rPr>
          <w:rFonts w:ascii="Arial" w:hAnsi="Arial"/>
          <w:i/>
          <w:spacing w:val="-4"/>
          <w:sz w:val="28"/>
        </w:rPr>
        <w:t>(</w:t>
      </w:r>
      <w:r>
        <w:rPr>
          <w:rFonts w:ascii="Arial" w:hAnsi="Arial"/>
          <w:i/>
          <w:spacing w:val="-4"/>
          <w:sz w:val="28"/>
          <w:u w:val="single"/>
        </w:rPr>
        <w:t>specify</w:t>
      </w:r>
      <w:r>
        <w:rPr>
          <w:rFonts w:ascii="Arial" w:hAnsi="Arial"/>
          <w:i/>
          <w:spacing w:val="-4"/>
          <w:sz w:val="28"/>
        </w:rPr>
        <w:t>)</w:t>
      </w:r>
      <w:r>
        <w:rPr>
          <w:rFonts w:ascii="Arial" w:hAnsi="Arial"/>
          <w:spacing w:val="-4"/>
          <w:sz w:val="28"/>
        </w:rPr>
        <w:t>, you must find</w:t>
      </w:r>
      <w:r w:rsidR="00FF6D83">
        <w:rPr>
          <w:rFonts w:ascii="Arial" w:hAnsi="Arial"/>
          <w:spacing w:val="-4"/>
          <w:sz w:val="28"/>
        </w:rPr>
        <w:t xml:space="preserve"> </w:t>
      </w:r>
      <w:r>
        <w:rPr>
          <w:rFonts w:ascii="Arial" w:hAnsi="Arial"/>
          <w:sz w:val="28"/>
        </w:rPr>
        <w:t xml:space="preserve">the defendant guilty of </w:t>
      </w:r>
      <w:r>
        <w:rPr>
          <w:rFonts w:ascii="Arial" w:hAnsi="Arial"/>
          <w:i/>
          <w:sz w:val="28"/>
        </w:rPr>
        <w:t>(</w:t>
      </w:r>
      <w:r>
        <w:rPr>
          <w:rFonts w:ascii="Arial" w:hAnsi="Arial"/>
          <w:i/>
          <w:sz w:val="28"/>
          <w:u w:val="single"/>
        </w:rPr>
        <w:t>specify</w:t>
      </w:r>
      <w:r>
        <w:rPr>
          <w:rFonts w:ascii="Arial" w:hAnsi="Arial"/>
          <w:i/>
          <w:sz w:val="28"/>
        </w:rPr>
        <w:t>)</w:t>
      </w:r>
      <w:r>
        <w:rPr>
          <w:rFonts w:ascii="Arial" w:hAnsi="Arial"/>
          <w:sz w:val="28"/>
        </w:rPr>
        <w:t>.</w:t>
      </w:r>
    </w:p>
    <w:p w14:paraId="44935062" w14:textId="77777777" w:rsidR="00173EFD" w:rsidRDefault="00173EFD">
      <w:pPr>
        <w:kinsoku w:val="0"/>
        <w:overflowPunct w:val="0"/>
        <w:autoSpaceDE/>
        <w:autoSpaceDN/>
        <w:adjustRightInd/>
        <w:spacing w:before="329" w:line="324" w:lineRule="exact"/>
        <w:ind w:firstLine="720"/>
        <w:jc w:val="both"/>
        <w:textAlignment w:val="baseline"/>
        <w:rPr>
          <w:rFonts w:ascii="Arial" w:hAnsi="Arial"/>
          <w:sz w:val="28"/>
        </w:rPr>
      </w:pPr>
      <w:r>
        <w:rPr>
          <w:rFonts w:ascii="Arial" w:hAnsi="Arial"/>
          <w:sz w:val="28"/>
        </w:rPr>
        <w:t xml:space="preserve">If you find that the defendant has proven the affirmative defense by a preponderance of the evidence, then you must find the defendant not guilty of </w:t>
      </w:r>
      <w:r>
        <w:rPr>
          <w:rFonts w:ascii="Arial" w:hAnsi="Arial"/>
          <w:i/>
          <w:sz w:val="28"/>
        </w:rPr>
        <w:t>(</w:t>
      </w:r>
      <w:r>
        <w:rPr>
          <w:rFonts w:ascii="Arial" w:hAnsi="Arial"/>
          <w:i/>
          <w:sz w:val="28"/>
          <w:u w:val="single"/>
        </w:rPr>
        <w:t>specify</w:t>
      </w:r>
      <w:r>
        <w:rPr>
          <w:rFonts w:ascii="Arial" w:hAnsi="Arial"/>
          <w:i/>
          <w:sz w:val="28"/>
        </w:rPr>
        <w:t>)</w:t>
      </w:r>
      <w:r>
        <w:rPr>
          <w:rFonts w:ascii="Arial" w:hAnsi="Arial"/>
          <w:sz w:val="28"/>
        </w:rPr>
        <w:t>.</w:t>
      </w:r>
    </w:p>
    <w:p w14:paraId="6BA55C2F" w14:textId="77777777" w:rsidR="00B61CF3" w:rsidRPr="00BB1867" w:rsidRDefault="00B61CF3" w:rsidP="00CA0CA1">
      <w:pPr>
        <w:kinsoku w:val="0"/>
        <w:overflowPunct w:val="0"/>
        <w:autoSpaceDE/>
        <w:autoSpaceDN/>
        <w:adjustRightInd/>
        <w:spacing w:before="245" w:line="292" w:lineRule="exact"/>
        <w:jc w:val="both"/>
        <w:textAlignment w:val="baseline"/>
        <w:rPr>
          <w:rFonts w:ascii="Arial" w:hAnsi="Arial"/>
          <w:b/>
          <w:bCs/>
          <w:iCs/>
          <w:color w:val="00B050"/>
          <w:spacing w:val="11"/>
          <w:sz w:val="24"/>
        </w:rPr>
      </w:pPr>
    </w:p>
    <w:sectPr w:rsidR="00B61CF3" w:rsidRPr="00BB1867" w:rsidSect="00173EFD">
      <w:footerReference w:type="default" r:id="rId11"/>
      <w:footnotePr>
        <w:numStart w:val="5"/>
      </w:footnotePr>
      <w:endnotePr>
        <w:numFmt w:val="decimal"/>
        <w:numStart w:val="5"/>
      </w:endnotePr>
      <w:pgSz w:w="12240" w:h="15840"/>
      <w:pgMar w:top="1440" w:right="2131" w:bottom="1341" w:left="2161" w:header="720" w:footer="14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08C8F" w14:textId="77777777" w:rsidR="0066209A" w:rsidRDefault="0066209A" w:rsidP="00173EFD">
      <w:r>
        <w:separator/>
      </w:r>
    </w:p>
  </w:endnote>
  <w:endnote w:type="continuationSeparator" w:id="0">
    <w:p w14:paraId="567950A4" w14:textId="77777777" w:rsidR="0066209A" w:rsidRDefault="0066209A" w:rsidP="00173EFD">
      <w:r>
        <w:continuationSeparator/>
      </w:r>
    </w:p>
  </w:endnote>
  <w:endnote w:id="1">
    <w:p w14:paraId="0AA75A97" w14:textId="77777777" w:rsidR="00F42F3C" w:rsidRDefault="00F42F3C" w:rsidP="00B61CF3">
      <w:pPr>
        <w:pStyle w:val="EndnoteText"/>
        <w:jc w:val="both"/>
      </w:pPr>
    </w:p>
    <w:p w14:paraId="58CE56EA" w14:textId="71C1B655" w:rsidR="00F42F3C" w:rsidRPr="00F6641F" w:rsidRDefault="00F42F3C" w:rsidP="00F42F3C">
      <w:pPr>
        <w:pStyle w:val="EndnoteText"/>
        <w:jc w:val="both"/>
        <w:rPr>
          <w:rFonts w:ascii="Arial" w:hAnsi="Arial" w:cs="Arial"/>
          <w:sz w:val="24"/>
          <w:szCs w:val="24"/>
        </w:rPr>
      </w:pPr>
      <w:r w:rsidRPr="00F42F3C">
        <w:rPr>
          <w:rFonts w:ascii="Arial" w:hAnsi="Arial" w:cs="Arial"/>
          <w:sz w:val="24"/>
          <w:szCs w:val="24"/>
          <w:vertAlign w:val="superscript"/>
        </w:rPr>
        <w:t>1</w:t>
      </w:r>
      <w:r>
        <w:rPr>
          <w:rFonts w:ascii="Arial" w:hAnsi="Arial" w:cs="Arial"/>
          <w:sz w:val="24"/>
          <w:szCs w:val="24"/>
          <w:vertAlign w:val="superscript"/>
        </w:rPr>
        <w:t xml:space="preserve"> </w:t>
      </w:r>
      <w:r>
        <w:rPr>
          <w:rFonts w:ascii="Arial" w:hAnsi="Arial" w:cs="Arial"/>
          <w:b/>
          <w:bCs/>
          <w:color w:val="00B050"/>
          <w:sz w:val="24"/>
          <w:szCs w:val="24"/>
        </w:rPr>
        <w:t xml:space="preserve"> </w:t>
      </w:r>
      <w:r w:rsidRPr="00613D03">
        <w:rPr>
          <w:rFonts w:ascii="Arial" w:hAnsi="Arial" w:cs="Arial"/>
          <w:sz w:val="24"/>
          <w:szCs w:val="24"/>
        </w:rPr>
        <w:t>The 2020 revision was for the purpose of clarifying</w:t>
      </w:r>
      <w:r w:rsidR="003D09EE" w:rsidRPr="00613D03">
        <w:rPr>
          <w:rFonts w:ascii="Arial" w:hAnsi="Arial" w:cs="Arial"/>
          <w:sz w:val="24"/>
          <w:szCs w:val="24"/>
        </w:rPr>
        <w:t xml:space="preserve"> the requir</w:t>
      </w:r>
      <w:r w:rsidR="00F92753">
        <w:rPr>
          <w:rFonts w:ascii="Arial" w:hAnsi="Arial" w:cs="Arial"/>
          <w:sz w:val="24"/>
          <w:szCs w:val="24"/>
        </w:rPr>
        <w:t>e</w:t>
      </w:r>
      <w:r w:rsidR="003D09EE" w:rsidRPr="00613D03">
        <w:rPr>
          <w:rFonts w:ascii="Arial" w:hAnsi="Arial" w:cs="Arial"/>
          <w:sz w:val="24"/>
          <w:szCs w:val="24"/>
        </w:rPr>
        <w:t>ment</w:t>
      </w:r>
      <w:r w:rsidR="00080952" w:rsidRPr="00613D03">
        <w:rPr>
          <w:rFonts w:ascii="Arial" w:hAnsi="Arial" w:cs="Arial"/>
          <w:sz w:val="24"/>
          <w:szCs w:val="24"/>
        </w:rPr>
        <w:t xml:space="preserve"> </w:t>
      </w:r>
      <w:r w:rsidRPr="00613D03">
        <w:rPr>
          <w:rFonts w:ascii="Arial" w:hAnsi="Arial" w:cs="Arial"/>
          <w:sz w:val="24"/>
          <w:szCs w:val="24"/>
        </w:rPr>
        <w:t xml:space="preserve">that a defendant’s criminal conduct or criminal conviction should be of </w:t>
      </w:r>
      <w:r w:rsidR="003D09EE" w:rsidRPr="00613D03">
        <w:rPr>
          <w:rFonts w:ascii="Arial" w:hAnsi="Arial" w:cs="Arial"/>
          <w:sz w:val="24"/>
          <w:szCs w:val="24"/>
        </w:rPr>
        <w:t>the same</w:t>
      </w:r>
      <w:r w:rsidR="00080952" w:rsidRPr="00613D03">
        <w:rPr>
          <w:rFonts w:ascii="Arial" w:hAnsi="Arial" w:cs="Arial"/>
          <w:sz w:val="24"/>
          <w:szCs w:val="24"/>
        </w:rPr>
        <w:t xml:space="preserve"> </w:t>
      </w:r>
      <w:r w:rsidRPr="00613D03">
        <w:rPr>
          <w:rFonts w:ascii="Arial" w:hAnsi="Arial" w:cs="Arial"/>
          <w:sz w:val="24"/>
          <w:szCs w:val="24"/>
        </w:rPr>
        <w:t xml:space="preserve">nature of the crime(s) he/she is being tried for. </w:t>
      </w:r>
      <w:r w:rsidRPr="00613D03">
        <w:rPr>
          <w:rFonts w:ascii="Arial" w:hAnsi="Arial" w:cs="Arial"/>
          <w:i/>
          <w:iCs/>
          <w:sz w:val="24"/>
          <w:szCs w:val="24"/>
        </w:rPr>
        <w:t>See</w:t>
      </w:r>
      <w:r w:rsidRPr="00613D03">
        <w:rPr>
          <w:rFonts w:ascii="Arial" w:hAnsi="Arial" w:cs="Arial"/>
          <w:sz w:val="24"/>
          <w:szCs w:val="24"/>
        </w:rPr>
        <w:t xml:space="preserve"> footnote </w:t>
      </w:r>
      <w:r w:rsidR="00CE0C79">
        <w:rPr>
          <w:rFonts w:ascii="Arial" w:hAnsi="Arial" w:cs="Arial"/>
          <w:sz w:val="24"/>
          <w:szCs w:val="24"/>
        </w:rPr>
        <w:t>three.</w:t>
      </w:r>
    </w:p>
    <w:p w14:paraId="7EE9343B" w14:textId="77777777" w:rsidR="00F42F3C" w:rsidRDefault="00F42F3C" w:rsidP="00F42F3C">
      <w:pPr>
        <w:widowControl/>
        <w:rPr>
          <w:sz w:val="24"/>
        </w:rPr>
      </w:pPr>
    </w:p>
    <w:p w14:paraId="5385CAD8" w14:textId="77777777" w:rsidR="00F42F3C" w:rsidRPr="001752D3" w:rsidRDefault="00F42F3C" w:rsidP="00F42F3C">
      <w:pPr>
        <w:kinsoku w:val="0"/>
        <w:overflowPunct w:val="0"/>
        <w:autoSpaceDE/>
        <w:autoSpaceDN/>
        <w:adjustRightInd/>
        <w:spacing w:before="12" w:line="292" w:lineRule="exact"/>
        <w:textAlignment w:val="baseline"/>
        <w:rPr>
          <w:rFonts w:ascii="Arial" w:hAnsi="Arial"/>
          <w:spacing w:val="-1"/>
          <w:sz w:val="24"/>
        </w:rPr>
      </w:pPr>
      <w:r w:rsidRPr="001752D3">
        <w:rPr>
          <w:rFonts w:ascii="Arial" w:hAnsi="Arial"/>
          <w:spacing w:val="-1"/>
          <w:sz w:val="24"/>
        </w:rPr>
        <w:t>2. Penal Law § 40.05</w:t>
      </w:r>
    </w:p>
    <w:p w14:paraId="0C9FCC3D" w14:textId="1F434B15" w:rsidR="00F42F3C" w:rsidRDefault="00F42F3C" w:rsidP="00F42F3C">
      <w:pPr>
        <w:kinsoku w:val="0"/>
        <w:overflowPunct w:val="0"/>
        <w:autoSpaceDE/>
        <w:autoSpaceDN/>
        <w:adjustRightInd/>
        <w:spacing w:before="245" w:line="292" w:lineRule="exact"/>
        <w:jc w:val="both"/>
        <w:textAlignment w:val="baseline"/>
        <w:rPr>
          <w:rFonts w:ascii="Arial" w:hAnsi="Arial"/>
          <w:iCs/>
          <w:sz w:val="24"/>
        </w:rPr>
      </w:pPr>
      <w:r w:rsidRPr="00C2677E">
        <w:rPr>
          <w:rFonts w:ascii="Arial" w:hAnsi="Arial"/>
          <w:iCs/>
          <w:sz w:val="24"/>
        </w:rPr>
        <w:t>3</w:t>
      </w:r>
      <w:r w:rsidRPr="00BB1867">
        <w:rPr>
          <w:rFonts w:ascii="Arial" w:hAnsi="Arial"/>
          <w:i/>
          <w:color w:val="00B050"/>
          <w:sz w:val="24"/>
        </w:rPr>
        <w:t xml:space="preserve">. </w:t>
      </w:r>
      <w:r w:rsidRPr="001752D3">
        <w:rPr>
          <w:rFonts w:ascii="Arial" w:hAnsi="Arial"/>
          <w:i/>
          <w:sz w:val="24"/>
        </w:rPr>
        <w:t>See People v. Calvano,</w:t>
      </w:r>
      <w:r w:rsidRPr="001752D3">
        <w:rPr>
          <w:rFonts w:ascii="Arial" w:hAnsi="Arial"/>
          <w:iCs/>
          <w:sz w:val="24"/>
        </w:rPr>
        <w:t xml:space="preserve"> 30 N.Y.2d 199, 205 (1972) (“if prior criminal acts of the same nature may properly be proved to rebut the defense that defendant was ‘coerced’ into the transgression, like proof may properly be received in refutation of a claim [of entrapment] that he was ‘induced or encouraged’ to transgress”); </w:t>
      </w:r>
      <w:r w:rsidRPr="001752D3">
        <w:rPr>
          <w:rFonts w:ascii="Arial" w:hAnsi="Arial"/>
          <w:i/>
          <w:sz w:val="24"/>
        </w:rPr>
        <w:t>People v. Santarelli,</w:t>
      </w:r>
      <w:r w:rsidRPr="001752D3">
        <w:rPr>
          <w:rFonts w:ascii="Arial" w:hAnsi="Arial"/>
          <w:iCs/>
          <w:sz w:val="24"/>
        </w:rPr>
        <w:t xml:space="preserve"> 49 N.Y.2d 241, 248 (1980) (“in asserting this defense [of entrapment], the accused necessarily places his predisposition to commit the crime in issue (see Penal Law, s 40.05) and thereby ‘opens the door’ for the People to introduce evidence of similar uncharged acts”); </w:t>
      </w:r>
      <w:r w:rsidRPr="001752D3">
        <w:rPr>
          <w:rFonts w:ascii="Arial" w:hAnsi="Arial"/>
          <w:i/>
          <w:sz w:val="24"/>
        </w:rPr>
        <w:t>People v. Harrison</w:t>
      </w:r>
      <w:r w:rsidRPr="001752D3">
        <w:rPr>
          <w:rFonts w:ascii="Arial" w:hAnsi="Arial"/>
          <w:iCs/>
          <w:sz w:val="24"/>
        </w:rPr>
        <w:t>, 208 A.D.2d 648, 648 (2d Dept. 1994) (“When the People are forced to refute a claim of entrapment, evidence of similar uncharged crimes becomes relevant to prove that the defendant was, in fact, predisposed to commit the crime charged”).</w:t>
      </w:r>
    </w:p>
    <w:p w14:paraId="73A41CAC" w14:textId="77777777" w:rsidR="00BB2F52" w:rsidRPr="00CE0AE2" w:rsidRDefault="00BB2F52" w:rsidP="00F42F3C">
      <w:pPr>
        <w:kinsoku w:val="0"/>
        <w:overflowPunct w:val="0"/>
        <w:autoSpaceDE/>
        <w:autoSpaceDN/>
        <w:adjustRightInd/>
        <w:spacing w:before="245" w:line="292" w:lineRule="exact"/>
        <w:jc w:val="both"/>
        <w:textAlignment w:val="baseline"/>
        <w:rPr>
          <w:rFonts w:ascii="Arial" w:hAnsi="Arial"/>
          <w:iCs/>
          <w:sz w:val="24"/>
        </w:rPr>
      </w:pPr>
    </w:p>
    <w:p w14:paraId="1C234D69" w14:textId="3572BAF1" w:rsidR="00584CCC" w:rsidRPr="001752D3" w:rsidRDefault="00F42F3C" w:rsidP="00F42F3C">
      <w:pPr>
        <w:pStyle w:val="EndnoteText"/>
        <w:jc w:val="both"/>
        <w:rPr>
          <w:rFonts w:ascii="Arial" w:hAnsi="Arial" w:cs="Arial"/>
          <w:b/>
          <w:bCs/>
          <w:iCs/>
          <w:color w:val="00B050"/>
          <w:spacing w:val="11"/>
          <w:sz w:val="24"/>
          <w:szCs w:val="24"/>
        </w:rPr>
      </w:pPr>
      <w:r w:rsidRPr="00C2677E">
        <w:rPr>
          <w:rFonts w:ascii="Arial" w:hAnsi="Arial"/>
          <w:iCs/>
          <w:spacing w:val="11"/>
          <w:sz w:val="24"/>
        </w:rPr>
        <w:t>4</w:t>
      </w:r>
      <w:r>
        <w:rPr>
          <w:rFonts w:ascii="Arial" w:hAnsi="Arial"/>
          <w:i/>
          <w:spacing w:val="11"/>
          <w:sz w:val="24"/>
        </w:rPr>
        <w:t xml:space="preserve">. </w:t>
      </w:r>
      <w:r w:rsidR="00BB2F52" w:rsidRPr="00BB2F52">
        <w:rPr>
          <w:rFonts w:ascii="Arial" w:hAnsi="Arial" w:cs="Arial"/>
          <w:i/>
          <w:spacing w:val="11"/>
          <w:sz w:val="24"/>
          <w:szCs w:val="24"/>
        </w:rPr>
        <w:t>People v. Thomas</w:t>
      </w:r>
      <w:r w:rsidR="00BB2F52">
        <w:rPr>
          <w:rFonts w:ascii="Arial" w:hAnsi="Arial" w:cs="Arial"/>
          <w:iCs/>
          <w:spacing w:val="11"/>
          <w:sz w:val="24"/>
          <w:szCs w:val="24"/>
        </w:rPr>
        <w:t>, 175 A.D.2d 717 (1</w:t>
      </w:r>
      <w:r w:rsidR="00BB2F52" w:rsidRPr="00BB2F52">
        <w:rPr>
          <w:rFonts w:ascii="Arial" w:hAnsi="Arial" w:cs="Arial"/>
          <w:iCs/>
          <w:spacing w:val="11"/>
          <w:sz w:val="24"/>
          <w:szCs w:val="24"/>
          <w:vertAlign w:val="superscript"/>
        </w:rPr>
        <w:t>st</w:t>
      </w:r>
      <w:r w:rsidR="00BB2F52">
        <w:rPr>
          <w:rFonts w:ascii="Arial" w:hAnsi="Arial" w:cs="Arial"/>
          <w:iCs/>
          <w:spacing w:val="11"/>
          <w:sz w:val="24"/>
          <w:szCs w:val="24"/>
        </w:rPr>
        <w:t xml:space="preserve"> Dept 1991) </w:t>
      </w:r>
      <w:r w:rsidRPr="001752D3">
        <w:rPr>
          <w:rFonts w:ascii="Arial" w:hAnsi="Arial" w:cs="Arial"/>
          <w:iCs/>
          <w:spacing w:val="11"/>
          <w:sz w:val="24"/>
          <w:szCs w:val="24"/>
        </w:rPr>
        <w:t xml:space="preserve">(“The assertion that the defense was available only to persons who were ‘not criminals’ was error”); </w:t>
      </w:r>
      <w:r w:rsidRPr="001752D3">
        <w:rPr>
          <w:rFonts w:ascii="Arial" w:hAnsi="Arial" w:cs="Arial"/>
          <w:i/>
          <w:spacing w:val="11"/>
          <w:sz w:val="24"/>
          <w:szCs w:val="24"/>
        </w:rPr>
        <w:t>People v Byrd</w:t>
      </w:r>
      <w:r w:rsidRPr="001752D3">
        <w:rPr>
          <w:rFonts w:ascii="Arial" w:hAnsi="Arial" w:cs="Arial"/>
          <w:iCs/>
          <w:spacing w:val="11"/>
          <w:sz w:val="24"/>
          <w:szCs w:val="24"/>
        </w:rPr>
        <w:t>, 155 A.D.2d 350 (1st Dept</w:t>
      </w:r>
      <w:r w:rsidR="00D762BA">
        <w:rPr>
          <w:rFonts w:ascii="Arial" w:hAnsi="Arial" w:cs="Arial"/>
          <w:iCs/>
          <w:spacing w:val="11"/>
          <w:sz w:val="24"/>
          <w:szCs w:val="24"/>
        </w:rPr>
        <w:t xml:space="preserve"> </w:t>
      </w:r>
      <w:r w:rsidRPr="001752D3">
        <w:rPr>
          <w:rFonts w:ascii="Arial" w:hAnsi="Arial" w:cs="Arial"/>
          <w:iCs/>
          <w:spacing w:val="11"/>
          <w:sz w:val="24"/>
          <w:szCs w:val="24"/>
        </w:rPr>
        <w:t>1989) (</w:t>
      </w:r>
      <w:r w:rsidR="001B1FD5" w:rsidRPr="001752D3">
        <w:rPr>
          <w:rFonts w:ascii="Arial" w:hAnsi="Arial" w:cs="Arial"/>
          <w:iCs/>
          <w:spacing w:val="11"/>
          <w:sz w:val="24"/>
          <w:szCs w:val="24"/>
        </w:rPr>
        <w:t>error to give a charge that leaves the jury “with the impression that the entrapment defense was only available</w:t>
      </w:r>
      <w:r w:rsidR="001B1FD5" w:rsidRPr="001752D3">
        <w:rPr>
          <w:rFonts w:ascii="Arial" w:hAnsi="Arial" w:cs="Arial"/>
          <w:b/>
          <w:bCs/>
          <w:iCs/>
          <w:spacing w:val="11"/>
          <w:sz w:val="24"/>
          <w:szCs w:val="24"/>
        </w:rPr>
        <w:t xml:space="preserve"> </w:t>
      </w:r>
      <w:r w:rsidR="001B1FD5" w:rsidRPr="00D762BA">
        <w:rPr>
          <w:rFonts w:ascii="Arial" w:hAnsi="Arial" w:cs="Arial"/>
          <w:iCs/>
          <w:spacing w:val="11"/>
          <w:sz w:val="24"/>
          <w:szCs w:val="24"/>
        </w:rPr>
        <w:t>to ‘non-criminals’.”)</w:t>
      </w:r>
    </w:p>
    <w:p w14:paraId="44B8218F" w14:textId="77777777" w:rsidR="00F42F3C" w:rsidRDefault="00F42F3C" w:rsidP="00B61CF3">
      <w:pPr>
        <w:pStyle w:val="EndnoteText"/>
        <w:jc w:val="both"/>
      </w:pPr>
    </w:p>
    <w:p w14:paraId="459355F4" w14:textId="7867E48E" w:rsidR="00B61CF3" w:rsidRPr="00B61CF3" w:rsidRDefault="00B61CF3" w:rsidP="00B61CF3">
      <w:pPr>
        <w:pStyle w:val="EndnoteText"/>
        <w:jc w:val="both"/>
      </w:pPr>
      <w:r>
        <w:rPr>
          <w:rStyle w:val="EndnoteReference"/>
        </w:rPr>
        <w:endnoteRef/>
      </w:r>
      <w:r>
        <w:t xml:space="preserve"> </w:t>
      </w:r>
      <w:bookmarkStart w:id="1" w:name="_Hlk30788653"/>
      <w:r w:rsidRPr="00D762BA">
        <w:rPr>
          <w:rFonts w:ascii="Arial" w:hAnsi="Arial" w:cs="Arial"/>
          <w:i/>
          <w:iCs/>
          <w:sz w:val="24"/>
          <w:szCs w:val="24"/>
        </w:rPr>
        <w:t>See</w:t>
      </w:r>
      <w:r w:rsidRPr="00D762BA">
        <w:rPr>
          <w:rFonts w:ascii="Arial" w:hAnsi="Arial" w:cs="Arial"/>
          <w:sz w:val="24"/>
          <w:szCs w:val="24"/>
        </w:rPr>
        <w:t xml:space="preserve"> </w:t>
      </w:r>
      <w:r w:rsidRPr="00D762BA">
        <w:rPr>
          <w:rFonts w:ascii="Arial" w:hAnsi="Arial" w:cs="Arial"/>
          <w:i/>
          <w:iCs/>
          <w:sz w:val="24"/>
          <w:szCs w:val="24"/>
        </w:rPr>
        <w:t>People v Sundholm</w:t>
      </w:r>
      <w:r w:rsidRPr="00D762BA">
        <w:rPr>
          <w:rFonts w:ascii="Arial" w:hAnsi="Arial" w:cs="Arial"/>
          <w:sz w:val="24"/>
          <w:szCs w:val="24"/>
        </w:rPr>
        <w:t xml:space="preserve">, 58 AD2d 224, 228, 396 NYS2d 529, 532 (4th Dept 1977) (“The evidence that defendant refused to sell the drug despite repeated and persistent requests for nearly three months, </w:t>
      </w:r>
      <w:r w:rsidRPr="00D762BA">
        <w:rPr>
          <w:rFonts w:ascii="Arial" w:hAnsi="Arial" w:cs="Arial"/>
          <w:sz w:val="24"/>
          <w:szCs w:val="24"/>
          <w:u w:val="single"/>
        </w:rPr>
        <w:t>that defendant had never before sold or dealt in drugs</w:t>
      </w:r>
      <w:r w:rsidRPr="00D762BA">
        <w:rPr>
          <w:rFonts w:ascii="Arial" w:hAnsi="Arial" w:cs="Arial"/>
          <w:sz w:val="24"/>
          <w:szCs w:val="24"/>
        </w:rPr>
        <w:t>, and that he only made this sale to get rid both of Park and the drug which had been abandoned in his room, could lead a jury to conclude that he was “(a person not) otherwise disposed to commit” the crime charged and had been entrapped by the police” (emphasis added).</w:t>
      </w:r>
      <w:bookmarkEnd w:id="1"/>
    </w:p>
    <w:p w14:paraId="405548EF" w14:textId="2C78B547" w:rsidR="00B61CF3" w:rsidRPr="00B61CF3" w:rsidRDefault="00B61CF3" w:rsidP="00B61CF3">
      <w:pPr>
        <w:pStyle w:val="EndnoteText"/>
      </w:pPr>
    </w:p>
    <w:p w14:paraId="7B379BE9" w14:textId="22DBC3C1" w:rsidR="00B61CF3" w:rsidRDefault="00B61CF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1B9C9" w14:textId="77777777" w:rsidR="00173EFD" w:rsidRDefault="00173EFD">
    <w:pPr>
      <w:keepNext/>
      <w:keepLines/>
      <w:tabs>
        <w:tab w:val="left" w:pos="3823"/>
      </w:tabs>
      <w:kinsoku w:val="0"/>
      <w:overflowPunct w:val="0"/>
      <w:autoSpaceDE/>
      <w:autoSpaceDN/>
      <w:adjustRightInd/>
      <w:spacing w:line="286" w:lineRule="exact"/>
      <w:textAlignment w:val="baseline"/>
      <w:rPr>
        <w:rFonts w:ascii="Arial" w:hAnsi="Arial"/>
        <w:sz w:val="26"/>
      </w:rPr>
    </w:pPr>
    <w:r>
      <w:rPr>
        <w:sz w:val="24"/>
      </w:rPr>
      <w:tab/>
    </w:r>
    <w:r>
      <w:rPr>
        <w:rFonts w:ascii="Arial" w:hAnsi="Arial"/>
        <w:sz w:val="26"/>
      </w:rPr>
      <w:fldChar w:fldCharType="begin"/>
    </w:r>
    <w:r>
      <w:rPr>
        <w:rFonts w:ascii="Arial" w:hAnsi="Arial"/>
        <w:sz w:val="26"/>
      </w:rPr>
      <w:instrText xml:space="preserve"> PAGE </w:instrText>
    </w:r>
    <w:r>
      <w:rPr>
        <w:rFonts w:ascii="Arial" w:hAnsi="Arial"/>
        <w:sz w:val="26"/>
      </w:rPr>
      <w:fldChar w:fldCharType="separate"/>
    </w:r>
    <w:r>
      <w:rPr>
        <w:rFonts w:ascii="Arial" w:hAnsi="Arial"/>
        <w:sz w:val="26"/>
      </w:rPr>
      <w:t>4</w:t>
    </w:r>
    <w:r>
      <w:rPr>
        <w:rFonts w:ascii="Arial" w:hAnsi="Arial"/>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204C6" w14:textId="77777777" w:rsidR="0066209A" w:rsidRDefault="0066209A" w:rsidP="00173EFD">
      <w:r>
        <w:separator/>
      </w:r>
    </w:p>
  </w:footnote>
  <w:footnote w:type="continuationSeparator" w:id="0">
    <w:p w14:paraId="1D86C711" w14:textId="77777777" w:rsidR="0066209A" w:rsidRDefault="0066209A" w:rsidP="00173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2281"/>
    <w:multiLevelType w:val="singleLevel"/>
    <w:tmpl w:val="7FA91A5D"/>
    <w:lvl w:ilvl="0">
      <w:start w:val="1"/>
      <w:numFmt w:val="decimal"/>
      <w:lvlText w:val="(%1)"/>
      <w:lvlJc w:val="left"/>
      <w:pPr>
        <w:tabs>
          <w:tab w:val="num" w:pos="1872"/>
        </w:tabs>
        <w:ind w:left="720" w:firstLine="720"/>
      </w:pPr>
      <w:rPr>
        <w:rFonts w:ascii="Arial" w:hAnsi="Arial"/>
        <w:snapToGrid/>
        <w:spacing w:val="-4"/>
        <w:sz w:val="28"/>
      </w:rPr>
    </w:lvl>
  </w:abstractNum>
  <w:abstractNum w:abstractNumId="1" w15:restartNumberingAfterBreak="0">
    <w:nsid w:val="0729CF86"/>
    <w:multiLevelType w:val="singleLevel"/>
    <w:tmpl w:val="14A3A62F"/>
    <w:lvl w:ilvl="0">
      <w:start w:val="1"/>
      <w:numFmt w:val="decimal"/>
      <w:lvlText w:val="%1."/>
      <w:lvlJc w:val="left"/>
      <w:pPr>
        <w:tabs>
          <w:tab w:val="num" w:pos="288"/>
        </w:tabs>
      </w:pPr>
      <w:rPr>
        <w:rFonts w:ascii="Arial" w:hAnsi="Arial"/>
        <w:snapToGrid/>
        <w:spacing w:val="-1"/>
        <w:sz w:val="26"/>
      </w:rPr>
    </w:lvl>
  </w:abstractNum>
  <w:num w:numId="1">
    <w:abstractNumId w:val="0"/>
  </w:num>
  <w:num w:numId="2">
    <w:abstractNumId w:val="1"/>
  </w:num>
  <w:num w:numId="3">
    <w:abstractNumId w:val="1"/>
    <w:lvlOverride w:ilvl="0">
      <w:lvl w:ilvl="0">
        <w:numFmt w:val="decimal"/>
        <w:lvlText w:val="%1."/>
        <w:lvlJc w:val="left"/>
        <w:pPr>
          <w:tabs>
            <w:tab w:val="num" w:pos="288"/>
          </w:tabs>
        </w:pPr>
        <w:rPr>
          <w:rFonts w:ascii="Arial" w:hAnsi="Arial"/>
          <w:i/>
          <w:snapToGrid/>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numStart w:val="5"/>
    <w:footnote w:id="-1"/>
    <w:footnote w:id="0"/>
  </w:footnotePr>
  <w:endnotePr>
    <w:numFmt w:val="decimal"/>
    <w:numStart w:val="5"/>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FD"/>
    <w:rsid w:val="00027F45"/>
    <w:rsid w:val="00080952"/>
    <w:rsid w:val="0009641E"/>
    <w:rsid w:val="0009699A"/>
    <w:rsid w:val="000A5575"/>
    <w:rsid w:val="00137774"/>
    <w:rsid w:val="00146BC9"/>
    <w:rsid w:val="00154A6F"/>
    <w:rsid w:val="00173EFD"/>
    <w:rsid w:val="001752D3"/>
    <w:rsid w:val="001B1FD5"/>
    <w:rsid w:val="00222A0D"/>
    <w:rsid w:val="00251159"/>
    <w:rsid w:val="00280646"/>
    <w:rsid w:val="002D4971"/>
    <w:rsid w:val="002D7219"/>
    <w:rsid w:val="003120FE"/>
    <w:rsid w:val="00344A91"/>
    <w:rsid w:val="003458C2"/>
    <w:rsid w:val="003459E1"/>
    <w:rsid w:val="00386E8E"/>
    <w:rsid w:val="003C48A7"/>
    <w:rsid w:val="003D09EE"/>
    <w:rsid w:val="003E4EB8"/>
    <w:rsid w:val="00407EC8"/>
    <w:rsid w:val="00411B5A"/>
    <w:rsid w:val="00415C7D"/>
    <w:rsid w:val="0043438F"/>
    <w:rsid w:val="00443B8A"/>
    <w:rsid w:val="0046661E"/>
    <w:rsid w:val="004A1ADC"/>
    <w:rsid w:val="00522D7C"/>
    <w:rsid w:val="00553935"/>
    <w:rsid w:val="00584CCC"/>
    <w:rsid w:val="00585921"/>
    <w:rsid w:val="005D6480"/>
    <w:rsid w:val="005E2CDF"/>
    <w:rsid w:val="005E4DB8"/>
    <w:rsid w:val="00602FD3"/>
    <w:rsid w:val="00613D03"/>
    <w:rsid w:val="0062468A"/>
    <w:rsid w:val="0066209A"/>
    <w:rsid w:val="00663EE1"/>
    <w:rsid w:val="00674089"/>
    <w:rsid w:val="00680799"/>
    <w:rsid w:val="00686618"/>
    <w:rsid w:val="006D6892"/>
    <w:rsid w:val="006E045E"/>
    <w:rsid w:val="006F77DE"/>
    <w:rsid w:val="00715342"/>
    <w:rsid w:val="0079723B"/>
    <w:rsid w:val="00804096"/>
    <w:rsid w:val="008130ED"/>
    <w:rsid w:val="00826FB0"/>
    <w:rsid w:val="00847DE9"/>
    <w:rsid w:val="0089245F"/>
    <w:rsid w:val="00895F6D"/>
    <w:rsid w:val="008A2F38"/>
    <w:rsid w:val="008B2B21"/>
    <w:rsid w:val="00907C29"/>
    <w:rsid w:val="00985357"/>
    <w:rsid w:val="009A378D"/>
    <w:rsid w:val="009B0580"/>
    <w:rsid w:val="009E58FB"/>
    <w:rsid w:val="009E5A8F"/>
    <w:rsid w:val="00A064A5"/>
    <w:rsid w:val="00A23121"/>
    <w:rsid w:val="00A43A5D"/>
    <w:rsid w:val="00B243BD"/>
    <w:rsid w:val="00B2664D"/>
    <w:rsid w:val="00B61CF3"/>
    <w:rsid w:val="00B63264"/>
    <w:rsid w:val="00B646CA"/>
    <w:rsid w:val="00BB1867"/>
    <w:rsid w:val="00BB2F52"/>
    <w:rsid w:val="00BD394D"/>
    <w:rsid w:val="00BD7643"/>
    <w:rsid w:val="00C1495E"/>
    <w:rsid w:val="00C2677E"/>
    <w:rsid w:val="00C42818"/>
    <w:rsid w:val="00C51E31"/>
    <w:rsid w:val="00CA0CA1"/>
    <w:rsid w:val="00CC0C17"/>
    <w:rsid w:val="00CE0AE2"/>
    <w:rsid w:val="00CE0C79"/>
    <w:rsid w:val="00CF507F"/>
    <w:rsid w:val="00D32D44"/>
    <w:rsid w:val="00D651B2"/>
    <w:rsid w:val="00D762BA"/>
    <w:rsid w:val="00DE62B7"/>
    <w:rsid w:val="00E8440F"/>
    <w:rsid w:val="00EB6CAA"/>
    <w:rsid w:val="00F42F3C"/>
    <w:rsid w:val="00F6641F"/>
    <w:rsid w:val="00F92753"/>
    <w:rsid w:val="00F949CF"/>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1411B"/>
  <w14:defaultImageDpi w14:val="0"/>
  <w15:docId w15:val="{CC2B2D35-EA77-4A48-851C-18BBCA7C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120FE"/>
    <w:rPr>
      <w:szCs w:val="20"/>
    </w:rPr>
  </w:style>
  <w:style w:type="character" w:customStyle="1" w:styleId="EndnoteTextChar">
    <w:name w:val="Endnote Text Char"/>
    <w:basedOn w:val="DefaultParagraphFont"/>
    <w:link w:val="EndnoteText"/>
    <w:uiPriority w:val="99"/>
    <w:semiHidden/>
    <w:rsid w:val="003120F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3120FE"/>
    <w:rPr>
      <w:vertAlign w:val="superscript"/>
    </w:rPr>
  </w:style>
  <w:style w:type="paragraph" w:styleId="FootnoteText">
    <w:name w:val="footnote text"/>
    <w:basedOn w:val="Normal"/>
    <w:link w:val="FootnoteTextChar"/>
    <w:uiPriority w:val="99"/>
    <w:semiHidden/>
    <w:unhideWhenUsed/>
    <w:rsid w:val="00B61CF3"/>
    <w:rPr>
      <w:szCs w:val="20"/>
    </w:rPr>
  </w:style>
  <w:style w:type="character" w:customStyle="1" w:styleId="FootnoteTextChar">
    <w:name w:val="Footnote Text Char"/>
    <w:basedOn w:val="DefaultParagraphFont"/>
    <w:link w:val="FootnoteText"/>
    <w:uiPriority w:val="99"/>
    <w:semiHidden/>
    <w:rsid w:val="00B61CF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61C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608569">
      <w:bodyDiv w:val="1"/>
      <w:marLeft w:val="0"/>
      <w:marRight w:val="0"/>
      <w:marTop w:val="0"/>
      <w:marBottom w:val="0"/>
      <w:divBdr>
        <w:top w:val="none" w:sz="0" w:space="0" w:color="auto"/>
        <w:left w:val="none" w:sz="0" w:space="0" w:color="auto"/>
        <w:bottom w:val="none" w:sz="0" w:space="0" w:color="auto"/>
        <w:right w:val="none" w:sz="0" w:space="0" w:color="auto"/>
      </w:divBdr>
      <w:divsChild>
        <w:div w:id="311837515">
          <w:marLeft w:val="0"/>
          <w:marRight w:val="0"/>
          <w:marTop w:val="0"/>
          <w:marBottom w:val="0"/>
          <w:divBdr>
            <w:top w:val="none" w:sz="0" w:space="0" w:color="auto"/>
            <w:left w:val="none" w:sz="0" w:space="0" w:color="auto"/>
            <w:bottom w:val="none" w:sz="0" w:space="0" w:color="auto"/>
            <w:right w:val="none" w:sz="0" w:space="0" w:color="auto"/>
          </w:divBdr>
          <w:divsChild>
            <w:div w:id="231280284">
              <w:marLeft w:val="0"/>
              <w:marRight w:val="0"/>
              <w:marTop w:val="0"/>
              <w:marBottom w:val="0"/>
              <w:divBdr>
                <w:top w:val="none" w:sz="0" w:space="0" w:color="auto"/>
                <w:left w:val="none" w:sz="0" w:space="0" w:color="auto"/>
                <w:bottom w:val="none" w:sz="0" w:space="0" w:color="auto"/>
                <w:right w:val="none" w:sz="0" w:space="0" w:color="auto"/>
              </w:divBdr>
              <w:divsChild>
                <w:div w:id="11092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A5A5F115699347A7F2FB1ED10FCB3E" ma:contentTypeVersion="13" ma:contentTypeDescription="Create a new document." ma:contentTypeScope="" ma:versionID="2019413a6a3c310de5bda00d874950cb">
  <xsd:schema xmlns:xsd="http://www.w3.org/2001/XMLSchema" xmlns:xs="http://www.w3.org/2001/XMLSchema" xmlns:p="http://schemas.microsoft.com/office/2006/metadata/properties" xmlns:ns1="http://schemas.microsoft.com/sharepoint/v3" xmlns:ns3="570a3d8e-1289-4d00-9824-ef7ac9331d49" xmlns:ns4="870f8da0-fdc9-4553-8141-551a46ee38df" targetNamespace="http://schemas.microsoft.com/office/2006/metadata/properties" ma:root="true" ma:fieldsID="4ad08b902307645f3ca985891f50f963" ns1:_="" ns3:_="" ns4:_="">
    <xsd:import namespace="http://schemas.microsoft.com/sharepoint/v3"/>
    <xsd:import namespace="570a3d8e-1289-4d00-9824-ef7ac9331d49"/>
    <xsd:import namespace="870f8da0-fdc9-4553-8141-551a46ee38d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a3d8e-1289-4d00-9824-ef7ac9331d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f8da0-fdc9-4553-8141-551a46ee38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5C170-2692-4EB2-A0EA-85E8D43010C0}">
  <ds:schemaRefs>
    <ds:schemaRef ds:uri="http://schemas.microsoft.com/sharepoint/v3/contenttype/forms"/>
  </ds:schemaRefs>
</ds:datastoreItem>
</file>

<file path=customXml/itemProps2.xml><?xml version="1.0" encoding="utf-8"?>
<ds:datastoreItem xmlns:ds="http://schemas.openxmlformats.org/officeDocument/2006/customXml" ds:itemID="{D8F3D87B-F3E6-4781-9308-38D31B04C39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A58148-9D6A-4EF2-9BDB-8B3F75E5D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0a3d8e-1289-4d00-9824-ef7ac9331d49"/>
    <ds:schemaRef ds:uri="870f8da0-fdc9-4553-8141-551a46ee3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F2555-68CB-445B-8EF5-D87988A4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Hon. William Donnino</cp:lastModifiedBy>
  <cp:revision>2</cp:revision>
  <dcterms:created xsi:type="dcterms:W3CDTF">2020-06-18T19:50:00Z</dcterms:created>
  <dcterms:modified xsi:type="dcterms:W3CDTF">2020-06-18T19:50:00Z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0x0101009DA5A5F115699347A7F2FB1ED10FCB3E</vt:lpwstr>
  </property>
</Properties>
</file>