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45"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ASSAULT</w:t>
        <w:br/>
      </w:r>
      <w:r>
        <w:rPr>
          <w:rFonts w:ascii="Arial" w:hAnsi="Arial" w:eastAsia="Arial"/>
          <w:b w:val="true"/>
          <w:color w:val="000000"/>
          <w:spacing w:val="0"/>
          <w:w w:val="100"/>
          <w:sz w:val="28"/>
          <w:vertAlign w:val="baseline"/>
          <w:lang w:val="en-US"/>
        </w:rPr>
        <w:t xml:space="preserve">(Serious Physical Injury of Two or More)</w:t>
        <w:br/>
      </w:r>
      <w:r>
        <w:rPr>
          <w:rFonts w:ascii="Arial" w:hAnsi="Arial" w:eastAsia="Arial"/>
          <w:b w:val="true"/>
          <w:color w:val="000000"/>
          <w:spacing w:val="0"/>
          <w:w w:val="100"/>
          <w:sz w:val="28"/>
          <w:vertAlign w:val="baseline"/>
          <w:lang w:val="en-US"/>
        </w:rPr>
        <w:t xml:space="preserve">Penal Law § 120.04-a (4)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347"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Assault.</w:t>
      </w:r>
    </w:p>
    <w:p>
      <w:pPr>
        <w:pageBreakBefore w:val="false"/>
        <w:spacing w:before="339" w:after="0" w:line="33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Assault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Assault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and causes serious physical injury to more than one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person.</w:t>
      </w:r>
    </w:p>
    <w:p>
      <w:pPr>
        <w:pageBreakBefore w:val="false"/>
        <w:spacing w:before="349" w:after="0" w:line="33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42" w:after="395"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238"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7.75pt,432.5pt" to="252.05pt,432.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27"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120.03 of this article.”</w:t>
      </w:r>
    </w:p>
    <w:p>
      <w:pPr>
        <w:pageBreakBefore w:val="false"/>
        <w:spacing w:before="235"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At this point, the statute states “other person.” For purposes of clarity, the word “other” modifying “person” has been omitted.</w:t>
      </w:r>
    </w:p>
    <w:p>
      <w:pPr>
        <w:pageBreakBefore w:val="false"/>
        <w:spacing w:before="228"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24" w:after="0" w:line="290" w:lineRule="exact"/>
        <w:ind w:right="0" w:left="0" w:firstLine="720"/>
        <w:jc w:val="both"/>
        <w:textAlignment w:val="baseline"/>
        <w:rPr>
          <w:rFonts w:ascii="Arial" w:hAnsi="Arial" w:eastAsia="Arial"/>
          <w:color w:val="000000"/>
          <w:spacing w:val="-4"/>
          <w:w w:val="100"/>
          <w:sz w:val="16"/>
          <w:vertAlign w:val="superscript"/>
          <w:lang w:val="en-US"/>
        </w:rPr>
      </w:pPr>
      <w:r>
        <w:rPr>
          <w:rFonts w:ascii="Arial" w:hAnsi="Arial" w:eastAsia="Arial"/>
          <w:color w:val="000000"/>
          <w:spacing w:val="-4"/>
          <w:w w:val="100"/>
          <w:sz w:val="16"/>
          <w:vertAlign w:val="superscript"/>
          <w:lang w:val="en-US"/>
        </w:rPr>
        <w:t xml:space="preserve">5</w:t>
      </w:r>
      <w:r>
        <w:rPr>
          <w:rFonts w:ascii="Arial" w:hAnsi="Arial" w:eastAsia="Arial"/>
          <w:color w:val="000000"/>
          <w:spacing w:val="-4"/>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w:t>
      </w:r>
    </w:p>
    <w:p>
      <w:pPr>
        <w:sectPr>
          <w:type w:val="nextPage"/>
          <w:pgSz w:w="12240" w:h="15840" w:orient="portrait"/>
          <w:pgMar w:bottom="1024" w:top="1420" w:right="2145" w:left="2155" w:header="720" w:footer="720"/>
          <w:titlePg w:val="false"/>
          <w:textDirection w:val="lrTb"/>
        </w:sectPr>
      </w:pPr>
    </w:p>
    <w:p>
      <w:pPr>
        <w:pageBreakBefore w:val="false"/>
        <w:spacing w:before="12" w:after="0" w:line="339"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36" w:after="0" w:line="339"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commits the crime of VEHICULAR ASSAULT IN THE SECOND DEGREE when he or she</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28"/>
          <w:vertAlign w:val="baseline"/>
          <w:lang w:val="en-US"/>
        </w:rPr>
        <w:t xml:space="preserve"> operates a motor vehicle </w:t>
      </w:r>
      <w:r>
        <w:rPr>
          <w:rFonts w:ascii="Arial" w:hAnsi="Arial" w:eastAsia="Arial"/>
          <w:color w:val="000000"/>
          <w:spacing w:val="-4"/>
          <w:w w:val="100"/>
          <w:sz w:val="28"/>
          <w:vertAlign w:val="superscript"/>
          <w:lang w:val="en-US"/>
        </w:rPr>
        <w:t xml:space="preserve">8</w:t>
      </w:r>
      <w:r>
        <w:rPr>
          <w:rFonts w:ascii="Arial" w:hAnsi="Arial" w:eastAsia="Arial"/>
          <w:color w:val="000000"/>
          <w:spacing w:val="-4"/>
          <w:w w:val="100"/>
          <w:sz w:val="17"/>
          <w:vertAlign w:val="baseline"/>
          <w:lang w:val="en-US"/>
        </w:rPr>
        <w:t xml:space="preserve">
</w:t>
      </w:r>
    </w:p>
    <w:p>
      <w:pPr>
        <w:pageBreakBefore w:val="false"/>
        <w:spacing w:before="30" w:after="0" w:line="319" w:lineRule="exact"/>
        <w:ind w:right="0" w:left="720" w:firstLine="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 </w:t>
      </w:r>
    </w:p>
    <w:p>
      <w:pPr>
        <w:pageBreakBefore w:val="false"/>
        <w:spacing w:before="336" w:after="526" w:line="339"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242" w:after="0" w:line="290" w:lineRule="exact"/>
        <w:ind w:right="0" w:left="0" w:firstLine="0"/>
        <w:jc w:val="both"/>
        <w:textAlignment w:val="baseline"/>
        <w:rPr>
          <w:rFonts w:ascii="Arial" w:hAnsi="Arial" w:eastAsia="Arial"/>
          <w:color w:val="000000"/>
          <w:spacing w:val="0"/>
          <w:w w:val="100"/>
          <w:sz w:val="24"/>
          <w:vertAlign w:val="baseline"/>
          <w:lang w:val="en-US"/>
        </w:rPr>
      </w:pPr>
      <w:r>
        <w:pict>
          <v:line strokeweight="1.2pt" strokecolor="#000000" from="107.65pt,404.15pt" to="252.05pt,404.1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39" w:after="0" w:line="290"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33"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At this point the statute states "causes serious physical injury to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224" w:after="0" w:line="290"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8</w:t>
      </w:r>
      <w:r>
        <w:rPr>
          <w:rFonts w:ascii="Arial" w:hAnsi="Arial" w:eastAsia="Arial"/>
          <w:color w:val="000000"/>
          <w:spacing w:val="-2"/>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20" w:right="2147" w:left="2153" w:header="720" w:footer="720"/>
          <w:titlePg w:val="false"/>
          <w:textDirection w:val="lrTb"/>
        </w:sectPr>
      </w:pPr>
    </w:p>
    <w:p>
      <w:pPr>
        <w:pageBreakBefore w:val="false"/>
        <w:spacing w:before="0" w:after="0" w:line="521" w:lineRule="exact"/>
        <w:ind w:right="864"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analysis of his or her blood, breath, urine or saliva.</w:t>
      </w:r>
      <w:r>
        <w:rPr>
          <w:rFonts w:ascii="Arial" w:hAnsi="Arial" w:eastAsia="Arial"/>
          <w:color w:val="000000"/>
          <w:spacing w:val="-2"/>
          <w:w w:val="100"/>
          <w:sz w:val="28"/>
          <w:vertAlign w:val="superscript"/>
          <w:lang w:val="en-US"/>
        </w:rPr>
        <w:t xml:space="preserve">9</w:t>
      </w:r>
      <w:r>
        <w:rPr>
          <w:rFonts w:ascii="Arial" w:hAnsi="Arial" w:eastAsia="Arial"/>
          <w:color w:val="000000"/>
          <w:spacing w:val="-2"/>
          <w:w w:val="100"/>
          <w:sz w:val="17"/>
          <w:vertAlign w:val="baseline"/>
          <w:lang w:val="en-US"/>
        </w:rPr>
        <w:t xml:space="preserve"> </w:t>
      </w:r>
      <w:r>
        <w:rPr>
          <w:rFonts w:ascii="Arial" w:hAnsi="Arial" w:eastAsia="Arial"/>
          <w:color w:val="000000"/>
          <w:spacing w:val="-2"/>
          <w:w w:val="100"/>
          <w:sz w:val="28"/>
          <w:vertAlign w:val="baseline"/>
          <w:lang w:val="en-US"/>
        </w:rPr>
        <w:t xml:space="preserve">while he or she is in an intoxicated condition.</w:t>
      </w:r>
      <w:r>
        <w:rPr>
          <w:rFonts w:ascii="Arial" w:hAnsi="Arial" w:eastAsia="Arial"/>
          <w:color w:val="000000"/>
          <w:spacing w:val="-2"/>
          <w:w w:val="100"/>
          <w:sz w:val="28"/>
          <w:vertAlign w:val="superscript"/>
          <w:lang w:val="en-US"/>
        </w:rPr>
        <w:t xml:space="preserve">10</w:t>
      </w:r>
      <w:r>
        <w:rPr>
          <w:rFonts w:ascii="Arial" w:hAnsi="Arial" w:eastAsia="Arial"/>
          <w:color w:val="000000"/>
          <w:spacing w:val="-2"/>
          <w:w w:val="100"/>
          <w:sz w:val="17"/>
          <w:vertAlign w:val="baseline"/>
          <w:lang w:val="en-US"/>
        </w:rPr>
        <w:t xml:space="preserve">
</w:t>
      </w:r>
    </w:p>
    <w:p>
      <w:pPr>
        <w:pageBreakBefore w:val="false"/>
        <w:spacing w:before="374"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62" w:after="0" w:line="33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49" w:after="0" w:line="339"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serious physical injury to another person.</w:t>
      </w:r>
    </w:p>
    <w:p>
      <w:pPr>
        <w:pageBreakBefore w:val="false"/>
        <w:spacing w:before="337" w:after="0" w:line="339"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13</w:t>
      </w:r>
      <w:r>
        <w:rPr>
          <w:rFonts w:ascii="Arial" w:hAnsi="Arial" w:eastAsia="Arial"/>
          <w:color w:val="000000"/>
          <w:spacing w:val="-2"/>
          <w:w w:val="100"/>
          <w:sz w:val="28"/>
          <w:vertAlign w:val="baseline"/>
          <w:lang w:val="en-US"/>
        </w:rPr>
        <w:t xml:space="preserve">).]</w:t>
      </w:r>
    </w:p>
    <w:p>
      <w:pPr>
        <w:pageBreakBefore w:val="false"/>
        <w:spacing w:before="340" w:after="0"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17"/>
          <w:vertAlign w:val="baseline"/>
          <w:lang w:val="en-US"/>
        </w:rPr>
        <w:t xml:space="preserve">
</w:t>
      </w:r>
    </w:p>
    <w:p>
      <w:pPr>
        <w:pageBreakBefore w:val="false"/>
        <w:spacing w:before="348" w:after="235" w:line="339"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257" w:after="0" w:line="277"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8pt,541.7pt" to="252.05pt,541.7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Vehicle &amp; Traffic Law § 1192 (2).</w:t>
      </w:r>
    </w:p>
    <w:p>
      <w:pPr>
        <w:pageBreakBefore w:val="false"/>
        <w:spacing w:before="237" w:after="0" w:line="27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Vehicle &amp; Traffic Law § 1192 (3).</w:t>
      </w:r>
    </w:p>
    <w:p>
      <w:pPr>
        <w:pageBreakBefore w:val="false"/>
        <w:spacing w:before="238"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w:t>
      </w:r>
    </w:p>
    <w:p>
      <w:pPr>
        <w:pageBreakBefore w:val="false"/>
        <w:spacing w:before="239" w:after="0" w:line="275"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Vehicle &amp; Traffic Law § 1192 (4-a).</w:t>
      </w:r>
    </w:p>
    <w:p>
      <w:pPr>
        <w:pageBreakBefore w:val="false"/>
        <w:spacing w:before="244"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Vehicle &amp; Traffic Law §114-a and Public Health Law § 3306.</w:t>
      </w:r>
    </w:p>
    <w:p>
      <w:pPr>
        <w:pageBreakBefore w:val="false"/>
        <w:spacing w:before="237"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Penal Law § 10.00 (10)</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040" w:right="2140" w:left="2160" w:header="720" w:footer="720"/>
          <w:titlePg w:val="false"/>
          <w:textDirection w:val="lrTb"/>
        </w:sectPr>
      </w:pPr>
    </w:p>
    <w:p>
      <w:pPr>
        <w:pageBreakBefore w:val="false"/>
        <w:spacing w:before="0" w:after="0"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serious physical injury to another person, then you may, but are not required to, infer that, as a result of such intoxication or impairment, such person operated the motor vehicle in a manner that caused such serious physical injury to another person.</w:t>
      </w:r>
      <w:r>
        <w:rPr>
          <w:rFonts w:ascii="Arial" w:hAnsi="Arial" w:eastAsia="Arial"/>
          <w:color w:val="000000"/>
          <w:spacing w:val="0"/>
          <w:w w:val="100"/>
          <w:sz w:val="28"/>
          <w:vertAlign w:val="superscript"/>
          <w:lang w:val="en-US"/>
        </w:rPr>
        <w:t xml:space="preserve">15</w:t>
      </w:r>
      <w:r>
        <w:rPr>
          <w:rFonts w:ascii="Arial" w:hAnsi="Arial" w:eastAsia="Arial"/>
          <w:color w:val="000000"/>
          <w:spacing w:val="0"/>
          <w:w w:val="100"/>
          <w:sz w:val="17"/>
          <w:vertAlign w:val="baseline"/>
          <w:lang w:val="en-US"/>
        </w:rPr>
        <w:t xml:space="preserve">
</w:t>
      </w:r>
    </w:p>
    <w:p>
      <w:pPr>
        <w:pageBreakBefore w:val="false"/>
        <w:spacing w:before="346" w:after="0" w:line="340"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360"/>
          <w:tab w:val="left" w:pos="1080"/>
        </w:tabs>
        <w:spacing w:before="338" w:after="0" w:line="340"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360"/>
          <w:tab w:val="left" w:pos="1080"/>
        </w:tabs>
        <w:spacing w:before="337" w:after="0" w:line="340"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w:t>
      </w:r>
    </w:p>
    <w:p>
      <w:pPr>
        <w:pageBreakBefore w:val="false"/>
        <w:spacing w:before="366"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0" w:after="0" w:line="340"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42" w:after="698" w:line="340"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244"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7.75pt,598.3pt" to="252.05pt,598.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15</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8"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400" w:right="2145" w:left="2155" w:header="720" w:footer="720"/>
          <w:titlePg w:val="false"/>
          <w:textDirection w:val="lrTb"/>
        </w:sectPr>
      </w:pPr>
    </w:p>
    <w:p>
      <w:pPr>
        <w:pageBreakBefore w:val="false"/>
        <w:spacing w:before="0" w:after="0" w:line="33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44" w:after="0" w:line="338"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spacing w:before="346" w:after="0" w:line="339"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3. That as a result of such intoxication [or impairment by the use of a drug, or impairment by the combined influence of drugs or of alcohol and any drug or drugs], the defendant operated such motor vehicle in a manner that caused serious physical injury to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w:t>
      </w:r>
    </w:p>
    <w:p>
      <w:pPr>
        <w:pageBreakBefore w:val="false"/>
        <w:spacing w:before="339" w:after="0" w:line="33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43" w:after="6306"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43" w:after="6306" w:line="340" w:lineRule="exact"/>
        <w:sectPr>
          <w:type w:val="nextPage"/>
          <w:pgSz w:w="12240" w:h="15840" w:orient="portrait"/>
          <w:pgMar w:bottom="1024" w:top="108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102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