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C703" w14:textId="77777777" w:rsidR="00BB4353" w:rsidRDefault="00315549">
      <w:pPr>
        <w:spacing w:line="306" w:lineRule="exact"/>
        <w:jc w:val="center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 xml:space="preserve">ASSAULT IN THE SECOND DEGREE </w:t>
      </w:r>
      <w:r>
        <w:rPr>
          <w:rFonts w:ascii="Arial" w:eastAsia="Arial" w:hAnsi="Arial"/>
          <w:b/>
          <w:color w:val="000000"/>
          <w:sz w:val="26"/>
        </w:rPr>
        <w:br/>
        <w:t xml:space="preserve">(Physical Injury; Intent; Weapon) </w:t>
      </w:r>
      <w:r>
        <w:rPr>
          <w:rFonts w:ascii="Arial" w:eastAsia="Arial" w:hAnsi="Arial"/>
          <w:b/>
          <w:color w:val="000000"/>
          <w:sz w:val="26"/>
        </w:rPr>
        <w:br/>
        <w:t xml:space="preserve">Penal Law § 120.05(2) </w:t>
      </w:r>
      <w:r>
        <w:rPr>
          <w:rFonts w:ascii="Arial" w:eastAsia="Arial" w:hAnsi="Arial"/>
          <w:b/>
          <w:color w:val="000000"/>
          <w:sz w:val="26"/>
        </w:rPr>
        <w:br/>
        <w:t>(Committed on or after Nov. 1, 1986)</w:t>
      </w:r>
      <w:r>
        <w:rPr>
          <w:rFonts w:ascii="Arial" w:eastAsia="Arial" w:hAnsi="Arial"/>
          <w:b/>
          <w:color w:val="000000"/>
          <w:sz w:val="26"/>
          <w:vertAlign w:val="superscript"/>
        </w:rPr>
        <w:t>1</w:t>
      </w:r>
      <w:r>
        <w:rPr>
          <w:rFonts w:ascii="Arial" w:eastAsia="Arial" w:hAnsi="Arial"/>
          <w:b/>
          <w:color w:val="000000"/>
          <w:sz w:val="16"/>
        </w:rPr>
        <w:t xml:space="preserve"> </w:t>
      </w:r>
      <w:r>
        <w:rPr>
          <w:rFonts w:ascii="Arial" w:eastAsia="Arial" w:hAnsi="Arial"/>
          <w:b/>
          <w:color w:val="000000"/>
          <w:sz w:val="16"/>
        </w:rPr>
        <w:br/>
      </w:r>
      <w:r>
        <w:rPr>
          <w:rFonts w:ascii="Arial" w:eastAsia="Arial" w:hAnsi="Arial"/>
          <w:b/>
          <w:color w:val="000000"/>
          <w:sz w:val="26"/>
        </w:rPr>
        <w:t xml:space="preserve">Revised April, 2018 </w:t>
      </w:r>
      <w:r>
        <w:rPr>
          <w:rFonts w:ascii="Arial" w:eastAsia="Arial" w:hAnsi="Arial"/>
          <w:b/>
          <w:color w:val="000000"/>
          <w:sz w:val="26"/>
          <w:vertAlign w:val="superscript"/>
        </w:rPr>
        <w:t>1</w:t>
      </w:r>
      <w:r>
        <w:rPr>
          <w:rFonts w:ascii="Arial" w:eastAsia="Arial" w:hAnsi="Arial"/>
          <w:b/>
          <w:color w:val="000000"/>
          <w:sz w:val="16"/>
        </w:rPr>
        <w:t xml:space="preserve"> </w:t>
      </w:r>
    </w:p>
    <w:p w14:paraId="47F7C704" w14:textId="77777777" w:rsidR="00BB4353" w:rsidRDefault="00315549">
      <w:pPr>
        <w:spacing w:before="311" w:line="297" w:lineRule="exact"/>
        <w:ind w:left="720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The (</w:t>
      </w:r>
      <w:r>
        <w:rPr>
          <w:rFonts w:ascii="Arial" w:eastAsia="Arial" w:hAnsi="Arial"/>
          <w:i/>
          <w:color w:val="000000"/>
          <w:sz w:val="26"/>
          <w:u w:val="single"/>
        </w:rPr>
        <w:t>specify</w:t>
      </w:r>
      <w:r>
        <w:rPr>
          <w:rFonts w:ascii="Arial" w:eastAsia="Arial" w:hAnsi="Arial"/>
          <w:color w:val="000000"/>
          <w:sz w:val="26"/>
        </w:rPr>
        <w:t>) count is Assault in the Second Degree.</w:t>
      </w:r>
    </w:p>
    <w:p w14:paraId="47F7C705" w14:textId="77777777" w:rsidR="00BB4353" w:rsidRDefault="00315549">
      <w:pPr>
        <w:spacing w:before="299" w:line="29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Under our law, a person is guilty of Assault in the Second Degree when, with intent to cause physical injury to another person, he or she causes such injury to that person [</w:t>
      </w:r>
      <w:r>
        <w:rPr>
          <w:rFonts w:ascii="Arial" w:eastAsia="Arial" w:hAnsi="Arial"/>
          <w:i/>
          <w:color w:val="000000"/>
          <w:sz w:val="26"/>
        </w:rPr>
        <w:t xml:space="preserve">or </w:t>
      </w:r>
      <w:r>
        <w:rPr>
          <w:rFonts w:ascii="Arial" w:eastAsia="Arial" w:hAnsi="Arial"/>
          <w:color w:val="000000"/>
          <w:sz w:val="26"/>
        </w:rPr>
        <w:t>to a third person] by means of a a deadly weapon [or dangerous instrument].</w:t>
      </w:r>
    </w:p>
    <w:p w14:paraId="47F7C706" w14:textId="77777777" w:rsidR="00BB4353" w:rsidRDefault="00315549">
      <w:pPr>
        <w:spacing w:before="299" w:line="29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The </w:t>
      </w:r>
      <w:r>
        <w:rPr>
          <w:rFonts w:ascii="Arial" w:eastAsia="Arial" w:hAnsi="Arial"/>
          <w:color w:val="000000"/>
          <w:sz w:val="26"/>
        </w:rPr>
        <w:t>following terms used in that definition have a special meaning:</w:t>
      </w:r>
    </w:p>
    <w:p w14:paraId="47F7C707" w14:textId="77777777" w:rsidR="00BB4353" w:rsidRDefault="00315549">
      <w:pPr>
        <w:spacing w:before="304" w:line="29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PHYSICAL INJURY means impairment of physical condition or substantial pain.</w:t>
      </w:r>
      <w:r>
        <w:rPr>
          <w:rFonts w:ascii="Arial" w:eastAsia="Arial" w:hAnsi="Arial"/>
          <w:color w:val="000000"/>
          <w:sz w:val="26"/>
          <w:vertAlign w:val="superscript"/>
        </w:rPr>
        <w:t>2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47F7C708" w14:textId="77777777" w:rsidR="00BB4353" w:rsidRDefault="00315549">
      <w:pPr>
        <w:spacing w:before="298" w:line="29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6"/>
        </w:rPr>
      </w:pPr>
      <w:r>
        <w:rPr>
          <w:rFonts w:ascii="Arial" w:eastAsia="Arial" w:hAnsi="Arial"/>
          <w:color w:val="000000"/>
          <w:spacing w:val="-3"/>
          <w:sz w:val="26"/>
        </w:rPr>
        <w:t>INTENT means conscious objective or purpose. Thus, a person acts with intent to cause physical injury to another when that person's conscious objective or purpose is to cause physical injury to another.</w:t>
      </w:r>
      <w:r>
        <w:rPr>
          <w:rFonts w:ascii="Arial" w:eastAsia="Arial" w:hAnsi="Arial"/>
          <w:color w:val="000000"/>
          <w:spacing w:val="-3"/>
          <w:sz w:val="26"/>
          <w:vertAlign w:val="superscript"/>
        </w:rPr>
        <w:t>3</w:t>
      </w:r>
      <w:r>
        <w:rPr>
          <w:rFonts w:ascii="Arial" w:eastAsia="Arial" w:hAnsi="Arial"/>
          <w:color w:val="000000"/>
          <w:spacing w:val="-3"/>
          <w:sz w:val="16"/>
        </w:rPr>
        <w:t xml:space="preserve"> </w:t>
      </w:r>
    </w:p>
    <w:p w14:paraId="47F7C709" w14:textId="77777777" w:rsidR="00BB4353" w:rsidRDefault="00315549">
      <w:pPr>
        <w:spacing w:before="297" w:line="297" w:lineRule="exact"/>
        <w:ind w:left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[</w:t>
      </w:r>
      <w:r>
        <w:rPr>
          <w:rFonts w:ascii="Arial" w:eastAsia="Arial" w:hAnsi="Arial"/>
          <w:i/>
          <w:color w:val="000000"/>
          <w:sz w:val="26"/>
        </w:rPr>
        <w:t>NOTE: In a case of "transferred intent," add the f</w:t>
      </w:r>
      <w:r>
        <w:rPr>
          <w:rFonts w:ascii="Arial" w:eastAsia="Arial" w:hAnsi="Arial"/>
          <w:i/>
          <w:color w:val="000000"/>
          <w:sz w:val="26"/>
        </w:rPr>
        <w:t>ollowing paragraph:</w:t>
      </w:r>
    </w:p>
    <w:p w14:paraId="47F7C70A" w14:textId="77777777" w:rsidR="00BB4353" w:rsidRDefault="00315549">
      <w:pPr>
        <w:spacing w:after="709" w:line="297" w:lineRule="exact"/>
        <w:ind w:left="720"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Under our law, it is not required that the person who is injured be the same person who was intended to be injured.]</w:t>
      </w:r>
    </w:p>
    <w:p w14:paraId="47F7C70B" w14:textId="77777777" w:rsidR="00BB4353" w:rsidRDefault="00315549">
      <w:pPr>
        <w:spacing w:before="255" w:line="277" w:lineRule="exact"/>
        <w:ind w:firstLine="144"/>
        <w:jc w:val="both"/>
        <w:textAlignment w:val="baseline"/>
        <w:rPr>
          <w:rFonts w:ascii="Arial" w:eastAsia="Arial" w:hAnsi="Arial"/>
          <w:color w:val="000000"/>
          <w:spacing w:val="-2"/>
          <w:sz w:val="14"/>
          <w:vertAlign w:val="superscript"/>
        </w:rPr>
      </w:pPr>
      <w:r>
        <w:pict w14:anchorId="47F7C72A">
          <v:line id="_x0000_s1027" style="position:absolute;left:0;text-align:left;z-index:251657216;mso-position-horizontal-relative:page;mso-position-vertical-relative:page" from="108pt,494.65pt" to="252.05pt,494.6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pacing w:val="-2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pacing w:val="-2"/>
          <w:sz w:val="24"/>
        </w:rPr>
        <w:t xml:space="preserve"> This charge applies when the crime was committed on or after November 1, 1986, except as to the following weapons which were added to the definition of "deadly weapon" [Penal Law § 10.00(12)] after that date:</w:t>
      </w:r>
    </w:p>
    <w:p w14:paraId="47F7C70C" w14:textId="77777777" w:rsidR="00BB4353" w:rsidRDefault="00315549">
      <w:pPr>
        <w:spacing w:before="273" w:line="279" w:lineRule="exact"/>
        <w:jc w:val="both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November 1, 1995, was the effective date of an</w:t>
      </w:r>
      <w:r>
        <w:rPr>
          <w:rFonts w:ascii="Arial" w:eastAsia="Arial" w:hAnsi="Arial"/>
          <w:color w:val="000000"/>
          <w:spacing w:val="-3"/>
          <w:sz w:val="24"/>
        </w:rPr>
        <w:t xml:space="preserve"> amendment to the definition of "deadly weapon" to add a "metal knuckle knife." L. 1995, ch. 219.</w:t>
      </w:r>
    </w:p>
    <w:p w14:paraId="47F7C70D" w14:textId="77777777" w:rsidR="00BB4353" w:rsidRDefault="00315549">
      <w:pPr>
        <w:spacing w:before="269" w:line="278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November 1, 2008, was the effective date of an amendment also to that definition to add "plastic knuckles." L. 2008, ch. 257.</w:t>
      </w:r>
    </w:p>
    <w:p w14:paraId="47F7C70E" w14:textId="77777777" w:rsidR="00BB4353" w:rsidRDefault="00315549">
      <w:pPr>
        <w:spacing w:before="276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2018 revision was to include the statutory additions to the definition of "deadly weapon" and the decisional law definitions of weapons as set forth in footnote 4.</w:t>
      </w:r>
    </w:p>
    <w:p w14:paraId="47F7C70F" w14:textId="77777777" w:rsidR="00BB4353" w:rsidRDefault="00315549">
      <w:pPr>
        <w:spacing w:before="246" w:line="271" w:lineRule="exact"/>
        <w:jc w:val="center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 xml:space="preserve"> Penal Law § 10.00(9); </w:t>
      </w:r>
      <w:r>
        <w:rPr>
          <w:rFonts w:ascii="Arial" w:eastAsia="Arial" w:hAnsi="Arial"/>
          <w:i/>
          <w:color w:val="000000"/>
          <w:sz w:val="24"/>
        </w:rPr>
        <w:t>See People v. Chiddick</w:t>
      </w:r>
      <w:r>
        <w:rPr>
          <w:rFonts w:ascii="Arial" w:eastAsia="Arial" w:hAnsi="Arial"/>
          <w:color w:val="000000"/>
          <w:sz w:val="24"/>
        </w:rPr>
        <w:t>, 8 NY3d 445 (2007).</w:t>
      </w:r>
    </w:p>
    <w:p w14:paraId="47F7C710" w14:textId="77777777" w:rsidR="00BB4353" w:rsidRDefault="00315549">
      <w:pPr>
        <w:spacing w:before="244" w:line="273" w:lineRule="exact"/>
        <w:ind w:left="288"/>
        <w:textAlignment w:val="baseline"/>
        <w:rPr>
          <w:rFonts w:ascii="Arial" w:eastAsia="Arial" w:hAnsi="Arial"/>
          <w:color w:val="000000"/>
          <w:spacing w:val="-1"/>
          <w:sz w:val="14"/>
          <w:vertAlign w:val="superscript"/>
        </w:rPr>
      </w:pPr>
      <w:r>
        <w:rPr>
          <w:rFonts w:ascii="Arial" w:eastAsia="Arial" w:hAnsi="Arial"/>
          <w:color w:val="000000"/>
          <w:spacing w:val="-1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pacing w:val="-1"/>
          <w:sz w:val="24"/>
        </w:rPr>
        <w:t xml:space="preserve"> See </w:t>
      </w:r>
      <w:r>
        <w:rPr>
          <w:rFonts w:ascii="Arial" w:eastAsia="Arial" w:hAnsi="Arial"/>
          <w:color w:val="000000"/>
          <w:spacing w:val="-1"/>
          <w:sz w:val="24"/>
        </w:rPr>
        <w:t>Penal Law § 15.05(1).</w:t>
      </w:r>
    </w:p>
    <w:p w14:paraId="47F7C711" w14:textId="77777777" w:rsidR="00BB4353" w:rsidRDefault="00BB4353">
      <w:pPr>
        <w:sectPr w:rsidR="00BB4353">
          <w:pgSz w:w="12240" w:h="15840"/>
          <w:pgMar w:top="1080" w:right="2140" w:bottom="644" w:left="2160" w:header="720" w:footer="720" w:gutter="0"/>
          <w:cols w:space="720"/>
        </w:sectPr>
      </w:pPr>
    </w:p>
    <w:p w14:paraId="47F7C712" w14:textId="77777777" w:rsidR="00BB4353" w:rsidRDefault="00315549">
      <w:pPr>
        <w:spacing w:line="443" w:lineRule="exact"/>
        <w:ind w:firstLine="720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lastRenderedPageBreak/>
        <w:t xml:space="preserve">[DEADLY WEAPON means: </w:t>
      </w:r>
      <w:r>
        <w:rPr>
          <w:rFonts w:ascii="Arial" w:eastAsia="Arial" w:hAnsi="Arial"/>
          <w:color w:val="000000"/>
          <w:sz w:val="26"/>
        </w:rPr>
        <w:br/>
      </w:r>
      <w:r>
        <w:rPr>
          <w:rFonts w:ascii="Arial" w:eastAsia="Arial" w:hAnsi="Arial"/>
          <w:i/>
          <w:color w:val="000000"/>
          <w:sz w:val="26"/>
          <w:u w:val="single"/>
        </w:rPr>
        <w:t>Select appropriate alternative:</w:t>
      </w:r>
    </w:p>
    <w:p w14:paraId="47F7C713" w14:textId="77777777" w:rsidR="00BB4353" w:rsidRDefault="00315549">
      <w:pPr>
        <w:spacing w:before="308" w:line="292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any loaded weapon from which a shot, readily capable of producing death or other serious physical injury, may be discharged.</w:t>
      </w:r>
    </w:p>
    <w:p w14:paraId="47F7C714" w14:textId="77777777" w:rsidR="00BB4353" w:rsidRDefault="00315549">
      <w:pPr>
        <w:spacing w:before="302" w:line="298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 switchblade knife defined as any knife hav</w:t>
      </w:r>
      <w:r>
        <w:rPr>
          <w:rFonts w:ascii="Arial" w:eastAsia="Arial" w:hAnsi="Arial"/>
          <w:color w:val="000000"/>
          <w:sz w:val="26"/>
        </w:rPr>
        <w:t>ing a blade which opens automatically by hand pressure applied to a button, spring or other device in the handle of the knife.</w:t>
      </w:r>
    </w:p>
    <w:p w14:paraId="47F7C716" w14:textId="77777777" w:rsidR="00BB4353" w:rsidRDefault="00315549">
      <w:pPr>
        <w:spacing w:before="290" w:line="300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 pilum ballistic knife defined as any knife having a blade which can be projected from the handle by hand pressure applied t</w:t>
      </w:r>
      <w:r>
        <w:rPr>
          <w:rFonts w:ascii="Arial" w:eastAsia="Arial" w:hAnsi="Arial"/>
          <w:color w:val="000000"/>
          <w:sz w:val="26"/>
        </w:rPr>
        <w:t>o a button, lever, spring or other device in the handle of the knife.</w:t>
      </w:r>
    </w:p>
    <w:p w14:paraId="47F7C717" w14:textId="77777777" w:rsidR="00BB4353" w:rsidRDefault="00315549">
      <w:pPr>
        <w:spacing w:before="295" w:line="297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a metal knuckle knife, defined as a weapon that, when closed, cannot function as a set of plastic knuckles or metal knuckles, nor as a knife and when open, can function as both a set of </w:t>
      </w:r>
      <w:r>
        <w:rPr>
          <w:rFonts w:ascii="Arial" w:eastAsia="Arial" w:hAnsi="Arial"/>
          <w:color w:val="000000"/>
          <w:sz w:val="26"/>
        </w:rPr>
        <w:t>plastic knuckles or metal knuckles as well as a knife.</w:t>
      </w:r>
    </w:p>
    <w:p w14:paraId="47F7C718" w14:textId="77777777" w:rsidR="00BB4353" w:rsidRDefault="00315549">
      <w:pPr>
        <w:spacing w:before="306" w:line="295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metal knuckles, defined as a metal object with multiple holes, through which individual places his or her fingers so that a metal bar rests atop the individual's knuckles.</w:t>
      </w:r>
    </w:p>
    <w:p w14:paraId="47F7C719" w14:textId="77777777" w:rsidR="00BB4353" w:rsidRDefault="00315549">
      <w:pPr>
        <w:spacing w:before="304" w:line="297" w:lineRule="exact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a billy, defined as a cylindr</w:t>
      </w:r>
      <w:r>
        <w:rPr>
          <w:rFonts w:ascii="Arial" w:eastAsia="Arial" w:hAnsi="Arial"/>
          <w:color w:val="000000"/>
          <w:sz w:val="26"/>
        </w:rPr>
        <w:t>ical or rounded, rigid, club or baton with a handle grip which, from its appearance and inherent characteristics, is designed to be used as a striking weapon and not for other lawful purposes.</w:t>
      </w:r>
    </w:p>
    <w:p w14:paraId="47F7C71A" w14:textId="77777777" w:rsidR="00BB4353" w:rsidRDefault="00315549">
      <w:pPr>
        <w:spacing w:before="1" w:after="1268" w:line="595" w:lineRule="exact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a dagger </w:t>
      </w:r>
      <w:r>
        <w:rPr>
          <w:rFonts w:ascii="Arial" w:eastAsia="Arial" w:hAnsi="Arial"/>
          <w:color w:val="000000"/>
          <w:sz w:val="26"/>
        </w:rPr>
        <w:br/>
        <w:t>a blackjack</w:t>
      </w:r>
    </w:p>
    <w:p w14:paraId="47F7C71B" w14:textId="77777777" w:rsidR="00BB4353" w:rsidRDefault="00BB4353">
      <w:pPr>
        <w:spacing w:before="1" w:after="1268" w:line="595" w:lineRule="exact"/>
        <w:sectPr w:rsidR="00BB4353">
          <w:pgSz w:w="12240" w:h="15840"/>
          <w:pgMar w:top="2280" w:right="2145" w:bottom="664" w:left="2155" w:header="720" w:footer="720" w:gutter="0"/>
          <w:cols w:space="720"/>
        </w:sectPr>
      </w:pPr>
    </w:p>
    <w:p w14:paraId="47F7C71C" w14:textId="77777777" w:rsidR="00BB4353" w:rsidRDefault="00315549">
      <w:pPr>
        <w:spacing w:before="2" w:line="205" w:lineRule="exact"/>
        <w:jc w:val="center"/>
        <w:textAlignment w:val="baseline"/>
        <w:rPr>
          <w:rFonts w:ascii="Arial" w:eastAsia="Arial" w:hAnsi="Arial"/>
          <w:color w:val="000000"/>
          <w:spacing w:val="3"/>
          <w:sz w:val="18"/>
        </w:rPr>
      </w:pPr>
      <w:r>
        <w:rPr>
          <w:rFonts w:ascii="Arial" w:eastAsia="Arial" w:hAnsi="Arial"/>
          <w:color w:val="000000"/>
          <w:spacing w:val="3"/>
          <w:sz w:val="18"/>
        </w:rPr>
        <w:t>Page 2 of 3</w:t>
      </w:r>
    </w:p>
    <w:p w14:paraId="47F7C71D" w14:textId="77777777" w:rsidR="00BB4353" w:rsidRDefault="00BB4353">
      <w:pPr>
        <w:sectPr w:rsidR="00BB4353">
          <w:type w:val="continuous"/>
          <w:pgSz w:w="12240" w:h="15840"/>
          <w:pgMar w:top="2280" w:right="2147" w:bottom="664" w:left="2153" w:header="720" w:footer="720" w:gutter="0"/>
          <w:cols w:space="720"/>
        </w:sectPr>
      </w:pPr>
    </w:p>
    <w:p w14:paraId="47F7C71E" w14:textId="77777777" w:rsidR="00BB4353" w:rsidRDefault="00315549">
      <w:pPr>
        <w:spacing w:before="45" w:line="294" w:lineRule="exact"/>
        <w:textAlignment w:val="baseline"/>
        <w:rPr>
          <w:rFonts w:ascii="Arial" w:eastAsia="Arial" w:hAnsi="Arial"/>
          <w:color w:val="000000"/>
          <w:spacing w:val="-3"/>
          <w:sz w:val="26"/>
        </w:rPr>
      </w:pPr>
      <w:r>
        <w:rPr>
          <w:rFonts w:ascii="Arial" w:eastAsia="Arial" w:hAnsi="Arial"/>
          <w:color w:val="000000"/>
          <w:spacing w:val="-3"/>
          <w:sz w:val="26"/>
        </w:rPr>
        <w:lastRenderedPageBreak/>
        <w:t xml:space="preserve">plastic knuckles.] </w:t>
      </w:r>
      <w:r>
        <w:rPr>
          <w:rFonts w:ascii="Arial" w:eastAsia="Arial" w:hAnsi="Arial"/>
          <w:color w:val="000000"/>
          <w:spacing w:val="-3"/>
          <w:sz w:val="26"/>
          <w:vertAlign w:val="superscript"/>
        </w:rPr>
        <w:t>4</w:t>
      </w:r>
      <w:r>
        <w:rPr>
          <w:rFonts w:ascii="Arial" w:eastAsia="Arial" w:hAnsi="Arial"/>
          <w:color w:val="000000"/>
          <w:spacing w:val="-3"/>
          <w:sz w:val="16"/>
        </w:rPr>
        <w:t xml:space="preserve"> </w:t>
      </w:r>
    </w:p>
    <w:p w14:paraId="47F7C71F" w14:textId="77777777" w:rsidR="00BB4353" w:rsidRDefault="00315549">
      <w:pPr>
        <w:spacing w:before="312" w:line="29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[DANGEROUS INSTRUMENT means any instrument, article or substance (including a vehicle) which, under the circumstances in which it is used, attempted to be used, or threatened to be used, is readily capable of causing death or other se</w:t>
      </w:r>
      <w:r>
        <w:rPr>
          <w:rFonts w:ascii="Arial" w:eastAsia="Arial" w:hAnsi="Arial"/>
          <w:color w:val="000000"/>
          <w:sz w:val="26"/>
        </w:rPr>
        <w:t>rious physical injury,</w:t>
      </w:r>
      <w:r>
        <w:rPr>
          <w:rFonts w:ascii="Arial" w:eastAsia="Arial" w:hAnsi="Arial"/>
          <w:color w:val="000000"/>
          <w:sz w:val="26"/>
          <w:vertAlign w:val="superscript"/>
        </w:rPr>
        <w:t>5</w:t>
      </w:r>
      <w:r>
        <w:rPr>
          <w:rFonts w:ascii="Arial" w:eastAsia="Arial" w:hAnsi="Arial"/>
          <w:color w:val="000000"/>
          <w:sz w:val="26"/>
        </w:rPr>
        <w:t xml:space="preserve"> that is, serious and protracted disfigurement, protracted impairment of health or protracted loss or impairment of the function of any bodily organ.</w:t>
      </w:r>
      <w:r>
        <w:rPr>
          <w:rFonts w:ascii="Arial" w:eastAsia="Arial" w:hAnsi="Arial"/>
          <w:color w:val="000000"/>
          <w:sz w:val="26"/>
          <w:vertAlign w:val="superscript"/>
        </w:rPr>
        <w:t>6</w:t>
      </w:r>
      <w:r>
        <w:rPr>
          <w:rFonts w:ascii="Arial" w:eastAsia="Arial" w:hAnsi="Arial"/>
          <w:color w:val="000000"/>
          <w:sz w:val="26"/>
        </w:rPr>
        <w:t xml:space="preserve"> Under that definition, death or other serious physical injury need not, in fact, b</w:t>
      </w:r>
      <w:r>
        <w:rPr>
          <w:rFonts w:ascii="Arial" w:eastAsia="Arial" w:hAnsi="Arial"/>
          <w:color w:val="000000"/>
          <w:sz w:val="26"/>
        </w:rPr>
        <w:t>e caused.]</w:t>
      </w:r>
    </w:p>
    <w:p w14:paraId="47F7C720" w14:textId="77777777" w:rsidR="00BB4353" w:rsidRDefault="00315549">
      <w:pPr>
        <w:spacing w:before="302" w:line="298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In order for you to find the defendant guilty of this crime, the People are required to prove, from all the evidence in the case, beyond a reasonable doubt, both of the following two elements:</w:t>
      </w:r>
    </w:p>
    <w:p w14:paraId="47F7C721" w14:textId="77777777" w:rsidR="00BB4353" w:rsidRDefault="00315549">
      <w:pPr>
        <w:numPr>
          <w:ilvl w:val="0"/>
          <w:numId w:val="1"/>
        </w:numPr>
        <w:tabs>
          <w:tab w:val="clear" w:pos="720"/>
          <w:tab w:val="left" w:pos="1440"/>
          <w:tab w:val="right" w:pos="7920"/>
        </w:tabs>
        <w:spacing w:before="300" w:line="29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That on or about </w:t>
      </w:r>
      <w:r>
        <w:rPr>
          <w:rFonts w:ascii="Arial" w:eastAsia="Arial" w:hAnsi="Arial"/>
          <w:i/>
          <w:color w:val="000000"/>
          <w:sz w:val="21"/>
          <w:u w:val="single"/>
        </w:rPr>
        <w:t xml:space="preserve"> (date) </w:t>
      </w:r>
      <w:r>
        <w:rPr>
          <w:rFonts w:ascii="Arial" w:eastAsia="Arial" w:hAnsi="Arial"/>
          <w:color w:val="000000"/>
          <w:sz w:val="26"/>
        </w:rPr>
        <w:t xml:space="preserve"> , in the county of </w:t>
      </w:r>
      <w:r>
        <w:rPr>
          <w:rFonts w:ascii="Arial" w:eastAsia="Arial" w:hAnsi="Arial"/>
          <w:i/>
          <w:color w:val="000000"/>
          <w:sz w:val="21"/>
          <w:u w:val="single"/>
        </w:rPr>
        <w:t xml:space="preserve"> (count</w:t>
      </w:r>
      <w:r>
        <w:rPr>
          <w:rFonts w:ascii="Arial" w:eastAsia="Arial" w:hAnsi="Arial"/>
          <w:i/>
          <w:color w:val="000000"/>
          <w:sz w:val="21"/>
          <w:u w:val="single"/>
        </w:rPr>
        <w:t xml:space="preserve">y) </w:t>
      </w:r>
      <w:r>
        <w:rPr>
          <w:rFonts w:ascii="Arial" w:eastAsia="Arial" w:hAnsi="Arial"/>
          <w:color w:val="000000"/>
          <w:sz w:val="26"/>
        </w:rPr>
        <w:t xml:space="preserve"> , the </w:t>
      </w:r>
      <w:r>
        <w:rPr>
          <w:rFonts w:ascii="Arial" w:eastAsia="Arial" w:hAnsi="Arial"/>
          <w:color w:val="000000"/>
          <w:sz w:val="26"/>
        </w:rPr>
        <w:br/>
        <w:t xml:space="preserve">defendant, </w:t>
      </w:r>
      <w:r>
        <w:rPr>
          <w:rFonts w:ascii="Arial" w:eastAsia="Arial" w:hAnsi="Arial"/>
          <w:i/>
          <w:color w:val="000000"/>
          <w:sz w:val="21"/>
          <w:u w:val="single"/>
        </w:rPr>
        <w:t xml:space="preserve"> (defendant's name) </w:t>
      </w:r>
      <w:r>
        <w:rPr>
          <w:rFonts w:ascii="Arial" w:eastAsia="Arial" w:hAnsi="Arial"/>
          <w:color w:val="000000"/>
          <w:sz w:val="26"/>
        </w:rPr>
        <w:t xml:space="preserve"> , caused physical injury to </w:t>
      </w:r>
      <w:r>
        <w:rPr>
          <w:rFonts w:ascii="Arial" w:eastAsia="Arial" w:hAnsi="Arial"/>
          <w:i/>
          <w:color w:val="000000"/>
          <w:sz w:val="21"/>
          <w:u w:val="single"/>
        </w:rPr>
        <w:t xml:space="preserve">(specify) </w:t>
      </w:r>
      <w:r>
        <w:rPr>
          <w:rFonts w:ascii="Arial" w:eastAsia="Arial" w:hAnsi="Arial"/>
          <w:color w:val="000000"/>
          <w:sz w:val="26"/>
        </w:rPr>
        <w:t xml:space="preserve"> by means of a deadly weapon [or dangerous instrument]; and</w:t>
      </w:r>
    </w:p>
    <w:p w14:paraId="47F7C722" w14:textId="77777777" w:rsidR="00BB4353" w:rsidRDefault="00315549">
      <w:pPr>
        <w:numPr>
          <w:ilvl w:val="0"/>
          <w:numId w:val="2"/>
        </w:numPr>
        <w:tabs>
          <w:tab w:val="clear" w:pos="360"/>
          <w:tab w:val="left" w:pos="1080"/>
        </w:tabs>
        <w:spacing w:before="288" w:line="30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That the defendant did so with the intent to cause physical injury to </w:t>
      </w:r>
      <w:r>
        <w:rPr>
          <w:rFonts w:ascii="Arial" w:eastAsia="Arial" w:hAnsi="Arial"/>
          <w:i/>
          <w:color w:val="000000"/>
          <w:sz w:val="21"/>
          <w:u w:val="single"/>
        </w:rPr>
        <w:t xml:space="preserve"> (specify) </w:t>
      </w:r>
      <w:r>
        <w:rPr>
          <w:rFonts w:ascii="Arial" w:eastAsia="Arial" w:hAnsi="Arial"/>
          <w:color w:val="000000"/>
          <w:sz w:val="26"/>
        </w:rPr>
        <w:t xml:space="preserve"> .</w:t>
      </w:r>
    </w:p>
    <w:p w14:paraId="47F7C723" w14:textId="77777777" w:rsidR="00BB4353" w:rsidRDefault="00315549">
      <w:pPr>
        <w:spacing w:before="294" w:line="297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26"/>
        </w:rPr>
      </w:pPr>
      <w:r>
        <w:rPr>
          <w:rFonts w:ascii="Arial" w:eastAsia="Arial" w:hAnsi="Arial"/>
          <w:color w:val="000000"/>
          <w:spacing w:val="-5"/>
          <w:sz w:val="26"/>
        </w:rPr>
        <w:t>If you find the People have proven beyond a reasonable doubt both of those elements, you must find the defendant guilty of this crime.</w:t>
      </w:r>
    </w:p>
    <w:p w14:paraId="47F7C724" w14:textId="77777777" w:rsidR="00BB4353" w:rsidRDefault="00315549">
      <w:pPr>
        <w:spacing w:before="302" w:after="274" w:line="298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If you find the People have not proven beyond a reasonable doubt either one or both of those elements, you must find the defendant not guilty of this crime.</w:t>
      </w:r>
    </w:p>
    <w:p w14:paraId="47F7C725" w14:textId="77777777" w:rsidR="00BB4353" w:rsidRDefault="00315549">
      <w:pPr>
        <w:spacing w:before="254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47F7C72B">
          <v:line id="_x0000_s1026" style="position:absolute;left:0;text-align:left;z-index:251658240;mso-position-horizontal-relative:page;mso-position-vertical-relative:page" from="107.85pt,500.4pt" to="252.05pt,500.4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color w:val="000000"/>
          <w:sz w:val="24"/>
        </w:rPr>
        <w:t xml:space="preserve"> Penal Law § 10.00(12) defines "deadly weapon." See Penal Law § 265.00 for the definitions of "sw</w:t>
      </w:r>
      <w:r>
        <w:rPr>
          <w:rFonts w:ascii="Arial" w:eastAsia="Arial" w:hAnsi="Arial"/>
          <w:color w:val="000000"/>
          <w:sz w:val="24"/>
        </w:rPr>
        <w:t>itchblade knife," "gravity knife," "pilum ballistic knife" and "metal knuckle knife"; People v. Aragon, 28 N.Y.3d 125 (2016) (for the definition of "metal knuckles"); People v. Ocasio, 28 N.Y.3d 178 (2016) (for the definition of "billy").</w:t>
      </w:r>
    </w:p>
    <w:p w14:paraId="47F7C726" w14:textId="77777777" w:rsidR="00BB4353" w:rsidRDefault="00315549">
      <w:pPr>
        <w:spacing w:line="276" w:lineRule="exact"/>
        <w:ind w:firstLine="288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There is no contr</w:t>
      </w:r>
      <w:r>
        <w:rPr>
          <w:rFonts w:ascii="Arial" w:eastAsia="Arial" w:hAnsi="Arial"/>
          <w:color w:val="000000"/>
          <w:sz w:val="24"/>
        </w:rPr>
        <w:t>olling statutory or decisional law definition of "plastic knuckles" albeit the legislative memorandum in support of adding that term equated it with "brass [metal] knuckles"; thus, for the definition of "plastic knuckles," a court may wish to consider usin</w:t>
      </w:r>
      <w:r>
        <w:rPr>
          <w:rFonts w:ascii="Arial" w:eastAsia="Arial" w:hAnsi="Arial"/>
          <w:color w:val="000000"/>
          <w:sz w:val="24"/>
        </w:rPr>
        <w:t>g the definition of "metal knuckles," substituting "plastic object" for "metal object" and "plastic bar" for "metal bar."</w:t>
      </w:r>
    </w:p>
    <w:p w14:paraId="47F7C727" w14:textId="77777777" w:rsidR="00BB4353" w:rsidRDefault="00315549">
      <w:pPr>
        <w:spacing w:before="231" w:line="277" w:lineRule="exact"/>
        <w:ind w:left="288"/>
        <w:textAlignment w:val="baseline"/>
        <w:rPr>
          <w:rFonts w:ascii="Arial" w:eastAsia="Arial" w:hAnsi="Arial"/>
          <w:color w:val="000000"/>
          <w:spacing w:val="-1"/>
          <w:sz w:val="14"/>
          <w:vertAlign w:val="superscript"/>
        </w:rPr>
      </w:pPr>
      <w:r>
        <w:rPr>
          <w:rFonts w:ascii="Arial" w:eastAsia="Arial" w:hAnsi="Arial"/>
          <w:color w:val="000000"/>
          <w:spacing w:val="-1"/>
          <w:sz w:val="14"/>
          <w:vertAlign w:val="superscript"/>
        </w:rPr>
        <w:t>5</w:t>
      </w:r>
      <w:r>
        <w:rPr>
          <w:rFonts w:ascii="Arial" w:eastAsia="Arial" w:hAnsi="Arial"/>
          <w:color w:val="000000"/>
          <w:spacing w:val="-1"/>
          <w:sz w:val="24"/>
        </w:rPr>
        <w:t xml:space="preserve"> Penal Law § 10.00(13).</w:t>
      </w:r>
    </w:p>
    <w:p w14:paraId="47F7C728" w14:textId="77777777" w:rsidR="00BB4353" w:rsidRDefault="00315549">
      <w:pPr>
        <w:spacing w:before="241" w:line="277" w:lineRule="exact"/>
        <w:ind w:left="288"/>
        <w:textAlignment w:val="baseline"/>
        <w:rPr>
          <w:rFonts w:ascii="Arial" w:eastAsia="Arial" w:hAnsi="Arial"/>
          <w:color w:val="000000"/>
          <w:spacing w:val="-1"/>
          <w:sz w:val="14"/>
          <w:vertAlign w:val="superscript"/>
        </w:rPr>
      </w:pPr>
      <w:r>
        <w:rPr>
          <w:rFonts w:ascii="Arial" w:eastAsia="Arial" w:hAnsi="Arial"/>
          <w:color w:val="000000"/>
          <w:spacing w:val="-1"/>
          <w:sz w:val="14"/>
          <w:vertAlign w:val="superscript"/>
        </w:rPr>
        <w:t>6</w:t>
      </w:r>
      <w:r>
        <w:rPr>
          <w:rFonts w:ascii="Arial" w:eastAsia="Arial" w:hAnsi="Arial"/>
          <w:color w:val="000000"/>
          <w:spacing w:val="-1"/>
          <w:sz w:val="24"/>
        </w:rPr>
        <w:t xml:space="preserve"> Penal Law § 10.00(10).</w:t>
      </w:r>
    </w:p>
    <w:p w14:paraId="47F7C729" w14:textId="77777777" w:rsidR="00BB4353" w:rsidRDefault="00315549">
      <w:pPr>
        <w:spacing w:before="243" w:line="205" w:lineRule="exact"/>
        <w:jc w:val="center"/>
        <w:textAlignment w:val="baseline"/>
        <w:rPr>
          <w:rFonts w:ascii="Arial" w:eastAsia="Arial" w:hAnsi="Arial"/>
          <w:color w:val="000000"/>
          <w:spacing w:val="3"/>
          <w:sz w:val="18"/>
        </w:rPr>
      </w:pPr>
      <w:r>
        <w:rPr>
          <w:rFonts w:ascii="Arial" w:eastAsia="Arial" w:hAnsi="Arial"/>
          <w:color w:val="000000"/>
          <w:spacing w:val="3"/>
          <w:sz w:val="18"/>
        </w:rPr>
        <w:t>Page 3 of 3</w:t>
      </w:r>
    </w:p>
    <w:sectPr w:rsidR="00BB4353">
      <w:pgSz w:w="12240" w:h="15840"/>
      <w:pgMar w:top="1040" w:right="2143" w:bottom="664" w:left="2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5183"/>
    <w:multiLevelType w:val="multilevel"/>
    <w:tmpl w:val="9ABE020E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31394"/>
    <w:multiLevelType w:val="multilevel"/>
    <w:tmpl w:val="A4E0D4A6"/>
    <w:lvl w:ilvl="0"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353"/>
    <w:rsid w:val="00315549"/>
    <w:rsid w:val="00B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F7C703"/>
  <w15:docId w15:val="{D3DE2C89-5BEE-4472-BB84-8E76B708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2020-05-27T04:35:00Z</dcterms:created>
  <dcterms:modified xsi:type="dcterms:W3CDTF">2020-05-27T04:36:00Z</dcterms:modified>
</cp:coreProperties>
</file>