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(Unlawful Administration of Drugs)</w:t>
        <w:br/>
      </w:r>
      <w:r>
        <w:rPr>
          <w:rFonts w:ascii="Arial" w:hAnsi="Arial" w:eastAsia="Arial"/>
          <w:b w:val="true"/>
          <w:color w:val="000000"/>
          <w:spacing w:val="0"/>
          <w:w w:val="100"/>
          <w:sz w:val="28"/>
          <w:vertAlign w:val="baseline"/>
          <w:lang w:val="en-US"/>
        </w:rPr>
        <w:t xml:space="preserve">Penal Law § 120.05(5)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645" w:after="0" w:line="321"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18"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for a purpose other than lawful medical or therapeutic treatment, that person intentionally causes stupor, unconsciousness, or other physical impairment or injury to another by administering to such other person, without his or her consent, a drug, substance, or preparation capable of producing the same.</w:t>
      </w:r>
    </w:p>
    <w:p>
      <w:pPr>
        <w:pageBreakBefore w:val="false"/>
        <w:spacing w:before="32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5"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causes stupor, unconsciousness, or other physical impairment or injury to another, when that person's conscious objective or purpose is to do so.</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8"/>
          <w:vertAlign w:val="baseline"/>
          <w:lang w:val="en-US"/>
        </w:rPr>
        <w:t xml:space="preserve">
</w:t>
      </w:r>
    </w:p>
    <w:p>
      <w:pPr>
        <w:pageBreakBefore w:val="false"/>
        <w:spacing w:before="331"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1440"/>
          <w:tab w:val="left" w:pos="2160"/>
        </w:tabs>
        <w:spacing w:before="334"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intentionally caused stupor, unconsciousness, or other physical impairment or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1440"/>
          <w:tab w:val="left" w:pos="2160"/>
        </w:tabs>
        <w:spacing w:before="319" w:after="53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intentionally administering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without his/her consent, a drug, substance or preparation capable of producing stupor, unconsciousness, other physical impairment or injury; and</w:t>
      </w:r>
    </w:p>
    <w:p>
      <w:pPr>
        <w:pageBreakBefore w:val="false"/>
        <w:tabs>
          <w:tab w:val="left" w:leader="none" w:pos="720"/>
        </w:tabs>
        <w:spacing w:before="122" w:after="0" w:line="276" w:lineRule="exact"/>
        <w:ind w:right="0" w:left="288" w:firstLine="0"/>
        <w:jc w:val="left"/>
        <w:textAlignment w:val="baseline"/>
        <w:rPr>
          <w:rFonts w:ascii="Arial" w:hAnsi="Arial" w:eastAsia="Arial"/>
          <w:color w:val="000000"/>
          <w:spacing w:val="-1"/>
          <w:w w:val="100"/>
          <w:sz w:val="16"/>
          <w:vertAlign w:val="baseline"/>
          <w:lang w:val="en-US"/>
        </w:rPr>
      </w:pPr>
      <w:r>
        <w:pict>
          <v:line strokeweight="0.7pt" strokecolor="#000000" from="108pt,709.2pt" to="252.3pt,709.2pt" style="position:absolute;mso-position-horizontal-relative:page;mso-position-vertical-relative:page;">
            <v:stroke dashstyle="solid"/>
          </v:line>
        </w:pict>
      </w:r>
      <w:r>
        <w:rPr>
          <w:rFonts w:ascii="Arial" w:hAnsi="Arial" w:eastAsia="Arial"/>
          <w:color w:val="000000"/>
          <w:spacing w:val="-1"/>
          <w:w w:val="100"/>
          <w:sz w:val="16"/>
          <w:vertAlign w:val="baseline"/>
          <w:lang w:val="en-US"/>
        </w:rPr>
        <w:t xml:space="preserve">1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Penal Law § 15.05(1).</w:t>
      </w:r>
    </w:p>
    <w:p>
      <w:pPr>
        <w:sectPr>
          <w:type w:val="nextPage"/>
          <w:pgSz w:w="12240" w:h="15840" w:orient="portrait"/>
          <w:pgMar w:bottom="804" w:top="1080" w:right="2140" w:left="2160" w:header="720" w:footer="720"/>
          <w:titlePg w:val="false"/>
          <w:textDirection w:val="lrTb"/>
        </w:sectPr>
      </w:pPr>
    </w:p>
    <w:p>
      <w:pPr>
        <w:pageBreakBefore w:val="false"/>
        <w:tabs>
          <w:tab w:val="right" w:leader="none" w:pos="7920"/>
        </w:tabs>
        <w:spacing w:before="8"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so for a purpose other</w:t>
      </w:r>
    </w:p>
    <w:p>
      <w:pPr>
        <w:pageBreakBefore w:val="false"/>
        <w:spacing w:before="9"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than lawful medical or therapeutic treatment.</w:t>
      </w:r>
    </w:p>
    <w:p>
      <w:pPr>
        <w:pageBreakBefore w:val="false"/>
        <w:spacing w:before="32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proven beyond a reasonable doubt each of those elements, you must find the defendant guilty of this crime.</w:t>
      </w:r>
    </w:p>
    <w:p>
      <w:pPr>
        <w:pageBreakBefore w:val="false"/>
        <w:spacing w:before="295" w:after="0" w:line="348" w:lineRule="exact"/>
        <w:ind w:right="72"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this crime.</w:t>
      </w:r>
    </w:p>
    <w:sectPr>
      <w:type w:val="nextPage"/>
      <w:pgSz w:w="12240" w:h="15840" w:orient="portrait"/>
      <w:pgMar w:bottom="11064" w:top="108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144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