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(Assault of Student)</w:t>
        <w:br/>
      </w:r>
      <w:r>
        <w:rPr>
          <w:rFonts w:ascii="Arial" w:hAnsi="Arial" w:eastAsia="Arial"/>
          <w:b w:val="true"/>
          <w:color w:val="000000"/>
          <w:spacing w:val="0"/>
          <w:w w:val="100"/>
          <w:sz w:val="28"/>
          <w:vertAlign w:val="baseline"/>
          <w:lang w:val="en-US"/>
        </w:rPr>
        <w:t xml:space="preserve">Penal Law § 120.05(10)(b)</w:t>
        <w:br/>
      </w:r>
      <w:r>
        <w:rPr>
          <w:rFonts w:ascii="Arial" w:hAnsi="Arial" w:eastAsia="Arial"/>
          <w:b w:val="true"/>
          <w:color w:val="000000"/>
          <w:spacing w:val="0"/>
          <w:w w:val="100"/>
          <w:sz w:val="28"/>
          <w:vertAlign w:val="baseline"/>
          <w:lang w:val="en-US"/>
        </w:rPr>
        <w:t xml:space="preserve">(Committed on or after November 1, 2000)</w:t>
      </w:r>
    </w:p>
    <w:p>
      <w:pPr>
        <w:pageBreakBefore w:val="false"/>
        <w:spacing w:before="323"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acting at a place the person knows, or reasonably should know, is on school grounds and with intent to cause physical injury, he or she, not being a student of such school or public school district, causes physical injury to another, and such other person is a student of such school who is attending or present for educational purposes.</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SCHOOL GROUNDS means in or on or within any building, structure, athletic playing field, playground or land contained within the real property boundary line of a public or private elementary, parochial, intermediate, junior high, vocational, or high school, or any area accessible to the public located within one thousand feet of the real property boundary line comprising any such school [or any parked automobile or other parked vehicle located within one thousand feet of the real property boundary line comprising any such school]. An "area accessible to the public" means sidewalks, streets, parking lots, parks, playgrounds, stores and restaurants.</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1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4" w:after="1224"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INTENT means conscious objective or purpose. Thus, a person acts with intent to cause physical injury when that person's</w:t>
      </w:r>
    </w:p>
    <w:p>
      <w:pPr>
        <w:pageBreakBefore w:val="false"/>
        <w:spacing w:before="259"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85.2pt" to="252.05pt,685.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Penal Law § 220.00(14).</w:t>
      </w:r>
    </w:p>
    <w:p>
      <w:pPr>
        <w:pageBreakBefore w:val="false"/>
        <w:spacing w:before="246" w:after="0" w:line="295" w:lineRule="exact"/>
        <w:ind w:right="0" w:left="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2</w:t>
      </w:r>
      <w:r>
        <w:rPr>
          <w:rFonts w:ascii="Arial" w:hAnsi="Arial" w:eastAsia="Arial"/>
          <w:color w:val="000000"/>
          <w:spacing w:val="-1"/>
          <w:w w:val="100"/>
          <w:sz w:val="26"/>
          <w:vertAlign w:val="baseline"/>
          <w:lang w:val="en-US"/>
        </w:rPr>
        <w:t xml:space="preserve"> Penal Law § 10.00(9); </w:t>
      </w:r>
      <w:r>
        <w:rPr>
          <w:rFonts w:ascii="Arial" w:hAnsi="Arial" w:eastAsia="Arial"/>
          <w:i w:val="true"/>
          <w:color w:val="000000"/>
          <w:spacing w:val="-1"/>
          <w:w w:val="100"/>
          <w:sz w:val="26"/>
          <w:vertAlign w:val="baseline"/>
          <w:lang w:val="en-US"/>
        </w:rPr>
        <w:t xml:space="preserve">See People v. Chiddick</w:t>
      </w:r>
      <w:r>
        <w:rPr>
          <w:rFonts w:ascii="Arial" w:hAnsi="Arial" w:eastAsia="Arial"/>
          <w:color w:val="000000"/>
          <w:spacing w:val="-1"/>
          <w:w w:val="100"/>
          <w:sz w:val="26"/>
          <w:vertAlign w:val="baseline"/>
          <w:lang w:val="en-US"/>
        </w:rPr>
        <w:t xml:space="preserve">, 8 NY3d 445 (2007).</w:t>
      </w:r>
    </w:p>
    <w:p>
      <w:pPr>
        <w:sectPr>
          <w:type w:val="nextPage"/>
          <w:pgSz w:w="12240" w:h="15840" w:orient="portrait"/>
          <w:pgMar w:bottom="624" w:top="1080" w:right="2140" w:left="2160"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648"/>
          <w:tab w:val="left" w:pos="1440"/>
        </w:tabs>
        <w:spacing w:before="329" w:after="0" w:line="322" w:lineRule="exact"/>
        <w:ind w:right="0" w:left="1440" w:hanging="648"/>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date</w:t>
      </w:r>
      <w:r>
        <w:rPr>
          <w:rFonts w:ascii="Arial" w:hAnsi="Arial" w:eastAsia="Arial"/>
          <w:color w:val="000000"/>
          <w:spacing w:val="-2"/>
          <w:w w:val="100"/>
          <w:sz w:val="28"/>
          <w:u w:val="single"/>
          <w:vertAlign w:val="baseline"/>
          <w:lang w:val="en-US"/>
        </w:rPr>
        <w:t xml:space="preserve">) </w:t>
      </w:r>
      <w:r>
        <w:rPr>
          <w:rFonts w:ascii="Arial" w:hAnsi="Arial" w:eastAsia="Arial"/>
          <w:color w:val="000000"/>
          <w:spacing w:val="-2"/>
          <w:w w:val="100"/>
          <w:sz w:val="28"/>
          <w:vertAlign w:val="baseline"/>
          <w:lang w:val="en-US"/>
        </w:rPr>
        <w:t xml:space="preserve"> , in the county of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county</w:t>
      </w:r>
      <w:r>
        <w:rPr>
          <w:rFonts w:ascii="Arial" w:hAnsi="Arial" w:eastAsia="Arial"/>
          <w:color w:val="000000"/>
          <w:spacing w:val="-2"/>
          <w:w w:val="100"/>
          <w:sz w:val="28"/>
          <w:u w:val="single"/>
          <w:vertAlign w:val="baseline"/>
          <w:lang w:val="en-US"/>
        </w:rPr>
        <w:t xml:space="preserve">) </w:t>
      </w:r>
      <w:r>
        <w:rPr>
          <w:rFonts w:ascii="Arial" w:hAnsi="Arial" w:eastAsia="Arial"/>
          <w:color w:val="000000"/>
          <w:spacing w:val="-2"/>
          <w:w w:val="100"/>
          <w:sz w:val="28"/>
          <w:vertAlign w:val="baseline"/>
          <w:lang w:val="en-US"/>
        </w:rPr>
        <w:t xml:space="preserve"> , the defendant, </w:t>
      </w:r>
      <w:r>
        <w:rPr>
          <w:rFonts w:ascii="Arial" w:hAnsi="Arial" w:eastAsia="Arial"/>
          <w:color w:val="000000"/>
          <w:spacing w:val="-2"/>
          <w:w w:val="100"/>
          <w:sz w:val="28"/>
          <w:u w:val="single"/>
          <w:vertAlign w:val="baseline"/>
          <w:lang w:val="en-US"/>
        </w:rPr>
        <w:t xml:space="preserve"> (</w:t>
      </w:r>
      <w:r>
        <w:rPr>
          <w:rFonts w:ascii="Arial" w:hAnsi="Arial" w:eastAsia="Arial"/>
          <w:i w:val="true"/>
          <w:color w:val="000000"/>
          <w:spacing w:val="-2"/>
          <w:w w:val="100"/>
          <w:sz w:val="28"/>
          <w:u w:val="single"/>
          <w:vertAlign w:val="baseline"/>
          <w:lang w:val="en-US"/>
        </w:rPr>
        <w:t xml:space="preserve">defendant's name</w:t>
      </w:r>
      <w:r>
        <w:rPr>
          <w:rFonts w:ascii="Arial" w:hAnsi="Arial" w:eastAsia="Arial"/>
          <w:color w:val="000000"/>
          <w:spacing w:val="-2"/>
          <w:w w:val="100"/>
          <w:sz w:val="28"/>
          <w:u w:val="single"/>
          <w:vertAlign w:val="baseline"/>
          <w:lang w:val="en-US"/>
        </w:rPr>
        <w:t xml:space="preserve">),</w:t>
      </w:r>
      <w:r>
        <w:rPr>
          <w:rFonts w:ascii="Arial" w:hAnsi="Arial" w:eastAsia="Arial"/>
          <w:color w:val="000000"/>
          <w:spacing w:val="-2"/>
          <w:w w:val="100"/>
          <w:sz w:val="28"/>
          <w:vertAlign w:val="baseline"/>
          <w:lang w:val="en-US"/>
        </w:rPr>
        <w:t xml:space="preserve"> caused physical injury to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baseline"/>
          <w:lang w:val="en-US"/>
        </w:rPr>
        <w:t xml:space="preserve">) who was a student of such school who was attending or present for educational purposes;</w:t>
      </w:r>
    </w:p>
    <w:p>
      <w:pPr>
        <w:pageBreakBefore w:val="false"/>
        <w:numPr>
          <w:ilvl w:val="0"/>
          <w:numId w:val="1"/>
        </w:numPr>
        <w:tabs>
          <w:tab w:val="clear" w:pos="648"/>
          <w:tab w:val="left" w:pos="1440"/>
        </w:tabs>
        <w:spacing w:before="333" w:after="0" w:line="322"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cause physical injury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22"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on school grounds and the defendant knew or reasonably should have known he/she was on school grounds.</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358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3580" w:line="324" w:lineRule="exact"/>
        <w:sectPr>
          <w:type w:val="nextPage"/>
          <w:pgSz w:w="12240" w:h="15840" w:orient="portrait"/>
          <w:pgMar w:bottom="664" w:top="1040" w:right="2145" w:left="2153" w:header="720" w:footer="720"/>
          <w:titlePg w:val="false"/>
          <w:textDirection w:val="lrTb"/>
        </w:sectPr>
      </w:pPr>
    </w:p>
    <w:p>
      <w:pPr>
        <w:pageBreakBefore w:val="false"/>
        <w:spacing w:before="264" w:after="0" w:line="297" w:lineRule="exact"/>
        <w:ind w:right="0" w:left="0" w:firstLine="0"/>
        <w:jc w:val="both"/>
        <w:textAlignment w:val="baseline"/>
        <w:rPr>
          <w:rFonts w:ascii="Arial" w:hAnsi="Arial" w:eastAsia="Arial"/>
          <w:color w:val="000000"/>
          <w:spacing w:val="0"/>
          <w:w w:val="100"/>
          <w:sz w:val="16"/>
          <w:vertAlign w:val="superscript"/>
          <w:lang w:val="en-US"/>
        </w:rPr>
      </w:pPr>
      <w:r>
        <w:pict>
          <v:line strokeweight="1.2pt" strokecolor="#000000" from="107.65pt,655.45pt" to="252.05pt,655.4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 15.05(1). If necessary, an expanded definition of "intent" is available in the section on Instructions of General Applicability under Culpable Mental States.</w:t>
      </w:r>
    </w:p>
    <w:p>
      <w:pPr>
        <w:pageBreakBefore w:val="false"/>
        <w:spacing w:before="241"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sectPr>
      <w:type w:val="continuous"/>
      <w:pgSz w:w="12240" w:h="15840" w:orient="portrait"/>
      <w:pgMar w:bottom="664" w:top="10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