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2"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AGGRAVATED ASSAULT UPON A PERSON</w:t>
        <w:br/>
      </w:r>
      <w:r>
        <w:rPr>
          <w:rFonts w:ascii="Arial" w:hAnsi="Arial" w:eastAsia="Arial"/>
          <w:b w:val="true"/>
          <w:color w:val="000000"/>
          <w:spacing w:val="0"/>
          <w:w w:val="100"/>
          <w:sz w:val="28"/>
          <w:vertAlign w:val="baseline"/>
          <w:lang w:val="en-US"/>
        </w:rPr>
        <w:t xml:space="preserve">LESS THAN ELEVEN (11) YEARS OLD</w:t>
        <w:br/>
      </w:r>
      <w:r>
        <w:rPr>
          <w:rFonts w:ascii="Arial" w:hAnsi="Arial" w:eastAsia="Arial"/>
          <w:b w:val="true"/>
          <w:color w:val="000000"/>
          <w:spacing w:val="0"/>
          <w:w w:val="100"/>
          <w:sz w:val="28"/>
          <w:vertAlign w:val="baseline"/>
          <w:lang w:val="en-US"/>
        </w:rPr>
        <w:t xml:space="preserve">Penal Law § 120.12</w:t>
        <w:br/>
      </w:r>
      <w:r>
        <w:rPr>
          <w:rFonts w:ascii="Arial" w:hAnsi="Arial" w:eastAsia="Arial"/>
          <w:b w:val="true"/>
          <w:color w:val="000000"/>
          <w:spacing w:val="0"/>
          <w:w w:val="100"/>
          <w:sz w:val="28"/>
          <w:vertAlign w:val="baseline"/>
          <w:lang w:val="en-US"/>
        </w:rPr>
        <w:t xml:space="preserve">(Committed on or after July 29, 2013)</w:t>
        <w:br/>
      </w:r>
      <w:r>
        <w:rPr>
          <w:rFonts w:ascii="Arial" w:hAnsi="Arial" w:eastAsia="Arial"/>
          <w:b w:val="true"/>
          <w:color w:val="000000"/>
          <w:spacing w:val="0"/>
          <w:w w:val="100"/>
          <w:sz w:val="28"/>
          <w:vertAlign w:val="baseline"/>
          <w:lang w:val="en-US"/>
        </w:rPr>
        <w:t xml:space="preserve">Revised October 2013</w:t>
      </w:r>
      <w:r>
        <w:rPr>
          <w:rFonts w:ascii="Arial" w:hAnsi="Arial" w:eastAsia="Arial"/>
          <w:b w:val="true"/>
          <w:color w:val="000000"/>
          <w:spacing w:val="0"/>
          <w:w w:val="100"/>
          <w:sz w:val="28"/>
          <w:vertAlign w:val="superscript"/>
          <w:lang w:val="en-US"/>
        </w:rPr>
        <w:t xml:space="preserve">1</w:t>
      </w:r>
      <w:r>
        <w:rPr>
          <w:rFonts w:ascii="Arial" w:hAnsi="Arial" w:eastAsia="Arial"/>
          <w:b w:val="true"/>
          <w:color w:val="000000"/>
          <w:spacing w:val="0"/>
          <w:w w:val="100"/>
          <w:sz w:val="17"/>
          <w:vertAlign w:val="baseline"/>
          <w:lang w:val="en-US"/>
        </w:rPr>
        <w:t xml:space="preserve">
</w:t>
      </w:r>
    </w:p>
    <w:p>
      <w:pPr>
        <w:pageBreakBefore w:val="false"/>
        <w:spacing w:before="651"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Aggravated Assault Upon a Person Less Than Eleven (11) Years Old.</w:t>
      </w:r>
    </w:p>
    <w:p>
      <w:pPr>
        <w:pageBreakBefore w:val="false"/>
        <w:spacing w:before="313"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Aggravated Assault Upon a Person Less Than Eleven Years Old when, being eighteen (18) years old or more, that person commits the crime of assault in the third degree upon a person less than eleven (11) years old.</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34" w:after="0" w:line="321" w:lineRule="exact"/>
        <w:ind w:right="0" w:left="0" w:firstLine="72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the appropriate Assault in the Third Degree Charge:</w:t>
      </w:r>
    </w:p>
    <w:p>
      <w:pPr>
        <w:pageBreakBefore w:val="false"/>
        <w:spacing w:before="0"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assault in the third degree...]</w:t>
      </w:r>
    </w:p>
    <w:p>
      <w:pPr>
        <w:pageBreakBefore w:val="false"/>
        <w:spacing w:before="316" w:after="628" w:line="325"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spacing w:before="298" w:after="0" w:line="277" w:lineRule="exact"/>
        <w:ind w:right="0" w:left="0" w:firstLine="720"/>
        <w:jc w:val="both"/>
        <w:textAlignment w:val="baseline"/>
        <w:rPr>
          <w:rFonts w:ascii="Arial" w:hAnsi="Arial" w:eastAsia="Arial"/>
          <w:color w:val="000000"/>
          <w:spacing w:val="-2"/>
          <w:w w:val="100"/>
          <w:sz w:val="17"/>
          <w:vertAlign w:val="baseline"/>
          <w:lang w:val="en-US"/>
        </w:rPr>
      </w:pPr>
      <w:r>
        <w:pict>
          <v:line strokeweight="0.95pt" strokecolor="#000000" from="108pt,476.9pt" to="252.05pt,476.9pt" style="position:absolute;mso-position-horizontal-relative:page;mso-position-vertical-relative:page;">
            <v:stroke dashstyle="solid"/>
          </v:line>
        </w:pict>
      </w:r>
      <w:r>
        <w:rPr>
          <w:rFonts w:ascii="Arial" w:hAnsi="Arial" w:eastAsia="Arial"/>
          <w:color w:val="000000"/>
          <w:spacing w:val="-2"/>
          <w:w w:val="100"/>
          <w:sz w:val="17"/>
          <w:vertAlign w:val="baseline"/>
          <w:lang w:val="en-US"/>
        </w:rPr>
        <w:t xml:space="preserve">1 </w:t>
      </w:r>
      <w:r>
        <w:rPr>
          <w:rFonts w:ascii="Arial" w:hAnsi="Arial" w:eastAsia="Arial"/>
          <w:color w:val="000000"/>
          <w:spacing w:val="-2"/>
          <w:w w:val="100"/>
          <w:sz w:val="24"/>
          <w:vertAlign w:val="baseline"/>
          <w:lang w:val="en-US"/>
        </w:rPr>
        <w:t xml:space="preserve">The statute was amended, effective July 29, 2013 (L 2013, ch 172), to increase to ten years the “look-back” period which is specified in the element of the crime set forth in footnote two. For crimes occurring between November 1, 1990 and July 29, 2013, that “look-back” period is three years.</w:t>
      </w:r>
    </w:p>
    <w:p>
      <w:pPr>
        <w:pageBreakBefore w:val="false"/>
        <w:spacing w:before="238" w:after="0" w:line="277" w:lineRule="exact"/>
        <w:ind w:right="0" w:left="0" w:firstLine="0"/>
        <w:jc w:val="center"/>
        <w:textAlignment w:val="baseline"/>
        <w:rPr>
          <w:rFonts w:ascii="Arial" w:hAnsi="Arial" w:eastAsia="Arial"/>
          <w:color w:val="000000"/>
          <w:spacing w:val="0"/>
          <w:w w:val="100"/>
          <w:sz w:val="17"/>
          <w:vertAlign w:val="baseline"/>
          <w:lang w:val="en-US"/>
        </w:rPr>
      </w:pPr>
      <w:r>
        <w:rPr>
          <w:rFonts w:ascii="Arial" w:hAnsi="Arial" w:eastAsia="Arial"/>
          <w:color w:val="000000"/>
          <w:spacing w:val="0"/>
          <w:w w:val="100"/>
          <w:sz w:val="17"/>
          <w:vertAlign w:val="baseline"/>
          <w:lang w:val="en-US"/>
        </w:rPr>
        <w:t xml:space="preserve">2 </w:t>
      </w:r>
      <w:r>
        <w:rPr>
          <w:rFonts w:ascii="Arial" w:hAnsi="Arial" w:eastAsia="Arial"/>
          <w:color w:val="000000"/>
          <w:spacing w:val="0"/>
          <w:w w:val="100"/>
          <w:sz w:val="24"/>
          <w:vertAlign w:val="baseline"/>
          <w:lang w:val="en-US"/>
        </w:rPr>
        <w:t xml:space="preserve">An additional element of this crime is that the defendant</w:t>
      </w:r>
    </w:p>
    <w:p>
      <w:pPr>
        <w:pageBreakBefore w:val="false"/>
        <w:spacing w:before="275" w:after="0" w:line="277" w:lineRule="exact"/>
        <w:ind w:right="0" w:left="144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“has been previously convicted of such crime upon a person less than eleven years old within the preceding ten years.”</w:t>
      </w:r>
    </w:p>
    <w:p>
      <w:pPr>
        <w:pageBreakBefore w:val="false"/>
        <w:spacing w:before="270" w:after="0" w:line="277" w:lineRule="exact"/>
        <w:ind w:right="0" w:left="0" w:firstLine="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That element must be charged in a special information. The defendant must be arraigned upon it in accordance with the procedure set forth in CPL 200.60 (3). If, upon such arraignment, the defendant admits the element, the court must not make any reference to it in the definition of the offense or in listing the elements of the offense. But if the defendant denies the element or remains mute, the court must add the element to the definition of the offense and the list of elements.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CPL 200.60; </w:t>
      </w:r>
      <w:r>
        <w:rPr>
          <w:rFonts w:ascii="Arial" w:hAnsi="Arial" w:eastAsia="Arial"/>
          <w:i w:val="true"/>
          <w:color w:val="000000"/>
          <w:spacing w:val="0"/>
          <w:w w:val="100"/>
          <w:sz w:val="24"/>
          <w:vertAlign w:val="baseline"/>
          <w:lang w:val="en-US"/>
        </w:rPr>
        <w:t xml:space="preserve">People v Cooper</w:t>
      </w:r>
      <w:r>
        <w:rPr>
          <w:rFonts w:ascii="Arial" w:hAnsi="Arial" w:eastAsia="Arial"/>
          <w:color w:val="000000"/>
          <w:spacing w:val="0"/>
          <w:w w:val="100"/>
          <w:sz w:val="24"/>
          <w:vertAlign w:val="baseline"/>
          <w:lang w:val="en-US"/>
        </w:rPr>
        <w:t xml:space="preserve">, 78 NY2d 476 [1991]).</w:t>
      </w:r>
    </w:p>
    <w:p>
      <w:pPr>
        <w:sectPr>
          <w:type w:val="nextPage"/>
          <w:pgSz w:w="12240" w:h="15840" w:orient="portrait"/>
          <w:pgMar w:bottom="664" w:top="1080" w:right="2140" w:left="2160" w:header="720" w:footer="720"/>
          <w:titlePg w:val="false"/>
          <w:textDirection w:val="lrTb"/>
        </w:sectPr>
      </w:pPr>
    </w:p>
    <w:p>
      <w:pPr>
        <w:pageBreakBefore w:val="false"/>
        <w:numPr>
          <w:ilvl w:val="0"/>
          <w:numId w:val="1"/>
        </w:numPr>
        <w:tabs>
          <w:tab w:val="clear" w:pos="720"/>
          <w:tab w:val="left" w:pos="1440"/>
        </w:tabs>
        <w:spacing w:before="5" w:after="0" w:line="324" w:lineRule="exact"/>
        <w:ind w:right="0" w:left="1440" w:hanging="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That on or about </w:t>
      </w:r>
      <w:r>
        <w:rPr>
          <w:rFonts w:ascii="Arial" w:hAnsi="Arial" w:eastAsia="Arial"/>
          <w:i w:val="true"/>
          <w:color w:val="000000"/>
          <w:spacing w:val="-4"/>
          <w:w w:val="100"/>
          <w:sz w:val="23"/>
          <w:u w:val="single"/>
          <w:vertAlign w:val="baseline"/>
          <w:lang w:val="en-US"/>
        </w:rPr>
        <w:t xml:space="preserve"> (date) </w:t>
      </w:r>
      <w:r>
        <w:rPr>
          <w:rFonts w:ascii="Arial" w:hAnsi="Arial" w:eastAsia="Arial"/>
          <w:color w:val="000000"/>
          <w:spacing w:val="-4"/>
          <w:w w:val="100"/>
          <w:sz w:val="28"/>
          <w:vertAlign w:val="baseline"/>
          <w:lang w:val="en-US"/>
        </w:rPr>
        <w:t xml:space="preserve"> , in the County of </w:t>
      </w:r>
      <w:r>
        <w:rPr>
          <w:rFonts w:ascii="Arial" w:hAnsi="Arial" w:eastAsia="Arial"/>
          <w:i w:val="true"/>
          <w:color w:val="000000"/>
          <w:spacing w:val="-4"/>
          <w:w w:val="100"/>
          <w:sz w:val="23"/>
          <w:u w:val="single"/>
          <w:vertAlign w:val="baseline"/>
          <w:lang w:val="en-US"/>
        </w:rPr>
        <w:t xml:space="preserve"> (County) </w:t>
      </w:r>
      <w:r>
        <w:rPr>
          <w:rFonts w:ascii="Arial" w:hAnsi="Arial" w:eastAsia="Arial"/>
          <w:color w:val="000000"/>
          <w:spacing w:val="-4"/>
          <w:w w:val="100"/>
          <w:sz w:val="28"/>
          <w:vertAlign w:val="baseline"/>
          <w:lang w:val="en-US"/>
        </w:rPr>
        <w:t xml:space="preserve"> , the defendant, </w:t>
      </w:r>
      <w:r>
        <w:rPr>
          <w:rFonts w:ascii="Arial" w:hAnsi="Arial" w:eastAsia="Arial"/>
          <w:i w:val="true"/>
          <w:color w:val="000000"/>
          <w:spacing w:val="-4"/>
          <w:w w:val="100"/>
          <w:sz w:val="23"/>
          <w:u w:val="single"/>
          <w:vertAlign w:val="baseline"/>
          <w:lang w:val="en-US"/>
        </w:rPr>
        <w:t xml:space="preserve"> (defendant's name) </w:t>
      </w:r>
      <w:r>
        <w:rPr>
          <w:rFonts w:ascii="Arial" w:hAnsi="Arial" w:eastAsia="Arial"/>
          <w:color w:val="000000"/>
          <w:spacing w:val="-4"/>
          <w:w w:val="100"/>
          <w:sz w:val="28"/>
          <w:vertAlign w:val="baseline"/>
          <w:lang w:val="en-US"/>
        </w:rPr>
        <w:t xml:space="preserve"> , committed the crime of assault in the third degree, in that the defendant </w:t>
      </w:r>
      <w:r>
        <w:rPr>
          <w:rFonts w:ascii="Arial" w:hAnsi="Arial" w:eastAsia="Arial"/>
          <w:i w:val="true"/>
          <w:color w:val="000000"/>
          <w:spacing w:val="-4"/>
          <w:w w:val="100"/>
          <w:sz w:val="23"/>
          <w:u w:val="single"/>
          <w:vertAlign w:val="baseline"/>
          <w:lang w:val="en-US"/>
        </w:rPr>
        <w:t xml:space="preserve">(specify culpable mental state) </w:t>
      </w:r>
      <w:r>
        <w:rPr>
          <w:rFonts w:ascii="Arial" w:hAnsi="Arial" w:eastAsia="Arial"/>
          <w:color w:val="000000"/>
          <w:spacing w:val="-4"/>
          <w:w w:val="100"/>
          <w:sz w:val="28"/>
          <w:vertAlign w:val="baseline"/>
          <w:lang w:val="en-US"/>
        </w:rPr>
        <w:t xml:space="preserve"> caused physical injury to </w:t>
      </w:r>
      <w:r>
        <w:rPr>
          <w:rFonts w:ascii="Arial" w:hAnsi="Arial" w:eastAsia="Arial"/>
          <w:i w:val="true"/>
          <w:color w:val="000000"/>
          <w:spacing w:val="-4"/>
          <w:w w:val="100"/>
          <w:sz w:val="23"/>
          <w:u w:val="single"/>
          <w:vertAlign w:val="baseline"/>
          <w:lang w:val="en-US"/>
        </w:rPr>
        <w:t xml:space="preserve">(specify) </w:t>
      </w:r>
      <w:r>
        <w:rPr>
          <w:rFonts w:ascii="Arial" w:hAnsi="Arial" w:eastAsia="Arial"/>
          <w:color w:val="000000"/>
          <w:spacing w:val="-4"/>
          <w:w w:val="100"/>
          <w:sz w:val="28"/>
          <w:vertAlign w:val="baseline"/>
          <w:lang w:val="en-US"/>
        </w:rPr>
        <w:t xml:space="preserve"> [</w:t>
      </w:r>
      <w:r>
        <w:rPr>
          <w:rFonts w:ascii="Arial" w:hAnsi="Arial" w:eastAsia="Arial"/>
          <w:i w:val="true"/>
          <w:color w:val="000000"/>
          <w:spacing w:val="-4"/>
          <w:w w:val="100"/>
          <w:sz w:val="28"/>
          <w:vertAlign w:val="baseline"/>
          <w:lang w:val="en-US"/>
        </w:rPr>
        <w:t xml:space="preserve">add, for criminally negligent third degree assault: </w:t>
      </w:r>
      <w:r>
        <w:rPr>
          <w:rFonts w:ascii="Arial" w:hAnsi="Arial" w:eastAsia="Arial"/>
          <w:color w:val="000000"/>
          <w:spacing w:val="-4"/>
          <w:w w:val="100"/>
          <w:sz w:val="28"/>
          <w:vertAlign w:val="baseline"/>
          <w:lang w:val="en-US"/>
        </w:rPr>
        <w:t xml:space="preserve">by means of a deadly weapon (</w:t>
      </w:r>
      <w:r>
        <w:rPr>
          <w:rFonts w:ascii="Arial" w:hAnsi="Arial" w:eastAsia="Arial"/>
          <w:i w:val="true"/>
          <w:color w:val="000000"/>
          <w:spacing w:val="-4"/>
          <w:w w:val="100"/>
          <w:sz w:val="28"/>
          <w:vertAlign w:val="baseline"/>
          <w:lang w:val="en-US"/>
        </w:rPr>
        <w:t xml:space="preserve">or </w:t>
      </w:r>
      <w:r>
        <w:rPr>
          <w:rFonts w:ascii="Arial" w:hAnsi="Arial" w:eastAsia="Arial"/>
          <w:color w:val="000000"/>
          <w:spacing w:val="-4"/>
          <w:w w:val="100"/>
          <w:sz w:val="28"/>
          <w:vertAlign w:val="baseline"/>
          <w:lang w:val="en-US"/>
        </w:rPr>
        <w:t xml:space="preserve">dangerous instrument)];</w:t>
      </w:r>
    </w:p>
    <w:p>
      <w:pPr>
        <w:pageBreakBefore w:val="false"/>
        <w:numPr>
          <w:ilvl w:val="0"/>
          <w:numId w:val="1"/>
        </w:numPr>
        <w:tabs>
          <w:tab w:val="clear" w:pos="720"/>
          <w:tab w:val="left" w:pos="1440"/>
        </w:tabs>
        <w:spacing w:before="316" w:after="0" w:line="327"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at that time, </w:t>
      </w:r>
      <w:r>
        <w:rPr>
          <w:rFonts w:ascii="Arial" w:hAnsi="Arial" w:eastAsia="Arial"/>
          <w:i w:val="true"/>
          <w:color w:val="000000"/>
          <w:spacing w:val="0"/>
          <w:w w:val="100"/>
          <w:sz w:val="23"/>
          <w:u w:val="single"/>
          <w:vertAlign w:val="baseline"/>
          <w:lang w:val="en-US"/>
        </w:rPr>
        <w:t xml:space="preserve"> (name of complainant) </w:t>
      </w:r>
      <w:r>
        <w:rPr>
          <w:rFonts w:ascii="Arial" w:hAnsi="Arial" w:eastAsia="Arial"/>
          <w:color w:val="000000"/>
          <w:spacing w:val="0"/>
          <w:w w:val="100"/>
          <w:sz w:val="28"/>
          <w:vertAlign w:val="baseline"/>
          <w:lang w:val="en-US"/>
        </w:rPr>
        <w:t xml:space="preserve"> was less than eleven (11) years old; and</w:t>
      </w:r>
    </w:p>
    <w:p>
      <w:pPr>
        <w:pageBreakBefore w:val="false"/>
        <w:numPr>
          <w:ilvl w:val="0"/>
          <w:numId w:val="1"/>
        </w:numPr>
        <w:tabs>
          <w:tab w:val="clear" w:pos="720"/>
          <w:tab w:val="left" w:pos="1440"/>
        </w:tabs>
        <w:spacing w:before="335" w:after="0" w:line="318"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at that time, the defendant was eighteen (18) years old or more.</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21"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19" w:after="4442"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19" w:after="4442" w:line="324" w:lineRule="exact"/>
        <w:sectPr>
          <w:type w:val="nextPage"/>
          <w:pgSz w:w="12240" w:h="15840" w:orient="portrait"/>
          <w:pgMar w:bottom="664" w:top="1080" w:right="2138" w:left="2162" w:header="720" w:footer="720"/>
          <w:titlePg w:val="false"/>
          <w:textDirection w:val="lrTb"/>
        </w:sectPr>
      </w:pPr>
    </w:p>
    <w:p>
      <w:pPr>
        <w:pageBreakBefore w:val="false"/>
        <w:spacing w:before="282" w:after="0" w:line="290" w:lineRule="exact"/>
        <w:ind w:right="0" w:left="720" w:firstLine="0"/>
        <w:jc w:val="both"/>
        <w:textAlignment w:val="baseline"/>
        <w:rPr>
          <w:rFonts w:ascii="Arial" w:hAnsi="Arial" w:eastAsia="Arial"/>
          <w:color w:val="000000"/>
          <w:spacing w:val="0"/>
          <w:w w:val="100"/>
          <w:sz w:val="17"/>
          <w:vertAlign w:val="baseline"/>
          <w:lang w:val="en-US"/>
        </w:rPr>
      </w:pPr>
      <w:r>
        <w:pict>
          <v:line strokeweight="1.2pt" strokecolor="#000000" from="107.85pt,617.3pt" to="252.05pt,617.3pt" style="position:absolute;mso-position-horizontal-relative:page;mso-position-vertical-relative:page;">
            <v:stroke dashstyle="solid"/>
          </v:line>
        </w:pict>
      </w:r>
      <w:r>
        <w:rPr>
          <w:rFonts w:ascii="Arial" w:hAnsi="Arial" w:eastAsia="Arial"/>
          <w:color w:val="000000"/>
          <w:spacing w:val="0"/>
          <w:w w:val="100"/>
          <w:sz w:val="17"/>
          <w:vertAlign w:val="baseline"/>
          <w:lang w:val="en-US"/>
        </w:rPr>
        <w:t xml:space="preserve">3 </w:t>
      </w:r>
      <w:r>
        <w:rPr>
          <w:rFonts w:ascii="Arial" w:hAnsi="Arial" w:eastAsia="Arial"/>
          <w:color w:val="000000"/>
          <w:spacing w:val="0"/>
          <w:w w:val="100"/>
          <w:sz w:val="24"/>
          <w:vertAlign w:val="baseline"/>
          <w:lang w:val="en-US"/>
        </w:rPr>
        <w:t xml:space="preserve">If the defendant has denied the previous conviction or has remained mute, add the following:</w:t>
      </w:r>
    </w:p>
    <w:p>
      <w:pPr>
        <w:pageBreakBefore w:val="false"/>
        <w:spacing w:before="276" w:after="0" w:line="276" w:lineRule="exact"/>
        <w:ind w:right="0" w:left="1440" w:firstLine="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“and 4. That the defendant had been previously convicted of such crime upon a person less than eleven years old within the preceding ten years.”</w:t>
      </w:r>
    </w:p>
    <w:p>
      <w:pPr>
        <w:pageBreakBefore w:val="false"/>
        <w:spacing w:before="238" w:after="0" w:line="227"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2</w:t>
      </w:r>
    </w:p>
    <w:sectPr>
      <w:type w:val="continuous"/>
      <w:pgSz w:w="12240" w:h="15840" w:orient="portrait"/>
      <w:pgMar w:bottom="664" w:top="1080" w:right="2143" w:left="2157"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4"/>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