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VEHICULAR MANSLAUGHTER IN THE SECOND DEGREE</w:t>
        <w:br/>
      </w:r>
      <w:r>
        <w:rPr>
          <w:rFonts w:ascii="Arial" w:hAnsi="Arial" w:eastAsia="Arial"/>
          <w:b w:val="true"/>
          <w:strike w:val="false"/>
          <w:color w:val="000000"/>
          <w:spacing w:val="0"/>
          <w:w w:val="100"/>
          <w:sz w:val="28"/>
          <w:vertAlign w:val="baseline"/>
          <w:lang w:val="en-US"/>
        </w:rPr>
        <w:t xml:space="preserve">(Operation of Motor Vehicle)</w:t>
        <w:br/>
      </w:r>
      <w:r>
        <w:rPr>
          <w:rFonts w:ascii="Arial" w:hAnsi="Arial" w:eastAsia="Arial"/>
          <w:b w:val="true"/>
          <w:strike w:val="false"/>
          <w:color w:val="000000"/>
          <w:spacing w:val="0"/>
          <w:w w:val="100"/>
          <w:sz w:val="28"/>
          <w:vertAlign w:val="baseline"/>
          <w:lang w:val="en-US"/>
        </w:rPr>
        <w:t xml:space="preserve">Penal Law § 125.12(1)</w:t>
        <w:br/>
      </w:r>
      <w:r>
        <w:rPr>
          <w:rFonts w:ascii="Arial" w:hAnsi="Arial" w:eastAsia="Arial"/>
          <w:b w:val="true"/>
          <w:strike w:val="false"/>
          <w:color w:val="000000"/>
          <w:spacing w:val="0"/>
          <w:w w:val="100"/>
          <w:sz w:val="28"/>
          <w:vertAlign w:val="baseline"/>
          <w:lang w:val="en-US"/>
        </w:rPr>
        <w:t xml:space="preserve">(Committed on or after November 1, 2006)</w:t>
        <w:br/>
      </w:r>
      <w:r>
        <w:rPr>
          <w:rFonts w:ascii="Arial" w:hAnsi="Arial" w:eastAsia="Arial"/>
          <w:b w:val="true"/>
          <w:strike w:val="false"/>
          <w:color w:val="000000"/>
          <w:spacing w:val="0"/>
          <w:w w:val="100"/>
          <w:sz w:val="28"/>
          <w:vertAlign w:val="baseline"/>
          <w:lang w:val="en-US"/>
        </w:rPr>
        <w:t xml:space="preserve">Revised Jan. 2018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71" w:after="0" w:line="31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Vehicular Manslaughter in the Second Degree.</w:t>
      </w:r>
      <w:r>
        <w:rPr>
          <w:rFonts w:ascii="Arial" w:hAnsi="Arial" w:eastAsia="Arial"/>
          <w:b w:val="true"/>
          <w:strike w:val="false"/>
          <w:color w:val="000000"/>
          <w:spacing w:val="0"/>
          <w:w w:val="100"/>
          <w:sz w:val="28"/>
          <w:vertAlign w:val="superscript"/>
          <w:lang w:val="en-US"/>
        </w:rPr>
        <w:t xml:space="preserve">2</w:t>
      </w:r>
      <w:r>
        <w:rPr>
          <w:rFonts w:ascii="Arial" w:hAnsi="Arial" w:eastAsia="Arial"/>
          <w:b w:val="true"/>
          <w:strike w:val="false"/>
          <w:color w:val="000000"/>
          <w:spacing w:val="0"/>
          <w:w w:val="100"/>
          <w:sz w:val="17"/>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Under our law, a person is guilty of Vehicular Manslaughter in the Second Degree when that person operates a motor vehicle</w:t>
      </w:r>
      <w:r>
        <w:rPr>
          <w:rFonts w:ascii="Arial" w:hAnsi="Arial" w:eastAsia="Arial"/>
          <w:strike w:val="false"/>
          <w:color w:val="000000"/>
          <w:spacing w:val="-6"/>
          <w:w w:val="100"/>
          <w:sz w:val="28"/>
          <w:vertAlign w:val="superscript"/>
          <w:lang w:val="en-US"/>
        </w:rPr>
        <w:t xml:space="preserve">3</w:t>
      </w:r>
      <w:r>
        <w:rPr>
          <w:rFonts w:ascii="Arial" w:hAnsi="Arial" w:eastAsia="Arial"/>
          <w:strike w:val="false"/>
          <w:color w:val="000000"/>
          <w:spacing w:val="-6"/>
          <w:w w:val="100"/>
          <w:sz w:val="17"/>
          <w:vertAlign w:val="baseline"/>
          <w:lang w:val="en-US"/>
        </w:rPr>
        <w:t xml:space="preserve">
</w:t>
      </w:r>
    </w:p>
    <w:p>
      <w:pPr>
        <w:pageBreakBefore w:val="false"/>
        <w:spacing w:before="336"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2" w:after="0" w:line="322" w:lineRule="exact"/>
        <w:ind w:right="72"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while having .08 of one per centum or more by weight of alcohol in his or her blood as shown by chemical analysis of his or her blood, breath, urine or saliva.</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327" w:after="1604" w:line="322"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he or she is in an intoxicated condition.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285" w:after="0" w:line="285" w:lineRule="exact"/>
        <w:ind w:right="0" w:left="0" w:firstLine="0"/>
        <w:jc w:val="both"/>
        <w:textAlignment w:val="baseline"/>
        <w:rPr>
          <w:rFonts w:ascii="Arial" w:hAnsi="Arial" w:eastAsia="Arial"/>
          <w:strike w:val="false"/>
          <w:color w:val="000000"/>
          <w:spacing w:val="0"/>
          <w:w w:val="100"/>
          <w:sz w:val="17"/>
          <w:vertAlign w:val="baseline"/>
          <w:lang w:val="en-US"/>
        </w:rPr>
      </w:pPr>
      <w:r>
        <w:pict>
          <v:line strokeweight="0.95pt" strokecolor="#000000" from="108pt,461.05pt" to="252.05pt,461.0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1 </w:t>
      </w:r>
      <w:r>
        <w:rPr>
          <w:rFonts w:ascii="Arial" w:hAnsi="Arial" w:eastAsia="Arial"/>
          <w:strike w:val="false"/>
          <w:color w:val="000000"/>
          <w:spacing w:val="0"/>
          <w:w w:val="100"/>
          <w:sz w:val="24"/>
          <w:vertAlign w:val="baseline"/>
          <w:lang w:val="en-US"/>
        </w:rPr>
        <w:t xml:space="preserve">The January 2018 revision was for the purpose of adding as an alternative element the provisions of VTL § 1192(4-a).</w:t>
      </w:r>
    </w:p>
    <w:p>
      <w:pPr>
        <w:pageBreakBefore w:val="false"/>
        <w:spacing w:before="290" w:after="0" w:line="279" w:lineRule="exact"/>
        <w:ind w:right="0" w:left="0" w:firstLine="0"/>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4"/>
          <w:vertAlign w:val="baseline"/>
          <w:lang w:val="en-US"/>
        </w:rPr>
        <w:t xml:space="preserve">Charges for the remaining alternatives of Vehicular Manslaughter in the Second Degree are not provided. The format of this charge, however, may be used for those provisions as necessary</w:t>
      </w:r>
      <w:r>
        <w:rPr>
          <w:rFonts w:ascii="Times New Roman" w:hAnsi="Times New Roman" w:eastAsia="Times New Roman"/>
          <w:strike w:val="false"/>
          <w:color w:val="000000"/>
          <w:spacing w:val="0"/>
          <w:w w:val="100"/>
          <w:sz w:val="24"/>
          <w:vertAlign w:val="baseline"/>
          <w:lang w:val="en-US"/>
        </w:rPr>
        <w:t xml:space="preserve">.</w:t>
      </w:r>
    </w:p>
    <w:p>
      <w:pPr>
        <w:pageBreakBefore w:val="false"/>
        <w:spacing w:before="224" w:after="0" w:line="279" w:lineRule="exact"/>
        <w:ind w:right="0" w:left="0" w:firstLine="0"/>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4"/>
          <w:vertAlign w:val="baseline"/>
          <w:lang w:val="en-US"/>
        </w:rPr>
        <w:t xml:space="preserve">At this point, Vehicular Manslaughter in the Second Degree states: “in violation of subdivision two, three or four of section eleven hundred ninety-two of the vehicle and traffic law....” This charge substitutes the operative language of each of those subdivisions. The court should select the appropriate subdivision(s) to charge.</w:t>
      </w:r>
    </w:p>
    <w:p>
      <w:pPr>
        <w:pageBreakBefore w:val="false"/>
        <w:spacing w:before="276" w:after="0" w:line="279" w:lineRule="exact"/>
        <w:ind w:right="0" w:left="0" w:firstLine="0"/>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4 </w:t>
      </w:r>
      <w:r>
        <w:rPr>
          <w:rFonts w:ascii="Arial" w:hAnsi="Arial" w:eastAsia="Arial"/>
          <w:strike w:val="false"/>
          <w:color w:val="000000"/>
          <w:spacing w:val="0"/>
          <w:w w:val="100"/>
          <w:sz w:val="23"/>
          <w:vertAlign w:val="baseline"/>
          <w:lang w:val="en-US"/>
        </w:rPr>
        <w:t xml:space="preserve">Vehicle &amp; Traffic Law § 1192(2). </w:t>
      </w:r>
      <w:r>
        <w:rPr>
          <w:rFonts w:ascii="Arial" w:hAnsi="Arial" w:eastAsia="Arial"/>
          <w:strike w:val="false"/>
          <w:color w:val="000000"/>
          <w:spacing w:val="0"/>
          <w:w w:val="100"/>
          <w:sz w:val="24"/>
          <w:vertAlign w:val="baseline"/>
          <w:lang w:val="en-US"/>
        </w:rPr>
        <w:t xml:space="preserve">At this point, the statute continues: “as shown by chemical analysis of such person's blood, breath, urine or saliva, made pursuant to the provisions of section eleven hundred ninety-four of this article.”</w:t>
      </w:r>
    </w:p>
    <w:p>
      <w:pPr>
        <w:pageBreakBefore w:val="false"/>
        <w:spacing w:before="259" w:after="0" w:line="287"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5 </w:t>
      </w:r>
      <w:r>
        <w:rPr>
          <w:rFonts w:ascii="Arial" w:hAnsi="Arial" w:eastAsia="Arial"/>
          <w:strike w:val="false"/>
          <w:color w:val="000000"/>
          <w:spacing w:val="0"/>
          <w:w w:val="100"/>
          <w:sz w:val="23"/>
          <w:vertAlign w:val="baseline"/>
          <w:lang w:val="en-US"/>
        </w:rPr>
        <w:t xml:space="preserve">Vehicle &amp; Traffic Law § 1192(3).</w:t>
      </w:r>
    </w:p>
    <w:p>
      <w:pPr>
        <w:sectPr>
          <w:type w:val="nextPage"/>
          <w:pgSz w:w="12240" w:h="15840" w:orient="portrait"/>
          <w:pgMar w:bottom="644" w:top="1080" w:right="2140" w:left="2160" w:header="720" w:footer="720"/>
          <w:titlePg w:val="false"/>
          <w:textDirection w:val="lrTb"/>
        </w:sectPr>
      </w:pPr>
    </w:p>
    <w:p>
      <w:pPr>
        <w:pageBreakBefore w:val="false"/>
        <w:tabs>
          <w:tab w:val="left" w:leader="none" w:pos="1440"/>
        </w:tabs>
        <w:spacing w:before="1" w:after="0" w:line="324" w:lineRule="exact"/>
        <w:ind w:right="288"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his or her ability to operate such a vehicle is impaired by the use of a drug.</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tabs>
          <w:tab w:val="left" w:leader="none"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1"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as a result of such intoxication [or impairment by the use of a drug, or by the combined influence of drugs or of alcohol and any drug or drugs], operates such motor vehicle in a manner that causes the death of a person.</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31" w:after="0" w:line="324" w:lineRule="exact"/>
        <w:ind w:right="0" w:left="720" w:firstLine="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[The term “drug” used in that definition includes </w:t>
      </w:r>
      <w:r>
        <w:rPr>
          <w:rFonts w:ascii="Arial" w:hAnsi="Arial" w:eastAsia="Arial"/>
          <w:i w:val="true"/>
          <w:strike w:val="false"/>
          <w:color w:val="000000"/>
          <w:spacing w:val="-4"/>
          <w:w w:val="100"/>
          <w:sz w:val="23"/>
          <w:u w:val="single"/>
          <w:vertAlign w:val="baseline"/>
          <w:lang w:val="en-US"/>
        </w:rPr>
        <w:t xml:space="preserve"> (specify) </w:t>
      </w:r>
      <w:r>
        <w:rPr>
          <w:rFonts w:ascii="Arial" w:hAnsi="Arial" w:eastAsia="Arial"/>
          <w:strike w:val="false"/>
          <w:color w:val="000000"/>
          <w:spacing w:val="-4"/>
          <w:w w:val="100"/>
          <w:sz w:val="28"/>
          <w:vertAlign w:val="baseline"/>
          <w:lang w:val="en-US"/>
        </w:rPr>
        <w:t xml:space="preserve"> .]</w:t>
      </w:r>
      <w:r>
        <w:rPr>
          <w:rFonts w:ascii="Arial" w:hAnsi="Arial" w:eastAsia="Arial"/>
          <w:strike w:val="false"/>
          <w:color w:val="000000"/>
          <w:spacing w:val="-4"/>
          <w:w w:val="100"/>
          <w:sz w:val="28"/>
          <w:vertAlign w:val="superscript"/>
          <w:lang w:val="en-US"/>
        </w:rPr>
        <w:t xml:space="preserve">9</w:t>
      </w:r>
      <w:r>
        <w:rPr>
          <w:rFonts w:ascii="Arial" w:hAnsi="Arial" w:eastAsia="Arial"/>
          <w:strike w:val="false"/>
          <w:color w:val="000000"/>
          <w:spacing w:val="-4"/>
          <w:w w:val="100"/>
          <w:sz w:val="17"/>
          <w:vertAlign w:val="baseline"/>
          <w:lang w:val="en-US"/>
        </w:rPr>
        <w:t xml:space="preserve">
</w:t>
      </w:r>
    </w:p>
    <w:p>
      <w:pPr>
        <w:pageBreakBefore w:val="false"/>
        <w:spacing w:before="327" w:after="0" w:line="322" w:lineRule="exact"/>
        <w:ind w:right="72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Here, either add the appropriate Vehicle and Traffic Law § 1192 charge or, if that Vehicle and Traffic Law provision has been separately charged to the jury, cross-reference the applicability of that charge to this crime.</w:t>
      </w:r>
      <w:r>
        <w:rPr>
          <w:rFonts w:ascii="Arial" w:hAnsi="Arial" w:eastAsia="Arial"/>
          <w:strike w:val="false"/>
          <w:color w:val="000000"/>
          <w:spacing w:val="0"/>
          <w:w w:val="100"/>
          <w:sz w:val="28"/>
          <w:vertAlign w:val="baseline"/>
          <w:lang w:val="en-US"/>
        </w:rPr>
        <w:t xml:space="preserve">]</w:t>
      </w:r>
    </w:p>
    <w:p>
      <w:pPr>
        <w:pageBreakBefore w:val="false"/>
        <w:spacing w:before="319" w:after="518"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a drug or by the combined influence of drugs or of alcohol and any drug or drugs</w:t>
      </w:r>
      <w:r>
        <w:rPr>
          <w:rFonts w:ascii="Arial" w:hAnsi="Arial" w:eastAsia="Arial"/>
          <w:strike w:val="false"/>
          <w:color w:val="000000"/>
          <w:spacing w:val="-3"/>
          <w:w w:val="100"/>
          <w:sz w:val="28"/>
          <w:vertAlign w:val="superscript"/>
          <w:lang w:val="en-US"/>
        </w:rPr>
        <w:t xml:space="preserve">10</w:t>
      </w:r>
      <w:r>
        <w:rPr>
          <w:rFonts w:ascii="Arial" w:hAnsi="Arial" w:eastAsia="Arial"/>
          <w:strike w:val="false"/>
          <w:color w:val="000000"/>
          <w:spacing w:val="-3"/>
          <w:w w:val="100"/>
          <w:sz w:val="28"/>
          <w:vertAlign w:val="baseline"/>
          <w:lang w:val="en-US"/>
        </w:rPr>
        <w:t xml:space="preserve">] and while doing so caused the death of another</w:t>
      </w:r>
    </w:p>
    <w:p>
      <w:pPr>
        <w:pageBreakBefore w:val="false"/>
        <w:spacing w:before="270" w:after="0" w:line="295" w:lineRule="exact"/>
        <w:ind w:right="0" w:left="0" w:firstLine="0"/>
        <w:jc w:val="left"/>
        <w:textAlignment w:val="baseline"/>
        <w:rPr>
          <w:rFonts w:ascii="Arial" w:hAnsi="Arial" w:eastAsia="Arial"/>
          <w:strike w:val="false"/>
          <w:color w:val="000000"/>
          <w:spacing w:val="0"/>
          <w:w w:val="100"/>
          <w:sz w:val="17"/>
          <w:vertAlign w:val="baseline"/>
          <w:lang w:val="en-US"/>
        </w:rPr>
      </w:pPr>
      <w:r>
        <w:pict>
          <v:line strokeweight="0.95pt" strokecolor="#000000" from="107.85pt,485.75pt" to="252.05pt,485.7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6 </w:t>
      </w:r>
      <w:r>
        <w:rPr>
          <w:rFonts w:ascii="Arial" w:hAnsi="Arial" w:eastAsia="Arial"/>
          <w:strike w:val="false"/>
          <w:color w:val="000000"/>
          <w:spacing w:val="0"/>
          <w:w w:val="100"/>
          <w:sz w:val="24"/>
          <w:vertAlign w:val="baseline"/>
          <w:lang w:val="en-US"/>
        </w:rPr>
        <w:t xml:space="preserve">Vehicle &amp; Traffic Law § 1192(4).</w:t>
      </w:r>
    </w:p>
    <w:p>
      <w:pPr>
        <w:pageBreakBefore w:val="false"/>
        <w:spacing w:before="277" w:after="0" w:line="291"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7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Vehicle &amp; Traffic Law § 1192(4-a).</w:t>
      </w:r>
    </w:p>
    <w:p>
      <w:pPr>
        <w:pageBreakBefore w:val="false"/>
        <w:spacing w:before="286" w:after="0" w:line="282" w:lineRule="exact"/>
        <w:ind w:right="0" w:left="0" w:firstLine="0"/>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8 </w:t>
      </w:r>
      <w:r>
        <w:rPr>
          <w:rFonts w:ascii="Arial" w:hAnsi="Arial" w:eastAsia="Arial"/>
          <w:strike w:val="false"/>
          <w:color w:val="000000"/>
          <w:spacing w:val="0"/>
          <w:w w:val="100"/>
          <w:sz w:val="22"/>
          <w:vertAlign w:val="baseline"/>
          <w:lang w:val="en-US"/>
        </w:rPr>
        <w:t xml:space="preserve">The text of the statute contains two references to causing “the death of another person.” In order to avoid redundan</w:t>
      </w:r>
      <w:r>
        <w:rPr>
          <w:rFonts w:ascii="Arial" w:hAnsi="Arial" w:eastAsia="Arial"/>
          <w:strike w:val="false"/>
          <w:color w:val="000000"/>
          <w:spacing w:val="0"/>
          <w:w w:val="100"/>
          <w:sz w:val="24"/>
          <w:vertAlign w:val="baseline"/>
          <w:lang w:val="en-US"/>
        </w:rPr>
        <w:t xml:space="preserve">cy and for clarity, the pattern charge contains one reference to such term.</w:t>
      </w:r>
    </w:p>
    <w:p>
      <w:pPr>
        <w:pageBreakBefore w:val="false"/>
        <w:spacing w:before="213" w:after="0" w:line="297"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8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Vehicle &amp; Traffic Law § 114-a and Public Health Law § 3306.</w:t>
      </w:r>
    </w:p>
    <w:p>
      <w:pPr>
        <w:pageBreakBefore w:val="false"/>
        <w:spacing w:before="286" w:after="0" w:line="262" w:lineRule="exact"/>
        <w:ind w:right="0" w:left="0" w:firstLine="0"/>
        <w:jc w:val="both"/>
        <w:textAlignment w:val="baseline"/>
        <w:rPr>
          <w:rFonts w:ascii="Arial" w:hAnsi="Arial" w:eastAsia="Arial"/>
          <w:strike w:val="false"/>
          <w:color w:val="000000"/>
          <w:spacing w:val="-2"/>
          <w:w w:val="100"/>
          <w:sz w:val="17"/>
          <w:vertAlign w:val="baseline"/>
          <w:lang w:val="en-US"/>
        </w:rPr>
      </w:pPr>
      <w:r>
        <w:rPr>
          <w:rFonts w:ascii="Arial" w:hAnsi="Arial" w:eastAsia="Arial"/>
          <w:strike w:val="false"/>
          <w:color w:val="000000"/>
          <w:spacing w:val="-2"/>
          <w:w w:val="100"/>
          <w:sz w:val="17"/>
          <w:vertAlign w:val="baseline"/>
          <w:lang w:val="en-US"/>
        </w:rPr>
        <w:t xml:space="preserve">10 </w:t>
      </w:r>
      <w:r>
        <w:rPr>
          <w:rFonts w:ascii="Arial" w:hAnsi="Arial" w:eastAsia="Arial"/>
          <w:strike w:val="false"/>
          <w:color w:val="000000"/>
          <w:spacing w:val="-2"/>
          <w:w w:val="100"/>
          <w:sz w:val="22"/>
          <w:vertAlign w:val="baseline"/>
          <w:lang w:val="en-US"/>
        </w:rPr>
        <w:t xml:space="preserve">This paragraph reproduces the "rebuttable presumption" (</w:t>
      </w:r>
      <w:r>
        <w:rPr>
          <w:rFonts w:ascii="Arial" w:hAnsi="Arial" w:eastAsia="Arial"/>
          <w:i w:val="true"/>
          <w:strike w:val="false"/>
          <w:color w:val="000000"/>
          <w:spacing w:val="-2"/>
          <w:w w:val="100"/>
          <w:sz w:val="22"/>
          <w:vertAlign w:val="baseline"/>
          <w:lang w:val="en-US"/>
        </w:rPr>
        <w:t xml:space="preserve">i.e</w:t>
      </w:r>
      <w:r>
        <w:rPr>
          <w:rFonts w:ascii="Arial" w:hAnsi="Arial" w:eastAsia="Arial"/>
          <w:strike w:val="false"/>
          <w:color w:val="000000"/>
          <w:spacing w:val="-2"/>
          <w:w w:val="100"/>
          <w:sz w:val="22"/>
          <w:vertAlign w:val="baseline"/>
          <w:lang w:val="en-US"/>
        </w:rPr>
        <w:t xml:space="preserve">., a permissible inference) set forth in Penal Law § 120.03 (last paragraph). The words here in brackets, "by the combined influence of drugs or of alcohol and any drug or drugs," while an alternative element of the crime, do not appear at this point in the presumption statute as a predicate to the permissible inference which follows. The permissible inference which follows, however, does recite those words.</w:t>
      </w:r>
    </w:p>
    <w:p>
      <w:pPr>
        <w:pageBreakBefore w:val="false"/>
        <w:spacing w:before="245" w:after="0" w:line="183" w:lineRule="exact"/>
        <w:ind w:right="0" w:left="0" w:firstLine="0"/>
        <w:jc w:val="center"/>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2</w:t>
      </w:r>
    </w:p>
    <w:p>
      <w:pPr>
        <w:sectPr>
          <w:type w:val="nextPage"/>
          <w:pgSz w:w="12240" w:h="15840" w:orient="portrait"/>
          <w:pgMar w:bottom="664" w:top="1080" w:right="2143" w:left="2157"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then you may, but are not required to, infer that, as a result of such intoxication [or impairment by the use of alcohol or a drug or by the combined influence of drugs or of alcohol and any drug or drugs], the defendant operated the motor vehicle in a manner that caused such death.</w:t>
      </w:r>
      <w:r>
        <w:rPr>
          <w:rFonts w:ascii="Arial" w:hAnsi="Arial" w:eastAsia="Arial"/>
          <w:strike w:val="false"/>
          <w:color w:val="000000"/>
          <w:spacing w:val="0"/>
          <w:w w:val="100"/>
          <w:sz w:val="28"/>
          <w:vertAlign w:val="superscript"/>
          <w:lang w:val="en-US"/>
        </w:rPr>
        <w:t xml:space="preserve">11</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three elements:</w:t>
      </w:r>
    </w:p>
    <w:p>
      <w:pPr>
        <w:pageBreakBefore w:val="false"/>
        <w:numPr>
          <w:ilvl w:val="0"/>
          <w:numId w:val="1"/>
        </w:numPr>
        <w:tabs>
          <w:tab w:val="clear" w:pos="720"/>
          <w:tab w:val="left" w:pos="1440"/>
        </w:tabs>
        <w:spacing w:before="326"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operated a motor vehicle:</w:t>
      </w:r>
    </w:p>
    <w:p>
      <w:pPr>
        <w:pageBreakBefore w:val="false"/>
        <w:spacing w:before="326" w:after="0" w:line="320"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0"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19" w:after="0" w:line="325"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the defendant was in an intoxicated condition.</w:t>
      </w:r>
    </w:p>
    <w:p>
      <w:pPr>
        <w:pageBreakBefore w:val="false"/>
        <w:tabs>
          <w:tab w:val="left" w:leader="none" w:pos="2160"/>
        </w:tabs>
        <w:spacing w:before="325" w:after="0" w:line="325"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the defendant's ability to operate such vehicle was impaired by the use of a drug;</w:t>
      </w:r>
    </w:p>
    <w:p>
      <w:pPr>
        <w:pageBreakBefore w:val="false"/>
        <w:tabs>
          <w:tab w:val="left" w:leader="none" w:pos="2160"/>
        </w:tabs>
        <w:spacing w:before="317" w:after="0" w:line="325" w:lineRule="exact"/>
        <w:ind w:right="0" w:left="216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while the defendant’s ability to operate such motor vehicle is impaired by the combined influence of drugs or of alcohol and any drug or drugs.</w:t>
      </w:r>
    </w:p>
    <w:p>
      <w:pPr>
        <w:pageBreakBefore w:val="false"/>
        <w:numPr>
          <w:ilvl w:val="0"/>
          <w:numId w:val="1"/>
        </w:numPr>
        <w:tabs>
          <w:tab w:val="clear" w:pos="720"/>
          <w:tab w:val="left" w:pos="1440"/>
        </w:tabs>
        <w:spacing w:before="329" w:after="38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operated such motor vehicle in a manner that caused the death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spacing w:before="335" w:after="0" w:line="254" w:lineRule="exact"/>
        <w:ind w:right="0" w:left="0" w:firstLine="0"/>
        <w:jc w:val="both"/>
        <w:textAlignment w:val="baseline"/>
        <w:rPr>
          <w:rFonts w:ascii="Arial" w:hAnsi="Arial" w:eastAsia="Arial"/>
          <w:strike w:val="false"/>
          <w:color w:val="000000"/>
          <w:spacing w:val="-2"/>
          <w:w w:val="100"/>
          <w:sz w:val="17"/>
          <w:vertAlign w:val="baseline"/>
          <w:lang w:val="en-US"/>
        </w:rPr>
      </w:pPr>
      <w:r>
        <w:pict>
          <v:line strokeweight="1.2pt" strokecolor="#000000" from="107.85pt,624.95pt" to="252.05pt,624.95pt" style="position:absolute;mso-position-horizontal-relative:page;mso-position-vertical-relative:page;">
            <v:stroke dashstyle="solid"/>
          </v:line>
        </w:pict>
      </w:r>
      <w:r>
        <w:rPr>
          <w:rFonts w:ascii="Arial" w:hAnsi="Arial" w:eastAsia="Arial"/>
          <w:strike w:val="false"/>
          <w:color w:val="000000"/>
          <w:spacing w:val="-2"/>
          <w:w w:val="100"/>
          <w:sz w:val="17"/>
          <w:vertAlign w:val="baseline"/>
          <w:lang w:val="en-US"/>
        </w:rPr>
        <w:t xml:space="preserve">11 </w:t>
      </w:r>
      <w:r>
        <w:rPr>
          <w:rFonts w:ascii="Arial" w:hAnsi="Arial" w:eastAsia="Arial"/>
          <w:strike w:val="false"/>
          <w:color w:val="000000"/>
          <w:spacing w:val="-2"/>
          <w:w w:val="100"/>
          <w:sz w:val="22"/>
          <w:vertAlign w:val="baseline"/>
          <w:lang w:val="en-US"/>
        </w:rPr>
        <w:t xml:space="preserve">Penal Law § 125.12. </w:t>
      </w:r>
      <w:r>
        <w:rPr>
          <w:rFonts w:ascii="Arial" w:hAnsi="Arial" w:eastAsia="Arial"/>
          <w:i w:val="true"/>
          <w:strike w:val="false"/>
          <w:color w:val="000000"/>
          <w:spacing w:val="-2"/>
          <w:w w:val="100"/>
          <w:sz w:val="22"/>
          <w:vertAlign w:val="baseline"/>
          <w:lang w:val="en-US"/>
        </w:rPr>
        <w:t xml:space="preserve">See People v. Mojica, </w:t>
      </w:r>
      <w:r>
        <w:rPr>
          <w:rFonts w:ascii="Arial" w:hAnsi="Arial" w:eastAsia="Arial"/>
          <w:strike w:val="false"/>
          <w:color w:val="000000"/>
          <w:spacing w:val="-2"/>
          <w:w w:val="100"/>
          <w:sz w:val="22"/>
          <w:vertAlign w:val="baseline"/>
          <w:lang w:val="en-US"/>
        </w:rPr>
        <w:t xml:space="preserve">62 A.D.3d 100 (2d Dept. 2009). </w:t>
      </w:r>
      <w:r>
        <w:rPr>
          <w:rFonts w:ascii="Arial" w:hAnsi="Arial" w:eastAsia="Arial"/>
          <w:i w:val="true"/>
          <w:strike w:val="false"/>
          <w:color w:val="000000"/>
          <w:spacing w:val="-2"/>
          <w:w w:val="100"/>
          <w:sz w:val="22"/>
          <w:vertAlign w:val="baseline"/>
          <w:lang w:val="en-US"/>
        </w:rPr>
        <w:t xml:space="preserve">See also </w:t>
      </w:r>
      <w:r>
        <w:rPr>
          <w:rFonts w:ascii="Arial" w:hAnsi="Arial" w:eastAsia="Arial"/>
          <w:strike w:val="false"/>
          <w:color w:val="000000"/>
          <w:spacing w:val="-2"/>
          <w:w w:val="100"/>
          <w:sz w:val="22"/>
          <w:vertAlign w:val="baseline"/>
          <w:lang w:val="en-US"/>
        </w:rPr>
        <w:t xml:space="preserve">Legislative Memorandum in support of this statute, which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pPr>
        <w:pageBreakBefore w:val="false"/>
        <w:spacing w:before="237" w:after="0" w:line="183" w:lineRule="exact"/>
        <w:ind w:right="0" w:left="0" w:firstLine="0"/>
        <w:jc w:val="center"/>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3</w:t>
      </w:r>
    </w:p>
    <w:p>
      <w:pPr>
        <w:sectPr>
          <w:type w:val="nextPage"/>
          <w:pgSz w:w="12240" w:h="15840" w:orient="portrait"/>
          <w:pgMar w:bottom="664" w:top="1080" w:right="2143" w:left="2157" w:header="720" w:footer="720"/>
          <w:titlePg w:val="false"/>
          <w:textDirection w:val="lrTb"/>
        </w:sectPr>
      </w:pPr>
    </w:p>
    <w:p>
      <w:pPr>
        <w:pageBreakBefore w:val="false"/>
        <w:tabs>
          <w:tab w:val="right" w:leader="none" w:pos="7920"/>
        </w:tabs>
        <w:spacing w:before="8"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as a result of such</w:t>
      </w:r>
    </w:p>
    <w:p>
      <w:pPr>
        <w:pageBreakBefore w:val="false"/>
        <w:spacing w:before="3"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intoxication [or impairment by the use of a drug, or by the combined influence of drugs or of alcohol and any drug or drugs].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959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9598" w:line="324" w:lineRule="exact"/>
        <w:sectPr>
          <w:type w:val="nextPage"/>
          <w:pgSz w:w="12240" w:h="15840" w:orient="portrait"/>
          <w:pgMar w:bottom="664" w:top="1080" w:right="2142" w:left="2158" w:header="720" w:footer="720"/>
          <w:titlePg w:val="false"/>
          <w:textDirection w:val="lrTb"/>
        </w:sectPr>
      </w:pPr>
    </w:p>
    <w:p>
      <w:pPr>
        <w:pageBreakBefore w:val="false"/>
        <w:spacing w:before="1" w:after="0" w:line="183" w:lineRule="exact"/>
        <w:ind w:right="0" w:left="0" w:firstLine="0"/>
        <w:jc w:val="center"/>
        <w:textAlignment w:val="baseline"/>
        <w:rPr>
          <w:rFonts w:ascii="Arial" w:hAnsi="Arial" w:eastAsia="Arial"/>
          <w:strike w:val="false"/>
          <w:color w:val="000000"/>
          <w:spacing w:val="0"/>
          <w:w w:val="100"/>
          <w:sz w:val="16"/>
          <w:vertAlign w:val="baseline"/>
          <w:lang w:val="en-US"/>
        </w:rPr>
      </w:pPr>
      <w:r>
        <w:rPr>
          <w:rFonts w:ascii="Arial" w:hAnsi="Arial" w:eastAsia="Arial"/>
          <w:strike w:val="false"/>
          <w:color w:val="000000"/>
          <w:spacing w:val="0"/>
          <w:w w:val="100"/>
          <w:sz w:val="16"/>
          <w:vertAlign w:val="baseline"/>
          <w:lang w:val="en-US"/>
        </w:rPr>
        <w:t xml:space="preserve">4</w:t>
      </w:r>
    </w:p>
    <w:sectPr>
      <w:type w:val="continuous"/>
      <w:pgSz w:w="12240" w:h="15840" w:orient="portrait"/>
      <w:pgMar w:bottom="664" w:top="1080" w:right="2155"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