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4" w:after="0" w:line="346"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HOMICIDE</w:t>
        <w:br/>
      </w:r>
      <w:r>
        <w:rPr>
          <w:rFonts w:ascii="Arial" w:hAnsi="Arial" w:eastAsia="Arial"/>
          <w:b w:val="true"/>
          <w:color w:val="000000"/>
          <w:spacing w:val="0"/>
          <w:w w:val="100"/>
          <w:sz w:val="28"/>
          <w:vertAlign w:val="baseline"/>
          <w:lang w:val="en-US"/>
        </w:rPr>
        <w:t xml:space="preserve">(Reckless Driving; Vehicular Manslaughter;</w:t>
        <w:br/>
      </w:r>
      <w:r>
        <w:rPr>
          <w:rFonts w:ascii="Arial" w:hAnsi="Arial" w:eastAsia="Arial"/>
          <w:b w:val="true"/>
          <w:color w:val="000000"/>
          <w:spacing w:val="0"/>
          <w:w w:val="100"/>
          <w:sz w:val="28"/>
          <w:vertAlign w:val="baseline"/>
          <w:lang w:val="en-US"/>
        </w:rPr>
        <w:t xml:space="preserve">Death of Two or More)</w:t>
        <w:br/>
      </w:r>
      <w:r>
        <w:rPr>
          <w:rFonts w:ascii="Arial" w:hAnsi="Arial" w:eastAsia="Arial"/>
          <w:b w:val="true"/>
          <w:color w:val="000000"/>
          <w:spacing w:val="0"/>
          <w:w w:val="100"/>
          <w:sz w:val="28"/>
          <w:vertAlign w:val="baseline"/>
          <w:lang w:val="en-US"/>
        </w:rPr>
        <w:t xml:space="preserve">Penal Law § 125.14 (4)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343"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Homicide.</w:t>
      </w:r>
    </w:p>
    <w:p>
      <w:pPr>
        <w:pageBreakBefore w:val="false"/>
        <w:spacing w:before="337" w:after="0" w:line="33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Homicide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Manslaughter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and causes the death of more than one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person.</w:t>
      </w:r>
    </w:p>
    <w:p>
      <w:pPr>
        <w:pageBreakBefore w:val="false"/>
        <w:spacing w:before="341" w:after="0" w:line="34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42" w:after="338" w:line="33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238"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8pt,446.9pt" to="252.05pt,446.9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27"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125.12 of this article.”</w:t>
      </w:r>
    </w:p>
    <w:p>
      <w:pPr>
        <w:pageBreakBefore w:val="false"/>
        <w:spacing w:before="240"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At this point, the statute states “other person.” For purposes of clarity, the word “other” modifying “person” has been omitted.</w:t>
      </w:r>
    </w:p>
    <w:p>
      <w:pPr>
        <w:pageBreakBefore w:val="false"/>
        <w:spacing w:before="223"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pageBreakBefore w:val="false"/>
        <w:spacing w:before="226" w:after="0" w:line="290" w:lineRule="exact"/>
        <w:ind w:right="0" w:left="0" w:firstLine="720"/>
        <w:jc w:val="both"/>
        <w:textAlignment w:val="baseline"/>
        <w:rPr>
          <w:rFonts w:ascii="Arial" w:hAnsi="Arial" w:eastAsia="Arial"/>
          <w:color w:val="000000"/>
          <w:spacing w:val="-4"/>
          <w:w w:val="100"/>
          <w:sz w:val="16"/>
          <w:vertAlign w:val="superscript"/>
          <w:lang w:val="en-US"/>
        </w:rPr>
      </w:pPr>
      <w:r>
        <w:rPr>
          <w:rFonts w:ascii="Arial" w:hAnsi="Arial" w:eastAsia="Arial"/>
          <w:color w:val="000000"/>
          <w:spacing w:val="-4"/>
          <w:w w:val="100"/>
          <w:sz w:val="16"/>
          <w:vertAlign w:val="superscript"/>
          <w:lang w:val="en-US"/>
        </w:rPr>
        <w:t xml:space="preserve">5</w:t>
      </w:r>
      <w:r>
        <w:rPr>
          <w:rFonts w:ascii="Arial" w:hAnsi="Arial" w:eastAsia="Arial"/>
          <w:color w:val="000000"/>
          <w:spacing w:val="-4"/>
          <w:w w:val="100"/>
          <w:sz w:val="24"/>
          <w:vertAlign w:val="baseline"/>
          <w:lang w:val="en-US"/>
        </w:rPr>
        <w:t xml:space="preserve"> The term “public highway,” used twice in the definition of “reckless driving,” is separately defined to include “[a]ny highway, road, street, avenue,</w:t>
      </w:r>
    </w:p>
    <w:p>
      <w:pPr>
        <w:sectPr>
          <w:type w:val="nextPage"/>
          <w:pgSz w:w="12240" w:h="15840" w:orient="portrait"/>
          <w:pgMar w:bottom="1024" w:top="1420" w:right="2140" w:left="2160" w:header="720" w:footer="720"/>
          <w:titlePg w:val="false"/>
          <w:textDirection w:val="lrTb"/>
        </w:sectPr>
      </w:pPr>
    </w:p>
    <w:p>
      <w:pPr>
        <w:pageBreakBefore w:val="false"/>
        <w:spacing w:before="1" w:after="0" w:line="340"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36" w:after="1613" w:line="340"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commits the crime of VEHICULAR MANSLAUGHTER IN THE SECOND DEGREE when he or she</w:t>
      </w:r>
      <w:r>
        <w:rPr>
          <w:rFonts w:ascii="Arial" w:hAnsi="Arial" w:eastAsia="Arial"/>
          <w:color w:val="000000"/>
          <w:spacing w:val="-2"/>
          <w:w w:val="100"/>
          <w:sz w:val="28"/>
          <w:vertAlign w:val="superscript"/>
          <w:lang w:val="en-US"/>
        </w:rPr>
        <w:t xml:space="preserve">7</w:t>
      </w:r>
      <w:r>
        <w:rPr>
          <w:rFonts w:ascii="Arial" w:hAnsi="Arial" w:eastAsia="Arial"/>
          <w:color w:val="000000"/>
          <w:spacing w:val="-2"/>
          <w:w w:val="100"/>
          <w:sz w:val="17"/>
          <w:vertAlign w:val="baseline"/>
          <w:lang w:val="en-US"/>
        </w:rPr>
        <w:t xml:space="preserve"> </w:t>
      </w:r>
      <w:r>
        <w:rPr>
          <w:rFonts w:ascii="Arial" w:hAnsi="Arial" w:eastAsia="Arial"/>
          <w:color w:val="000000"/>
          <w:spacing w:val="-2"/>
          <w:w w:val="100"/>
          <w:sz w:val="28"/>
          <w:vertAlign w:val="baseline"/>
          <w:lang w:val="en-US"/>
        </w:rPr>
        <w:t xml:space="preserve">operates a motor vehicle </w:t>
      </w:r>
      <w:r>
        <w:rPr>
          <w:rFonts w:ascii="Arial" w:hAnsi="Arial" w:eastAsia="Arial"/>
          <w:color w:val="000000"/>
          <w:spacing w:val="-2"/>
          <w:w w:val="100"/>
          <w:sz w:val="28"/>
          <w:vertAlign w:val="superscript"/>
          <w:lang w:val="en-US"/>
        </w:rPr>
        <w:t xml:space="preserve">8</w:t>
      </w:r>
      <w:r>
        <w:rPr>
          <w:rFonts w:ascii="Arial" w:hAnsi="Arial" w:eastAsia="Arial"/>
          <w:color w:val="000000"/>
          <w:spacing w:val="-2"/>
          <w:w w:val="100"/>
          <w:sz w:val="17"/>
          <w:vertAlign w:val="baseline"/>
          <w:lang w:val="en-US"/>
        </w:rPr>
        <w:t xml:space="preserve">
</w:t>
      </w:r>
    </w:p>
    <w:p>
      <w:pPr>
        <w:pageBreakBefore w:val="false"/>
        <w:spacing w:before="246" w:after="0" w:line="289" w:lineRule="exact"/>
        <w:ind w:right="0" w:left="0" w:firstLine="0"/>
        <w:jc w:val="both"/>
        <w:textAlignment w:val="baseline"/>
        <w:rPr>
          <w:rFonts w:ascii="Arial" w:hAnsi="Arial" w:eastAsia="Arial"/>
          <w:color w:val="000000"/>
          <w:spacing w:val="0"/>
          <w:w w:val="100"/>
          <w:sz w:val="24"/>
          <w:vertAlign w:val="baseline"/>
          <w:lang w:val="en-US"/>
        </w:rPr>
      </w:pPr>
      <w:r>
        <w:pict>
          <v:line strokeweight="1.2pt" strokecolor="#000000" from="107.75pt,390.7pt" to="252.05pt,390.7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21"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38" w:after="0" w:line="289"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color w:val="000000"/>
          <w:spacing w:val="0"/>
          <w:w w:val="100"/>
          <w:sz w:val="24"/>
          <w:vertAlign w:val="baseline"/>
          <w:lang w:val="en-US"/>
        </w:rPr>
        <w:t xml:space="preserve"> At this point the statute states "causes the death of another...." That portion is omitted here because that language is repeated at the end of the statute where it makes more sense. Thus, to avoid redundancy and for clarity, this charge utilizes the reference to causing the death of another person at the end of the statute.</w:t>
      </w:r>
    </w:p>
    <w:p>
      <w:pPr>
        <w:pageBreakBefore w:val="false"/>
        <w:spacing w:before="230" w:after="0" w:line="289"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8</w:t>
      </w:r>
      <w:r>
        <w:rPr>
          <w:rFonts w:ascii="Arial" w:hAnsi="Arial" w:eastAsia="Arial"/>
          <w:color w:val="000000"/>
          <w:spacing w:val="-2"/>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20" w:right="2145" w:left="2155" w:header="720" w:footer="720"/>
          <w:titlePg w:val="false"/>
          <w:textDirection w:val="lrTb"/>
        </w:sectPr>
      </w:pPr>
    </w:p>
    <w:p>
      <w:pPr>
        <w:pageBreakBefore w:val="false"/>
        <w:spacing w:before="8"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37" w:after="0" w:line="340"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has .08 of one per centum or more by weight of alcohol in his or her blood as shown by chemical</w:t>
      </w:r>
    </w:p>
    <w:p>
      <w:pPr>
        <w:pageBreakBefore w:val="false"/>
        <w:spacing w:before="0" w:after="0" w:line="33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38" w:after="0" w:line="340"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is in an intoxicated condition.</w:t>
      </w:r>
      <w:r>
        <w:rPr>
          <w:rFonts w:ascii="Arial" w:hAnsi="Arial" w:eastAsia="Arial"/>
          <w:color w:val="000000"/>
          <w:spacing w:val="-1"/>
          <w:w w:val="100"/>
          <w:sz w:val="28"/>
          <w:vertAlign w:val="superscript"/>
          <w:lang w:val="en-US"/>
        </w:rPr>
        <w:t xml:space="preserve">10</w:t>
      </w:r>
      <w:r>
        <w:rPr>
          <w:rFonts w:ascii="Arial" w:hAnsi="Arial" w:eastAsia="Arial"/>
          <w:color w:val="000000"/>
          <w:spacing w:val="-1"/>
          <w:w w:val="100"/>
          <w:sz w:val="17"/>
          <w:vertAlign w:val="baseline"/>
          <w:lang w:val="en-US"/>
        </w:rPr>
        <w:t xml:space="preserve">
</w:t>
      </w:r>
    </w:p>
    <w:p>
      <w:pPr>
        <w:pageBreakBefore w:val="false"/>
        <w:spacing w:before="367"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44" w:after="0" w:line="340"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44" w:after="0" w:line="340"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the death of another person.</w:t>
      </w:r>
    </w:p>
    <w:p>
      <w:pPr>
        <w:pageBreakBefore w:val="false"/>
        <w:spacing w:before="332" w:after="0" w:line="340"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DRUG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superscript"/>
          <w:lang w:val="en-US"/>
        </w:rPr>
        <w:t xml:space="preserve"> 13</w:t>
      </w:r>
      <w:r>
        <w:rPr>
          <w:rFonts w:ascii="Arial" w:hAnsi="Arial" w:eastAsia="Arial"/>
          <w:color w:val="000000"/>
          <w:spacing w:val="-2"/>
          <w:w w:val="100"/>
          <w:sz w:val="28"/>
          <w:vertAlign w:val="baseline"/>
          <w:lang w:val="en-US"/>
        </w:rPr>
        <w:t xml:space="preserve">).]</w:t>
      </w:r>
    </w:p>
    <w:p>
      <w:pPr>
        <w:pageBreakBefore w:val="false"/>
        <w:spacing w:before="687" w:after="0" w:line="339"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339" w:after="416" w:line="340"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if the People prove beyond a reasonable</w:t>
      </w:r>
    </w:p>
    <w:p>
      <w:pPr>
        <w:pageBreakBefore w:val="false"/>
        <w:spacing w:before="251" w:after="0" w:line="282" w:lineRule="exact"/>
        <w:ind w:right="0" w:left="720" w:firstLine="0"/>
        <w:jc w:val="left"/>
        <w:textAlignment w:val="baseline"/>
        <w:rPr>
          <w:rFonts w:ascii="Arial" w:hAnsi="Arial" w:eastAsia="Arial"/>
          <w:color w:val="000000"/>
          <w:spacing w:val="0"/>
          <w:w w:val="100"/>
          <w:sz w:val="16"/>
          <w:vertAlign w:val="superscript"/>
          <w:lang w:val="en-US"/>
        </w:rPr>
      </w:pPr>
      <w:r>
        <w:pict>
          <v:line strokeweight="0.95pt" strokecolor="#000000" from="108pt,567.6pt" to="252.05pt,567.6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9</w:t>
      </w:r>
      <w:r>
        <w:rPr>
          <w:rFonts w:ascii="Arial" w:hAnsi="Arial" w:eastAsia="Arial"/>
          <w:color w:val="000000"/>
          <w:spacing w:val="0"/>
          <w:w w:val="100"/>
          <w:sz w:val="24"/>
          <w:vertAlign w:val="baseline"/>
          <w:lang w:val="en-US"/>
        </w:rPr>
        <w:t xml:space="preserve"> Vehicle &amp; Traffic Law § 1192 (2).</w:t>
      </w:r>
    </w:p>
    <w:p>
      <w:pPr>
        <w:pageBreakBefore w:val="false"/>
        <w:spacing w:before="234"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10</w:t>
      </w:r>
      <w:r>
        <w:rPr>
          <w:rFonts w:ascii="Arial" w:hAnsi="Arial" w:eastAsia="Arial"/>
          <w:color w:val="000000"/>
          <w:spacing w:val="0"/>
          <w:w w:val="100"/>
          <w:sz w:val="24"/>
          <w:vertAlign w:val="baseline"/>
          <w:lang w:val="en-US"/>
        </w:rPr>
        <w:t xml:space="preserve"> Vehicle &amp; Traffic Law § 1192 (3).</w:t>
      </w:r>
    </w:p>
    <w:p>
      <w:pPr>
        <w:pageBreakBefore w:val="false"/>
        <w:spacing w:before="238"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11</w:t>
      </w:r>
      <w:r>
        <w:rPr>
          <w:rFonts w:ascii="Arial" w:hAnsi="Arial" w:eastAsia="Arial"/>
          <w:color w:val="000000"/>
          <w:spacing w:val="0"/>
          <w:w w:val="100"/>
          <w:sz w:val="24"/>
          <w:vertAlign w:val="baseline"/>
          <w:lang w:val="en-US"/>
        </w:rPr>
        <w:t xml:space="preserve"> Vehicle &amp; Traffic Law § 1192 (4).</w:t>
      </w:r>
    </w:p>
    <w:p>
      <w:pPr>
        <w:pageBreakBefore w:val="false"/>
        <w:spacing w:before="243" w:after="0" w:line="275"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color w:val="000000"/>
          <w:spacing w:val="0"/>
          <w:w w:val="100"/>
          <w:sz w:val="24"/>
          <w:vertAlign w:val="baseline"/>
          <w:lang w:val="en-US"/>
        </w:rPr>
        <w:t xml:space="preserve"> Vehicle &amp; Traffic Law § 1192 (4-a).</w:t>
      </w:r>
    </w:p>
    <w:p>
      <w:pPr>
        <w:pageBreakBefore w:val="false"/>
        <w:spacing w:before="30" w:after="0" w:line="480" w:lineRule="exact"/>
        <w:ind w:right="0" w:left="0" w:firstLine="0"/>
        <w:jc w:val="center"/>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13</w:t>
      </w:r>
      <w:r>
        <w:rPr>
          <w:rFonts w:ascii="Arial" w:hAnsi="Arial" w:eastAsia="Arial"/>
          <w:color w:val="000000"/>
          <w:spacing w:val="0"/>
          <w:w w:val="100"/>
          <w:sz w:val="24"/>
          <w:vertAlign w:val="baseline"/>
          <w:lang w:val="en-US"/>
        </w:rPr>
        <w:t xml:space="preserve"> Vehicle &amp; Traffic Law §114-a and Public Health Law § 3306.</w:t>
        <w:br/>
      </w: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080" w:right="2140" w:left="2160" w:header="720" w:footer="720"/>
          <w:titlePg w:val="false"/>
          <w:textDirection w:val="lrTb"/>
        </w:sectPr>
      </w:pPr>
    </w:p>
    <w:p>
      <w:pPr>
        <w:pageBreakBefore w:val="false"/>
        <w:spacing w:before="0" w:after="0" w:line="337"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doubt that the defendant was operating a motor vehicle while unlawfully intoxicated or impaired by the use of alcohol [or impaired by the use of a drug, or impaired by the combined influence of drugs or of alcohol and any drug or drugs], and while doing so caused the death of another person, then you may, but are not required to, infer that, as a result of such intoxication or impairment, such person operated the motor vehicle in a manner that caused such death of another person.</w:t>
      </w:r>
      <w:r>
        <w:rPr>
          <w:rFonts w:ascii="Arial" w:hAnsi="Arial" w:eastAsia="Arial"/>
          <w:color w:val="000000"/>
          <w:spacing w:val="-3"/>
          <w:w w:val="100"/>
          <w:sz w:val="28"/>
          <w:vertAlign w:val="superscript"/>
          <w:lang w:val="en-US"/>
        </w:rPr>
        <w:t xml:space="preserve">14</w:t>
      </w:r>
      <w:r>
        <w:rPr>
          <w:rFonts w:ascii="Arial" w:hAnsi="Arial" w:eastAsia="Arial"/>
          <w:color w:val="000000"/>
          <w:spacing w:val="-3"/>
          <w:w w:val="100"/>
          <w:sz w:val="17"/>
          <w:vertAlign w:val="baseline"/>
          <w:lang w:val="en-US"/>
        </w:rPr>
        <w:t xml:space="preserve">
</w:t>
      </w:r>
    </w:p>
    <w:p>
      <w:pPr>
        <w:pageBreakBefore w:val="false"/>
        <w:spacing w:before="345" w:after="0" w:line="340"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360"/>
          <w:tab w:val="left" w:pos="1080"/>
        </w:tabs>
        <w:spacing w:before="340" w:after="0" w:line="33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360"/>
          <w:tab w:val="left" w:pos="1080"/>
        </w:tabs>
        <w:spacing w:before="365" w:after="0" w:line="317"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so:</w:t>
      </w:r>
    </w:p>
    <w:p>
      <w:pPr>
        <w:pageBreakBefore w:val="false"/>
        <w:spacing w:before="364" w:after="0" w:line="321"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35" w:after="0" w:line="339"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364" w:after="0" w:line="317"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336" w:after="697" w:line="34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244"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7.75pt,598.3pt" to="252.05pt,598.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8"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080" w:right="2145" w:left="2155" w:header="720" w:footer="720"/>
          <w:titlePg w:val="false"/>
          <w:textDirection w:val="lrTb"/>
        </w:sectPr>
      </w:pPr>
    </w:p>
    <w:p>
      <w:pPr>
        <w:pageBreakBefore w:val="false"/>
        <w:spacing w:before="0" w:after="0" w:line="33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spacing w:before="345" w:after="0" w:line="339"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3. That as a result of such intoxication [or impairment by the use of a drug, or impairment by the combined influence of drugs or of alcohol and any drug or drugs], the defendant operated such motor vehicle in a manner that caused the death of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w:t>
      </w:r>
    </w:p>
    <w:p>
      <w:pPr>
        <w:pageBreakBefore w:val="false"/>
        <w:spacing w:before="338" w:after="0" w:line="34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6" w:after="7323" w:line="34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6" w:after="7323" w:line="341" w:lineRule="exact"/>
        <w:sectPr>
          <w:type w:val="nextPage"/>
          <w:pgSz w:w="12240" w:h="15840" w:orient="portrait"/>
          <w:pgMar w:bottom="1024" w:top="1080" w:right="2140" w:left="216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sectPr>
      <w:type w:val="continuous"/>
      <w:pgSz w:w="12240" w:h="15840" w:orient="portrait"/>
      <w:pgMar w:bottom="1024"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