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0" w:line="346"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Death and Serious Physical Injury)</w:t>
        <w:br/>
      </w:r>
      <w:r>
        <w:rPr>
          <w:rFonts w:ascii="Arial" w:hAnsi="Arial" w:eastAsia="Arial"/>
          <w:b w:val="true"/>
          <w:color w:val="000000"/>
          <w:spacing w:val="0"/>
          <w:w w:val="100"/>
          <w:sz w:val="28"/>
          <w:vertAlign w:val="baseline"/>
          <w:lang w:val="en-US"/>
        </w:rPr>
        <w:t xml:space="preserve">Penal Law § 125.14 (5)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343"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41"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 causes the death of one person and the serious physical injury of at least one other person.</w:t>
      </w:r>
    </w:p>
    <w:p>
      <w:pPr>
        <w:pageBreakBefore w:val="false"/>
        <w:spacing w:before="345" w:after="0" w:line="33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7" w:after="500"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39"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472.1pt" to="252.05pt,472.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2"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28"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24" w:after="0" w:line="290" w:lineRule="exact"/>
        <w:ind w:right="0" w:left="0" w:firstLine="720"/>
        <w:jc w:val="both"/>
        <w:textAlignment w:val="baseline"/>
        <w:rPr>
          <w:rFonts w:ascii="Arial" w:hAnsi="Arial" w:eastAsia="Arial"/>
          <w:color w:val="000000"/>
          <w:spacing w:val="-4"/>
          <w:w w:val="100"/>
          <w:sz w:val="16"/>
          <w:vertAlign w:val="superscript"/>
          <w:lang w:val="en-US"/>
        </w:rPr>
      </w:pPr>
      <w:r>
        <w:rPr>
          <w:rFonts w:ascii="Arial" w:hAnsi="Arial" w:eastAsia="Arial"/>
          <w:color w:val="000000"/>
          <w:spacing w:val="-4"/>
          <w:w w:val="100"/>
          <w:sz w:val="16"/>
          <w:vertAlign w:val="superscript"/>
          <w:lang w:val="en-US"/>
        </w:rPr>
        <w:t xml:space="preserve">4</w:t>
      </w:r>
      <w:r>
        <w:rPr>
          <w:rFonts w:ascii="Arial" w:hAnsi="Arial" w:eastAsia="Arial"/>
          <w:color w:val="000000"/>
          <w:spacing w:val="-4"/>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w:t>
      </w:r>
    </w:p>
    <w:p>
      <w:pPr>
        <w:sectPr>
          <w:type w:val="nextPage"/>
          <w:pgSz w:w="12240" w:h="15840" w:orient="portrait"/>
          <w:pgMar w:bottom="1024" w:top="1420" w:right="2140" w:left="2160" w:header="720" w:footer="720"/>
          <w:titlePg w:val="false"/>
          <w:textDirection w:val="lrTb"/>
        </w:sectPr>
      </w:pPr>
    </w:p>
    <w:p>
      <w:pPr>
        <w:pageBreakBefore w:val="false"/>
        <w:spacing w:before="1" w:after="0" w:line="340"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7"/>
          <w:vertAlign w:val="baseline"/>
          <w:lang w:val="en-US"/>
        </w:rPr>
        <w:t xml:space="preserve">
</w:t>
      </w:r>
    </w:p>
    <w:p>
      <w:pPr>
        <w:pageBreakBefore w:val="false"/>
        <w:spacing w:before="336" w:after="1887" w:line="340"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17"/>
          <w:vertAlign w:val="baseline"/>
          <w:lang w:val="en-US"/>
        </w:rPr>
        <w:t xml:space="preserve"> </w:t>
      </w:r>
      <w:r>
        <w:rPr>
          <w:rFonts w:ascii="Arial" w:hAnsi="Arial" w:eastAsia="Arial"/>
          <w:color w:val="000000"/>
          <w:spacing w:val="-2"/>
          <w:w w:val="100"/>
          <w:sz w:val="28"/>
          <w:vertAlign w:val="baseline"/>
          <w:lang w:val="en-US"/>
        </w:rPr>
        <w:t xml:space="preserve">operates a motor vehicle </w:t>
      </w:r>
      <w:r>
        <w:rPr>
          <w:rFonts w:ascii="Arial" w:hAnsi="Arial" w:eastAsia="Arial"/>
          <w:color w:val="000000"/>
          <w:spacing w:val="-2"/>
          <w:w w:val="100"/>
          <w:sz w:val="28"/>
          <w:vertAlign w:val="superscript"/>
          <w:lang w:val="en-US"/>
        </w:rPr>
        <w:t xml:space="preserve">7</w:t>
      </w:r>
      <w:r>
        <w:rPr>
          <w:rFonts w:ascii="Arial" w:hAnsi="Arial" w:eastAsia="Arial"/>
          <w:color w:val="000000"/>
          <w:spacing w:val="-2"/>
          <w:w w:val="100"/>
          <w:sz w:val="17"/>
          <w:vertAlign w:val="baseline"/>
          <w:lang w:val="en-US"/>
        </w:rPr>
        <w:t xml:space="preserve">
</w:t>
      </w:r>
    </w:p>
    <w:p>
      <w:pPr>
        <w:pageBreakBefore w:val="false"/>
        <w:spacing w:before="242" w:after="0" w:line="290"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7.75pt,404.15pt" to="252.05pt,404.1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9" w:after="0" w:line="29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3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causing the death of another person at the end of the statute.</w:t>
      </w:r>
    </w:p>
    <w:p>
      <w:pPr>
        <w:pageBreakBefore w:val="false"/>
        <w:spacing w:before="224" w:after="0" w:line="290"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7</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20" w:right="2145" w:left="2155" w:header="720" w:footer="720"/>
          <w:titlePg w:val="false"/>
          <w:textDirection w:val="lrTb"/>
        </w:sectPr>
      </w:pPr>
    </w:p>
    <w:p>
      <w:pPr>
        <w:pageBreakBefore w:val="false"/>
        <w:spacing w:before="8"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7" w:after="0" w:line="340"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0" w:line="33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41" w:after="0" w:line="34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64"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44" w:after="0" w:line="340"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44" w:after="0" w:line="34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332" w:after="0" w:line="340"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12</w:t>
      </w:r>
      <w:r>
        <w:rPr>
          <w:rFonts w:ascii="Arial" w:hAnsi="Arial" w:eastAsia="Arial"/>
          <w:color w:val="000000"/>
          <w:spacing w:val="-2"/>
          <w:w w:val="100"/>
          <w:sz w:val="28"/>
          <w:vertAlign w:val="baseline"/>
          <w:lang w:val="en-US"/>
        </w:rPr>
        <w:t xml:space="preserve">).]</w:t>
      </w:r>
    </w:p>
    <w:p>
      <w:pPr>
        <w:pageBreakBefore w:val="false"/>
        <w:spacing w:before="340" w:after="580"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 </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257" w:after="0" w:line="277"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8pt,541.7pt" to="252.05pt,541.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8</w:t>
      </w:r>
      <w:r>
        <w:rPr>
          <w:rFonts w:ascii="Arial" w:hAnsi="Arial" w:eastAsia="Arial"/>
          <w:color w:val="000000"/>
          <w:spacing w:val="0"/>
          <w:w w:val="100"/>
          <w:sz w:val="24"/>
          <w:vertAlign w:val="baseline"/>
          <w:lang w:val="en-US"/>
        </w:rPr>
        <w:t xml:space="preserve"> Vehicle &amp; Traffic Law § 1192 (2).</w:t>
      </w:r>
    </w:p>
    <w:p>
      <w:pPr>
        <w:pageBreakBefore w:val="false"/>
        <w:spacing w:before="237" w:after="0" w:line="282"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(3).</w:t>
      </w:r>
    </w:p>
    <w:p>
      <w:pPr>
        <w:pageBreakBefore w:val="false"/>
        <w:spacing w:before="23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(4).</w:t>
      </w:r>
    </w:p>
    <w:p>
      <w:pPr>
        <w:pageBreakBefore w:val="false"/>
        <w:spacing w:before="239" w:after="0" w:line="275"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(4-a).</w:t>
      </w:r>
    </w:p>
    <w:p>
      <w:pPr>
        <w:pageBreakBefore w:val="false"/>
        <w:spacing w:before="24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37"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Penal Law § 10.00 (10)</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080" w:right="2140" w:left="2160" w:header="720" w:footer="720"/>
          <w:titlePg w:val="false"/>
          <w:textDirection w:val="lrTb"/>
        </w:sectPr>
      </w:pPr>
    </w:p>
    <w:p>
      <w:pPr>
        <w:pageBreakBefore w:val="false"/>
        <w:spacing w:before="20" w:after="0" w:line="337"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36" w:after="0" w:line="339"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serious physical injury or death of another person, then you may, but are not required to, infer that, as a result of such intoxication or impairment, such person operated the motor vehicle in a manner that caused such serious physical injury or death of another person.</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17"/>
          <w:vertAlign w:val="baseline"/>
          <w:lang w:val="en-US"/>
        </w:rPr>
        <w:t xml:space="preserve">
</w:t>
      </w:r>
    </w:p>
    <w:p>
      <w:pPr>
        <w:pageBreakBefore w:val="false"/>
        <w:spacing w:before="349" w:after="0" w:line="339"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360"/>
          <w:tab w:val="left" w:pos="1080"/>
        </w:tabs>
        <w:spacing w:before="337" w:after="0" w:line="33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43" w:after="0" w:line="339"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64" w:after="0" w:line="321"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3" w:after="361" w:line="339" w:lineRule="exact"/>
        <w:ind w:right="0" w:left="144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while the defendant had .08 of one per centum or more by weight of alcohol in his/her blood as shown by chemical analysis of his/her blood, breath, urine or</w:t>
      </w:r>
    </w:p>
    <w:p>
      <w:pPr>
        <w:pageBreakBefore w:val="false"/>
        <w:spacing w:before="244"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598.3pt" to="252.05pt,598.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060" w:right="2145" w:left="2155" w:header="720" w:footer="720"/>
          <w:titlePg w:val="false"/>
          <w:textDirection w:val="lrTb"/>
        </w:sectPr>
      </w:pPr>
    </w:p>
    <w:p>
      <w:pPr>
        <w:pageBreakBefore w:val="false"/>
        <w:spacing w:before="8" w:after="0" w:line="319"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saliva.</w:t>
      </w:r>
    </w:p>
    <w:p>
      <w:pPr>
        <w:pageBreakBefore w:val="false"/>
        <w:spacing w:before="363"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45" w:after="0" w:line="33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45" w:after="0" w:line="33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spacing w:before="341" w:after="0" w:line="340"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3. That as a result of such intoxication [or impairment by the use of a drug, or impairment by the combined influence of drugs or of alcohol and any drug or drugs], the defendant operated such motor vehicle in a manner that caused the death of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and caused serious physical injury to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w:t>
      </w:r>
    </w:p>
    <w:p>
      <w:pPr>
        <w:pageBreakBefore w:val="false"/>
        <w:spacing w:before="339" w:after="0"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3" w:after="4607"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43" w:after="4607" w:line="340" w:lineRule="exact"/>
        <w:sectPr>
          <w:type w:val="nextPage"/>
          <w:pgSz w:w="12240" w:h="15840" w:orient="portrait"/>
          <w:pgMar w:bottom="1024" w:top="108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