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MANSLAUGHTER IN THE SECOND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(Reckless Homicide)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125.15(1)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1967)</w:t>
      </w:r>
    </w:p>
    <w:p>
      <w:pPr>
        <w:pageBreakBefore w:val="false"/>
        <w:spacing w:before="649" w:after="0" w:line="320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-3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) count is Manslaughter in the Second Degree.</w:t>
      </w:r>
    </w:p>
    <w:p>
      <w:pPr>
        <w:pageBreakBefore w:val="false"/>
        <w:spacing w:before="329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Manslaughter in the Second Degree when that person recklessly causes the death of another person.</w:t>
      </w:r>
    </w:p>
    <w:p>
      <w:pPr>
        <w:pageBreakBefore w:val="false"/>
        <w:spacing w:before="349" w:after="0" w:line="307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 used in that definition has a special meaning: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2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acts RECKLESSLY with respect to a death when that person</w:t>
      </w:r>
    </w:p>
    <w:p>
      <w:pPr>
        <w:pageBreakBefore w:val="false"/>
        <w:spacing w:before="333" w:after="0" w:line="321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engages in conduct which creates or contributes to a substantial and unjustifiable risk that another person's death will occur,</w:t>
      </w:r>
    </w:p>
    <w:p>
      <w:pPr>
        <w:pageBreakBefore w:val="false"/>
        <w:spacing w:before="332" w:after="0" w:line="321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and when he or she is aware of and consciously disregards that risk,</w:t>
      </w:r>
    </w:p>
    <w:p>
      <w:pPr>
        <w:pageBreakBefore w:val="false"/>
        <w:spacing w:before="325" w:after="0" w:line="323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and when that risk is of such nature and degree that disregard of it constitutes a gross deviation from the standard of conduct that a reasonable person would observe in the situation.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2" w:after="0" w:line="326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NOTE: Where there is evidence of voluntary intoxication on the part of the defendant, add:</w:t>
      </w:r>
    </w:p>
    <w:p>
      <w:pPr>
        <w:pageBreakBefore w:val="false"/>
        <w:spacing w:before="0" w:after="973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A person also acts recklessly when he or she creates such a risk but is unaware of that risk solely by reason of his or her</w:t>
      </w:r>
    </w:p>
    <w:p>
      <w:pPr>
        <w:pageBreakBefore w:val="false"/>
        <w:spacing w:before="223" w:after="0" w:line="254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-2"/>
          <w:w w:val="100"/>
          <w:sz w:val="14"/>
          <w:vertAlign w:val="baseline"/>
          <w:lang w:val="en-US"/>
        </w:rPr>
      </w:pPr>
      <w:r>
        <w:pict>
          <v:line strokeweight="0.95pt" strokecolor="#000000" from="107.75pt,673.9pt" to="252.05pt,673.9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-2"/>
          <w:w w:val="100"/>
          <w:sz w:val="14"/>
          <w:vertAlign w:val="baseline"/>
          <w:lang w:val="en-US"/>
        </w:rPr>
        <w:t xml:space="preserve">1 </w:t>
      </w:r>
      <w:r>
        <w:rPr>
          <w:rFonts w:ascii="Arial" w:hAnsi="Arial" w:eastAsia="Arial"/>
          <w:color w:val="000000"/>
          <w:spacing w:val="-2"/>
          <w:w w:val="100"/>
          <w:sz w:val="19"/>
          <w:vertAlign w:val="baseline"/>
          <w:lang w:val="en-US"/>
        </w:rPr>
        <w:t xml:space="preserve">If causation, "death," or “person” is in issue, see Additional Charges at the end of this article.</w:t>
      </w:r>
    </w:p>
    <w:p>
      <w:pPr>
        <w:pageBreakBefore w:val="false"/>
        <w:spacing w:before="211" w:after="0" w:line="250" w:lineRule="exact"/>
        <w:ind w:right="0" w:left="144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baseline"/>
          <w:lang w:val="en-US"/>
        </w:rPr>
        <w:t xml:space="preserve">2 </w:t>
      </w:r>
      <w:r>
        <w:rPr>
          <w:rFonts w:ascii="Arial" w:hAnsi="Arial" w:eastAsia="Arial"/>
          <w:i w:val="true"/>
          <w:color w:val="000000"/>
          <w:spacing w:val="0"/>
          <w:w w:val="100"/>
          <w:sz w:val="19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19"/>
          <w:vertAlign w:val="baseline"/>
          <w:lang w:val="en-US"/>
        </w:rPr>
        <w:t xml:space="preserve">Penal Law § 15.05(3); </w:t>
      </w:r>
      <w:r>
        <w:rPr>
          <w:rFonts w:ascii="Arial" w:hAnsi="Arial" w:eastAsia="Arial"/>
          <w:i w:val="true"/>
          <w:color w:val="000000"/>
          <w:spacing w:val="0"/>
          <w:w w:val="100"/>
          <w:sz w:val="19"/>
          <w:vertAlign w:val="baseline"/>
          <w:lang w:val="en-US"/>
        </w:rPr>
        <w:t xml:space="preserve">People v. Boutin</w:t>
      </w:r>
      <w:r>
        <w:rPr>
          <w:rFonts w:ascii="Arial" w:hAnsi="Arial" w:eastAsia="Arial"/>
          <w:color w:val="000000"/>
          <w:spacing w:val="0"/>
          <w:w w:val="100"/>
          <w:sz w:val="19"/>
          <w:vertAlign w:val="baseline"/>
          <w:lang w:val="en-US"/>
        </w:rPr>
        <w:t xml:space="preserve">, 75 NY2d 692, 696 (1990).</w:t>
      </w:r>
    </w:p>
    <w:p>
      <w:pPr>
        <w:sectPr>
          <w:type w:val="nextPage"/>
          <w:pgSz w:w="12240" w:h="15840" w:orient="portrait"/>
          <w:pgMar w:bottom="984" w:top="144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43" w:after="0" w:line="31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voluntary intoxication.</w:t>
      </w:r>
      <w:r>
        <w:rPr>
          <w:rFonts w:ascii="Arial" w:hAnsi="Arial" w:eastAsia="Arial"/>
          <w:color w:val="000000"/>
          <w:spacing w:val="-2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30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8" w:after="0" w:line="321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caused the death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3" w:after="0" w:line="315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recklessly.</w:t>
      </w:r>
    </w:p>
    <w:p>
      <w:pPr>
        <w:pageBreakBefore w:val="false"/>
        <w:spacing w:before="333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33" w:after="5782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333" w:after="5782" w:line="321" w:lineRule="exact"/>
        <w:sectPr>
          <w:type w:val="nextPage"/>
          <w:pgSz w:w="12240" w:h="15840" w:orient="portrait"/>
          <w:pgMar w:bottom="1024" w:top="140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227" w:after="0" w:line="249" w:lineRule="exact"/>
        <w:ind w:right="0" w:left="216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6.35pt;height:14.95pt;z-index:-1000;margin-left:297.7pt;margin-top:705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2" w:after="0" w:line="286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6"/>
                      <w:vertAlign w:val="baseline"/>
                      <w:lang w:val="en-US"/>
                    </w:rPr>
                    <w:t xml:space="preserve">2</w:t>
                  </w:r>
                </w:p>
              </w:txbxContent>
            </v:textbox>
          </v:shape>
        </w:pict>
      </w:r>
      <w:r>
        <w:pict>
          <v:line strokeweight="0.95pt" strokecolor="#000000" from="108pt,670.1pt" to="252.05pt,670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0"/>
          <w:w w:val="100"/>
          <w:sz w:val="19"/>
          <w:vertAlign w:val="baseline"/>
          <w:lang w:val="en-US"/>
        </w:rPr>
        <w:t xml:space="preserve">See</w:t>
      </w:r>
      <w:r>
        <w:rPr>
          <w:rFonts w:ascii="Arial" w:hAnsi="Arial" w:eastAsia="Arial"/>
          <w:color w:val="000000"/>
          <w:spacing w:val="0"/>
          <w:w w:val="100"/>
          <w:sz w:val="19"/>
          <w:vertAlign w:val="baseline"/>
          <w:lang w:val="en-US"/>
        </w:rPr>
        <w:t xml:space="preserve">, Penal Law § 15.05(3).</w:t>
      </w:r>
    </w:p>
    <w:sectPr>
      <w:type w:val="continuous"/>
      <w:pgSz w:w="12240" w:h="15840" w:orient="portrait"/>
      <w:pgMar w:bottom="1024" w:top="1400" w:right="7200" w:left="216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