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8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MANSLAUGHTER IN THE FIRST DEGREE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(Recklessly Causing Child's Death;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Intent to Cause Child Physical Injury)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125.20(4)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Nov. 1, 1990)</w:t>
      </w:r>
    </w:p>
    <w:p>
      <w:pPr>
        <w:pageBreakBefore w:val="false"/>
        <w:spacing w:before="648" w:after="0" w:line="326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count is Manslaughter in the First Degree.</w:t>
      </w:r>
    </w:p>
    <w:p>
      <w:pPr>
        <w:pageBreakBefore w:val="false"/>
        <w:spacing w:before="309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Manslaughter in the First Degree when, being eighteen (18) years old or more and with intent to cause physical injury to a person less than eleven (11) years old, he or she recklessly engages in conduct which creates a grave risk of serious physical injury to such person and thereby causes the death of such person.</w:t>
      </w:r>
    </w:p>
    <w:p>
      <w:pPr>
        <w:pageBreakBefore w:val="false"/>
        <w:spacing w:before="344" w:after="0" w:line="312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19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PHYSICAL INJURY means impairment of physical condition or substantial pain.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16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SERIOUS PHYSICAL INJURY means impairment of a person's physical condition which creates a substantial risk of death or which causes death or serious and protracted disfigurement, protracted impairment of health or protracted loss or impairment of the function of any bodily organ.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1" w:after="310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5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5"/>
          <w:w w:val="100"/>
          <w:sz w:val="28"/>
          <w:vertAlign w:val="baseline"/>
          <w:lang w:val="en-US"/>
        </w:rPr>
        <w:t xml:space="preserve">INTENT means conscious objective or purpose.</w:t>
      </w:r>
      <w:r>
        <w:rPr>
          <w:rFonts w:ascii="Arial" w:hAnsi="Arial" w:eastAsia="Arial"/>
          <w:color w:val="000000"/>
          <w:spacing w:val="-5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color w:val="000000"/>
          <w:spacing w:val="-5"/>
          <w:w w:val="100"/>
          <w:sz w:val="28"/>
          <w:vertAlign w:val="baseline"/>
          <w:lang w:val="en-US"/>
        </w:rPr>
        <w:t xml:space="preserve"> Thus, a person acts with intent to cause physical injury to a person less than eleven (11) years old when that person's conscious objective</w:t>
      </w:r>
    </w:p>
    <w:p>
      <w:pPr>
        <w:pageBreakBefore w:val="false"/>
        <w:spacing w:before="261" w:after="0" w:line="277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1.2pt" strokecolor="#000000" from="108pt,575.05pt" to="252.05pt,575.0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 If causation, "death," or "person" is in issue, see Additional Charges at the end of this article.</w:t>
      </w:r>
    </w:p>
    <w:p>
      <w:pPr>
        <w:pageBreakBefore w:val="false"/>
        <w:spacing w:before="234" w:after="0" w:line="277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 Penal Law § 10.00(9)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; See People v. Chiddick</w:t>
      </w:r>
      <w:r>
        <w:rPr>
          <w:rFonts w:ascii="Arial" w:hAnsi="Arial" w:eastAsia="Arial"/>
          <w:color w:val="000000"/>
          <w:spacing w:val="0"/>
          <w:w w:val="100"/>
          <w:sz w:val="19"/>
          <w:vertAlign w:val="baseline"/>
          <w:lang w:val="en-US"/>
        </w:rPr>
        <w:t xml:space="preserve">,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8 NY3d 445 (2007).</w:t>
      </w:r>
    </w:p>
    <w:p>
      <w:pPr>
        <w:pageBreakBefore w:val="false"/>
        <w:spacing w:before="239" w:after="0" w:line="277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 Penal Law § 10.00(10).</w:t>
      </w:r>
    </w:p>
    <w:p>
      <w:pPr>
        <w:pageBreakBefore w:val="false"/>
        <w:spacing w:before="244" w:after="0" w:line="277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4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15.05(1). If necessary, an expanded definition of "intent" is available in the section on Instructions of General Applicability under Culpable Mental States.</w:t>
      </w:r>
    </w:p>
    <w:p>
      <w:pPr>
        <w:sectPr>
          <w:type w:val="nextPage"/>
          <w:pgSz w:w="12240" w:h="15840" w:orient="portrait"/>
          <w:pgMar w:bottom="1024" w:top="108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0" w:after="0" w:line="326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or purpose is to cause physical injury to a person less than eleven (11) years old.</w:t>
      </w:r>
    </w:p>
    <w:p>
      <w:pPr>
        <w:pageBreakBefore w:val="false"/>
        <w:spacing w:before="322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person acts RECKLESSLY with respect to this count when that person:</w:t>
      </w:r>
    </w:p>
    <w:p>
      <w:pPr>
        <w:pageBreakBefore w:val="false"/>
        <w:spacing w:before="328" w:after="0" w:line="321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engages in conduct which creates a substantial, unjustifiable, and grave risk that serious physical injury to a person less than eleven (11) years old will occur,</w:t>
      </w:r>
    </w:p>
    <w:p>
      <w:pPr>
        <w:pageBreakBefore w:val="false"/>
        <w:spacing w:before="321" w:after="0" w:line="327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and when he or she is aware of and consciously disregards that risk,</w:t>
      </w:r>
    </w:p>
    <w:p>
      <w:pPr>
        <w:pageBreakBefore w:val="false"/>
        <w:spacing w:before="328" w:after="0" w:line="322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and when that risk is of such nature and degree that disregard of it constitutes a gross deviation from the standard of conduct that a reasonable person would observe in the situation.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5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4" w:after="0" w:line="327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NOTE: Where there is evidence of voluntary intoxication on the part of the defendant, add:</w:t>
      </w:r>
    </w:p>
    <w:p>
      <w:pPr>
        <w:pageBreakBefore w:val="false"/>
        <w:spacing w:before="1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person also acts recklessly when he or she creates such a risk but is unaware of that risk solely by reason of his or her voluntary intoxication.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6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]</w:t>
      </w:r>
    </w:p>
    <w:p>
      <w:pPr>
        <w:pageBreakBefore w:val="false"/>
        <w:spacing w:before="327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each of the following four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3" w:after="0" w:line="325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the defendant,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(defendant's name)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caused the death of a person less than eleven (11) years old, namely,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;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31" w:after="370" w:line="317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by recklessly engaging in</w:t>
      </w:r>
    </w:p>
    <w:p>
      <w:pPr>
        <w:pageBreakBefore w:val="false"/>
        <w:spacing w:before="261" w:after="0" w:line="272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1.2pt" strokecolor="#000000" from="107.75pt,624.25pt" to="252.05pt,624.2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5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15.05(3); 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People v. Boutin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, 75 NY2d 692, 696 (1990).</w:t>
      </w:r>
    </w:p>
    <w:p>
      <w:pPr>
        <w:pageBreakBefore w:val="false"/>
        <w:spacing w:before="244" w:after="0" w:line="273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6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15.05(3).</w:t>
      </w:r>
    </w:p>
    <w:p>
      <w:pPr>
        <w:pageBreakBefore w:val="false"/>
        <w:spacing w:before="250" w:after="0" w:line="272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2</w:t>
      </w:r>
    </w:p>
    <w:p>
      <w:pPr>
        <w:sectPr>
          <w:type w:val="nextPage"/>
          <w:pgSz w:w="12240" w:h="15840" w:orient="portrait"/>
          <w:pgMar w:bottom="1384" w:top="1080" w:right="2145" w:left="2155" w:header="720" w:footer="720"/>
          <w:titlePg w:val="false"/>
          <w:textDirection w:val="lrTb"/>
        </w:sectPr>
      </w:pPr>
    </w:p>
    <w:p>
      <w:pPr>
        <w:pageBreakBefore w:val="false"/>
        <w:spacing w:before="0" w:after="0" w:line="327" w:lineRule="exact"/>
        <w:ind w:right="0" w:left="144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conduct which created a grave risk of serious physical injury to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(specify)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;</w:t>
      </w:r>
    </w:p>
    <w:p>
      <w:pPr>
        <w:pageBreakBefore w:val="false"/>
        <w:numPr>
          <w:ilvl w:val="0"/>
          <w:numId w:val="2"/>
        </w:numPr>
        <w:tabs>
          <w:tab w:val="clear" w:pos="720"/>
          <w:tab w:val="left" w:pos="1440"/>
        </w:tabs>
        <w:spacing w:before="322" w:after="0" w:line="326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the defendant acted with the intent to cause physical injury to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; and</w:t>
      </w:r>
    </w:p>
    <w:p>
      <w:pPr>
        <w:pageBreakBefore w:val="false"/>
        <w:numPr>
          <w:ilvl w:val="0"/>
          <w:numId w:val="2"/>
        </w:numPr>
        <w:tabs>
          <w:tab w:val="clear" w:pos="720"/>
          <w:tab w:val="left" w:pos="1440"/>
        </w:tabs>
        <w:spacing w:before="326" w:after="0" w:line="322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That, at such time, the defendant was eighteen (18) years old or more.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each of those elements, you must find the defendant guilty of this crime.</w:t>
      </w:r>
    </w:p>
    <w:p>
      <w:pPr>
        <w:pageBreakBefore w:val="false"/>
        <w:spacing w:before="324" w:after="7496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beyond a reasonable doubt any one or more of those elements, you must find the defendant not guilty of this crime.</w:t>
      </w:r>
    </w:p>
    <w:p>
      <w:pPr>
        <w:spacing w:before="324" w:after="7496" w:line="324" w:lineRule="exact"/>
        <w:sectPr>
          <w:type w:val="nextPage"/>
          <w:pgSz w:w="12240" w:h="15840" w:orient="portrait"/>
          <w:pgMar w:bottom="1384" w:top="1080" w:right="2145" w:left="2155" w:header="720" w:footer="720"/>
          <w:titlePg w:val="false"/>
          <w:textDirection w:val="lrTb"/>
        </w:sectPr>
      </w:pPr>
    </w:p>
    <w:p>
      <w:pPr>
        <w:pageBreakBefore w:val="false"/>
        <w:spacing w:before="2" w:after="0" w:line="274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3</w:t>
      </w:r>
    </w:p>
    <w:sectPr>
      <w:type w:val="continuous"/>
      <w:pgSz w:w="12240" w:h="15840" w:orient="portrait"/>
      <w:pgMar w:bottom="1384" w:top="1080" w:right="2148" w:left="2152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color w:val="000000"/>
        <w:spacing w:val="0"/>
        <w:w w:val="100"/>
        <w:sz w:val="28"/>
        <w:vertAlign w:val="baseline"/>
        <w:lang w:val="en-US"/>
      </w:rPr>
    </w:lvl>
  </w:abstractNum>
  <w:abstractNum w:abstractNumId="2">
    <w:lvl w:ilvl="0">
      <w:start w:val="3"/>
      <w:numFmt w:val="decimal"/>
      <w:lvlText w:val="%1."/>
      <w:pPr>
        <w:tabs>
          <w:tab w:val="left" w:pos="720"/>
        </w:tabs>
      </w:pPr>
      <w:rPr>
        <w:rFonts w:ascii="Arial" w:hAnsi="Arial" w:eastAsia="Arial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