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MANSLAUGHTER IN THE FIRST DEGREE</w:t>
        <w:br/>
      </w:r>
      <w:r>
        <w:rPr>
          <w:rFonts w:ascii="Arial" w:hAnsi="Arial" w:eastAsia="Arial"/>
          <w:b w:val="true"/>
          <w:color w:val="000000"/>
          <w:spacing w:val="0"/>
          <w:w w:val="100"/>
          <w:sz w:val="28"/>
          <w:vertAlign w:val="baseline"/>
          <w:lang w:val="en-US"/>
        </w:rPr>
        <w:t xml:space="preserve">(Intentional Homicide</w:t>
        <w:br/>
      </w:r>
      <w:r>
        <w:rPr>
          <w:rFonts w:ascii="Arial" w:hAnsi="Arial" w:eastAsia="Arial"/>
          <w:b w:val="true"/>
          <w:color w:val="000000"/>
          <w:spacing w:val="0"/>
          <w:w w:val="100"/>
          <w:sz w:val="28"/>
          <w:vertAlign w:val="baseline"/>
          <w:lang w:val="en-US"/>
        </w:rPr>
        <w:t xml:space="preserve">Under Extreme Emotional Disturbance)</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br/>
      </w:r>
      <w:r>
        <w:rPr>
          <w:rFonts w:ascii="Arial" w:hAnsi="Arial" w:eastAsia="Arial"/>
          <w:b w:val="true"/>
          <w:color w:val="000000"/>
          <w:spacing w:val="0"/>
          <w:w w:val="100"/>
          <w:sz w:val="28"/>
          <w:vertAlign w:val="baseline"/>
          <w:lang w:val="en-US"/>
        </w:rPr>
        <w:t xml:space="preserve">Penal Law § 125.22(2)</w:t>
        <w:br/>
      </w:r>
      <w:r>
        <w:rPr>
          <w:rFonts w:ascii="Arial" w:hAnsi="Arial" w:eastAsia="Arial"/>
          <w:b w:val="true"/>
          <w:color w:val="000000"/>
          <w:spacing w:val="0"/>
          <w:w w:val="100"/>
          <w:sz w:val="28"/>
          <w:vertAlign w:val="baseline"/>
          <w:lang w:val="en-US"/>
        </w:rPr>
        <w:t xml:space="preserve">(Committed on or after Dec. 21, 2005)</w:t>
      </w:r>
    </w:p>
    <w:p>
      <w:pPr>
        <w:pageBreakBefore w:val="false"/>
        <w:spacing w:before="641"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Manslaughter in the First Degree.</w:t>
      </w:r>
    </w:p>
    <w:p>
      <w:pPr>
        <w:pageBreakBefore w:val="false"/>
        <w:spacing w:before="310"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Manslaughter in the First Degree when, with intent to cause the death of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where such officer was in the course of performing his or her official duties, and the defendant knew or reasonably should have known that such victim was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he or she causes the death of such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peace officer].</w:t>
      </w:r>
    </w:p>
    <w:p>
      <w:pPr>
        <w:pageBreakBefore w:val="false"/>
        <w:spacing w:before="337" w:after="0" w:line="31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18" w:after="1603"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Thus, a person acts with intent to cause the death of another person when that person's conscious objective or purpose is to cause the death of that person.</w:t>
      </w:r>
    </w:p>
    <w:p>
      <w:pPr>
        <w:pageBreakBefore w:val="false"/>
        <w:spacing w:before="270" w:after="0" w:line="219" w:lineRule="exact"/>
        <w:ind w:right="0" w:left="0" w:firstLine="144"/>
        <w:jc w:val="both"/>
        <w:textAlignment w:val="baseline"/>
        <w:rPr>
          <w:rFonts w:ascii="Arial" w:hAnsi="Arial" w:eastAsia="Arial"/>
          <w:color w:val="000000"/>
          <w:spacing w:val="-2"/>
          <w:w w:val="100"/>
          <w:sz w:val="14"/>
          <w:vertAlign w:val="superscript"/>
          <w:lang w:val="en-US"/>
        </w:rPr>
      </w:pPr>
      <w:r>
        <w:pict>
          <v:line strokeweight="0.95pt" strokecolor="#000000" from="107.75pt,558.5pt" to="252.05pt,558.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w:t>
      </w:r>
      <w:r>
        <w:rPr>
          <w:rFonts w:ascii="Arial" w:hAnsi="Arial" w:eastAsia="Arial"/>
          <w:color w:val="000000"/>
          <w:spacing w:val="-2"/>
          <w:w w:val="100"/>
          <w:sz w:val="19"/>
          <w:vertAlign w:val="baseline"/>
          <w:lang w:val="en-US"/>
        </w:rPr>
        <w:t xml:space="preserve">This charge should be used in those relatively rare cases where, having heard evidence of "extreme emotional disturbance,” the Grand Jury finds legally sufficient evidence of an intentional killing, but votes to indict the defendant only for Aggravated Manslaughter in the First Degree, rather than for Aggravated Murder. In such cases, the affirmative defense of “extreme emotional disturbance,” having been accepted by the Grand Jury, is no longer relevant at trial and need not be established by the defendant nor proven as an element of the crime by the People. </w:t>
      </w:r>
      <w:r>
        <w:rPr>
          <w:rFonts w:ascii="Arial" w:hAnsi="Arial" w:eastAsia="Arial"/>
          <w:i w:val="true"/>
          <w:color w:val="000000"/>
          <w:spacing w:val="-2"/>
          <w:w w:val="100"/>
          <w:sz w:val="19"/>
          <w:vertAlign w:val="baseline"/>
          <w:lang w:val="en-US"/>
        </w:rPr>
        <w:t xml:space="preserve">See </w:t>
      </w:r>
      <w:r>
        <w:rPr>
          <w:rFonts w:ascii="Arial" w:hAnsi="Arial" w:eastAsia="Arial"/>
          <w:color w:val="000000"/>
          <w:spacing w:val="-2"/>
          <w:w w:val="100"/>
          <w:sz w:val="19"/>
          <w:vertAlign w:val="baseline"/>
          <w:lang w:val="en-US"/>
        </w:rPr>
        <w:t xml:space="preserve">Penal Law § 125.20(2).</w:t>
      </w:r>
    </w:p>
    <w:p>
      <w:pPr>
        <w:pageBreakBefore w:val="false"/>
        <w:spacing w:before="242" w:after="0" w:line="219" w:lineRule="exact"/>
        <w:ind w:right="0" w:left="0" w:firstLine="144"/>
        <w:jc w:val="both"/>
        <w:textAlignment w:val="baseline"/>
        <w:rPr>
          <w:rFonts w:ascii="Arial" w:hAnsi="Arial" w:eastAsia="Arial"/>
          <w:color w:val="000000"/>
          <w:spacing w:val="0"/>
          <w:w w:val="100"/>
          <w:sz w:val="14"/>
          <w:vertAlign w:val="baseline"/>
          <w:lang w:val="en-US"/>
        </w:rPr>
      </w:pPr>
      <w:r>
        <w:rPr>
          <w:rFonts w:ascii="Arial" w:hAnsi="Arial" w:eastAsia="Arial"/>
          <w:color w:val="000000"/>
          <w:spacing w:val="0"/>
          <w:w w:val="100"/>
          <w:sz w:val="14"/>
          <w:vertAlign w:val="baseline"/>
          <w:lang w:val="en-US"/>
        </w:rPr>
        <w:t xml:space="preserve">2 </w:t>
      </w:r>
      <w:r>
        <w:rPr>
          <w:rFonts w:ascii="Arial" w:hAnsi="Arial" w:eastAsia="Arial"/>
          <w:color w:val="000000"/>
          <w:spacing w:val="0"/>
          <w:w w:val="100"/>
          <w:sz w:val="19"/>
          <w:vertAlign w:val="baseline"/>
          <w:lang w:val="en-US"/>
        </w:rPr>
        <w:t xml:space="preserve">If causation, “death,” or “person” is in issue, see Additional Charges at the end of this article. Additionally, if the status of the deceased as a police or peace officer is at issue, refer to the definitions of “police officer” set forth in CPL § 1.20(34) and of “peace officer” set forth in CPL § 2.10.</w:t>
      </w:r>
    </w:p>
    <w:p>
      <w:pPr>
        <w:pageBreakBefore w:val="false"/>
        <w:spacing w:before="249" w:after="0" w:line="219"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15.05(1). If necessary, an expanded definition of "intent" is available in the section on Instructions of General Applicability under Culpable Mental States.</w:t>
      </w:r>
    </w:p>
    <w:p>
      <w:pPr>
        <w:sectPr>
          <w:type w:val="nextPage"/>
          <w:pgSz w:w="12240" w:h="15840" w:orient="portrait"/>
          <w:pgMar w:bottom="664" w:top="1080" w:right="2145" w:left="2155" w:header="720" w:footer="720"/>
          <w:titlePg w:val="false"/>
          <w:textDirection w:val="lrTb"/>
        </w:sectPr>
      </w:pPr>
    </w:p>
    <w:p>
      <w:pPr>
        <w:pageBreakBefore w:val="false"/>
        <w:spacing w:before="0" w:after="0" w:line="325" w:lineRule="exact"/>
        <w:ind w:right="72"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In a case of “transferred intent,” add the following paragraph:</w:t>
      </w:r>
    </w:p>
    <w:p>
      <w:pPr>
        <w:pageBreakBefore w:val="false"/>
        <w:spacing w:before="0" w:after="0" w:line="323" w:lineRule="exact"/>
        <w:ind w:right="72"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not required that the police officer [or peace officer] who dies be the same police officer [or peace officer] who was intended to be injured.]</w:t>
      </w:r>
    </w:p>
    <w:p>
      <w:pPr>
        <w:pageBreakBefore w:val="false"/>
        <w:spacing w:before="326" w:after="0" w:line="323"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REASONABLY SHOULD HAVE KNOWN that his or her intended victim was a police officer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peace officer] if, in the same circumstances, a reasonable person in the same position and possessing the same knowledge, would have known that such intended victim was a police officer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peace officer].</w:t>
      </w:r>
      <w:r>
        <w:rPr>
          <w:rFonts w:ascii="Arial" w:hAnsi="Arial" w:eastAsia="Arial"/>
          <w:color w:val="000000"/>
          <w:spacing w:val="-4"/>
          <w:w w:val="100"/>
          <w:sz w:val="28"/>
          <w:vertAlign w:val="superscript"/>
          <w:lang w:val="en-US"/>
        </w:rPr>
        <w:t xml:space="preserve">4</w:t>
      </w:r>
      <w:r>
        <w:rPr>
          <w:rFonts w:ascii="Arial" w:hAnsi="Arial" w:eastAsia="Arial"/>
          <w:color w:val="000000"/>
          <w:spacing w:val="-4"/>
          <w:w w:val="100"/>
          <w:sz w:val="17"/>
          <w:vertAlign w:val="baseline"/>
          <w:lang w:val="en-US"/>
        </w:rPr>
        <w:t xml:space="preserve">
</w:t>
      </w:r>
    </w:p>
    <w:p>
      <w:pPr>
        <w:pageBreakBefore w:val="false"/>
        <w:spacing w:before="326" w:after="0" w:line="325"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is in the course of performing his or her OFFICIAL DUTIES when he or she is acting pursuant to his or her occupation 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rather than as a private citizen.</w:t>
      </w:r>
    </w:p>
    <w:p>
      <w:pPr>
        <w:pageBreakBefore w:val="false"/>
        <w:spacing w:before="318" w:after="0" w:line="326"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8" w:after="0" w:line="321"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3"/>
          <w:vertAlign w:val="baseline"/>
          <w:lang w:val="en-US"/>
        </w:rPr>
        <w:t xml:space="preserve">(</w:t>
      </w:r>
      <w:r>
        <w:rPr>
          <w:rFonts w:ascii="Arial" w:hAnsi="Arial" w:eastAsia="Arial"/>
          <w:i w:val="true"/>
          <w:color w:val="000000"/>
          <w:spacing w:val="0"/>
          <w:w w:val="100"/>
          <w:sz w:val="23"/>
          <w:u w:val="single"/>
          <w:vertAlign w:val="baseline"/>
          <w:lang w:val="en-US"/>
        </w:rPr>
        <w:t xml:space="preserve">county</w:t>
      </w:r>
      <w:r>
        <w:rPr>
          <w:rFonts w:ascii="Arial" w:hAnsi="Arial" w:eastAsia="Arial"/>
          <w:color w:val="000000"/>
          <w:spacing w:val="0"/>
          <w:w w:val="100"/>
          <w:sz w:val="23"/>
          <w:vertAlign w:val="baseline"/>
          <w:lang w:val="en-US"/>
        </w:rPr>
        <w:t xml:space="preserve">)</w:t>
      </w:r>
      <w:r>
        <w:rPr>
          <w:rFonts w:ascii="Arial" w:hAnsi="Arial" w:eastAsia="Arial"/>
          <w:color w:val="000000"/>
          <w:spacing w:val="0"/>
          <w:w w:val="100"/>
          <w:sz w:val="28"/>
          <w:vertAlign w:val="baseline"/>
          <w:lang w:val="en-US"/>
        </w:rPr>
        <w:t xml:space="preserve">, the defendant, </w:t>
      </w:r>
      <w:r>
        <w:rPr>
          <w:rFonts w:ascii="Arial" w:hAnsi="Arial" w:eastAsia="Arial"/>
          <w:color w:val="000000"/>
          <w:spacing w:val="0"/>
          <w:w w:val="100"/>
          <w:sz w:val="23"/>
          <w:vertAlign w:val="baseline"/>
          <w:lang w:val="en-US"/>
        </w:rPr>
        <w:t xml:space="preserve">(</w:t>
      </w:r>
      <w:r>
        <w:rPr>
          <w:rFonts w:ascii="Arial" w:hAnsi="Arial" w:eastAsia="Arial"/>
          <w:i w:val="true"/>
          <w:color w:val="000000"/>
          <w:spacing w:val="0"/>
          <w:w w:val="100"/>
          <w:sz w:val="23"/>
          <w:u w:val="single"/>
          <w:vertAlign w:val="baseline"/>
          <w:lang w:val="en-US"/>
        </w:rPr>
        <w:t xml:space="preserve">defendant's name</w:t>
      </w:r>
      <w:r>
        <w:rPr>
          <w:rFonts w:ascii="Arial" w:hAnsi="Arial" w:eastAsia="Arial"/>
          <w:color w:val="000000"/>
          <w:spacing w:val="0"/>
          <w:w w:val="100"/>
          <w:sz w:val="23"/>
          <w:vertAlign w:val="baseline"/>
          <w:lang w:val="en-US"/>
        </w:rPr>
        <w:t xml:space="preserve">)</w:t>
      </w:r>
      <w:r>
        <w:rPr>
          <w:rFonts w:ascii="Arial" w:hAnsi="Arial" w:eastAsia="Arial"/>
          <w:color w:val="000000"/>
          <w:spacing w:val="0"/>
          <w:w w:val="100"/>
          <w:sz w:val="28"/>
          <w:vertAlign w:val="baseline"/>
          <w:lang w:val="en-US"/>
        </w:rPr>
        <w:t xml:space="preserve">, caused the death of </w:t>
      </w:r>
      <w:r>
        <w:rPr>
          <w:rFonts w:ascii="Arial" w:hAnsi="Arial" w:eastAsia="Arial"/>
          <w:i w:val="true"/>
          <w:color w:val="000000"/>
          <w:spacing w:val="0"/>
          <w:w w:val="100"/>
          <w:sz w:val="23"/>
          <w:u w:val="single"/>
          <w:vertAlign w:val="baseline"/>
          <w:lang w:val="en-US"/>
        </w:rPr>
        <w:t xml:space="preserve">(specify)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32" w:after="0" w:line="321"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cause the death of </w:t>
      </w:r>
      <w:r>
        <w:rPr>
          <w:rFonts w:ascii="Arial" w:hAnsi="Arial" w:eastAsia="Arial"/>
          <w:i w:val="true"/>
          <w:color w:val="000000"/>
          <w:spacing w:val="0"/>
          <w:w w:val="100"/>
          <w:sz w:val="23"/>
          <w:u w:val="single"/>
          <w:vertAlign w:val="baseline"/>
          <w:lang w:val="en-US"/>
        </w:rPr>
        <w:t xml:space="preserve">(intended victim)</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numPr>
          <w:ilvl w:val="0"/>
          <w:numId w:val="1"/>
        </w:numPr>
        <w:tabs>
          <w:tab w:val="clear" w:pos="720"/>
          <w:tab w:val="left" w:pos="1440"/>
        </w:tabs>
        <w:spacing w:before="324" w:after="0" w:line="324"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killing, </w:t>
      </w:r>
      <w:r>
        <w:rPr>
          <w:rFonts w:ascii="Arial" w:hAnsi="Arial" w:eastAsia="Arial"/>
          <w:i w:val="true"/>
          <w:color w:val="000000"/>
          <w:spacing w:val="0"/>
          <w:w w:val="100"/>
          <w:sz w:val="23"/>
          <w:u w:val="single"/>
          <w:vertAlign w:val="baseline"/>
          <w:lang w:val="en-US"/>
        </w:rPr>
        <w:t xml:space="preserve">(intended victim)</w:t>
      </w:r>
      <w:r>
        <w:rPr>
          <w:rFonts w:ascii="Arial" w:hAnsi="Arial" w:eastAsia="Arial"/>
          <w:color w:val="000000"/>
          <w:spacing w:val="0"/>
          <w:w w:val="100"/>
          <w:sz w:val="28"/>
          <w:vertAlign w:val="baseline"/>
          <w:lang w:val="en-US"/>
        </w:rPr>
        <w:t xml:space="preserve"> was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in the course of performing his/her official duties; and</w:t>
      </w:r>
    </w:p>
    <w:p>
      <w:pPr>
        <w:pageBreakBefore w:val="false"/>
        <w:numPr>
          <w:ilvl w:val="0"/>
          <w:numId w:val="1"/>
        </w:numPr>
        <w:tabs>
          <w:tab w:val="clear" w:pos="720"/>
          <w:tab w:val="left" w:pos="1440"/>
        </w:tabs>
        <w:spacing w:before="324" w:after="1261" w:line="324"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killing, the defendant knew or reasonably should have known that </w:t>
      </w:r>
      <w:r>
        <w:rPr>
          <w:rFonts w:ascii="Arial" w:hAnsi="Arial" w:eastAsia="Arial"/>
          <w:i w:val="true"/>
          <w:color w:val="000000"/>
          <w:spacing w:val="0"/>
          <w:w w:val="100"/>
          <w:sz w:val="23"/>
          <w:u w:val="single"/>
          <w:vertAlign w:val="baseline"/>
          <w:lang w:val="en-US"/>
        </w:rPr>
        <w:t xml:space="preserve"> (intended victim)  </w:t>
      </w:r>
      <w:r>
        <w:rPr>
          <w:rFonts w:ascii="Arial" w:hAnsi="Arial" w:eastAsia="Arial"/>
          <w:color w:val="000000"/>
          <w:spacing w:val="0"/>
          <w:w w:val="100"/>
          <w:sz w:val="28"/>
          <w:vertAlign w:val="baseline"/>
          <w:lang w:val="en-US"/>
        </w:rPr>
        <w:t xml:space="preserve">was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w:t>
      </w:r>
    </w:p>
    <w:p>
      <w:pPr>
        <w:pageBreakBefore w:val="false"/>
        <w:spacing w:before="272" w:after="0" w:line="253" w:lineRule="exact"/>
        <w:ind w:right="72" w:left="216" w:firstLine="0"/>
        <w:jc w:val="left"/>
        <w:textAlignment w:val="baseline"/>
        <w:rPr>
          <w:rFonts w:ascii="Arial" w:hAnsi="Arial" w:eastAsia="Arial"/>
          <w:color w:val="000000"/>
          <w:spacing w:val="1"/>
          <w:w w:val="100"/>
          <w:sz w:val="14"/>
          <w:vertAlign w:val="baseline"/>
          <w:lang w:val="en-US"/>
        </w:rPr>
      </w:pPr>
      <w:r>
        <w:pict>
          <v:line strokeweight="1.2pt" strokecolor="#000000" from="108pt,685.2pt" to="252.05pt,685.2pt" style="position:absolute;mso-position-horizontal-relative:page;mso-position-vertical-relative:page;">
            <v:stroke dashstyle="solid"/>
          </v:line>
        </w:pict>
      </w:r>
      <w:r>
        <w:rPr>
          <w:rFonts w:ascii="Arial" w:hAnsi="Arial" w:eastAsia="Arial"/>
          <w:color w:val="000000"/>
          <w:spacing w:val="1"/>
          <w:w w:val="100"/>
          <w:sz w:val="14"/>
          <w:vertAlign w:val="baseline"/>
          <w:lang w:val="en-US"/>
        </w:rPr>
        <w:t xml:space="preserve">4 </w:t>
      </w:r>
      <w:r>
        <w:rPr>
          <w:rFonts w:ascii="Arial" w:hAnsi="Arial" w:eastAsia="Arial"/>
          <w:i w:val="true"/>
          <w:color w:val="000000"/>
          <w:spacing w:val="1"/>
          <w:w w:val="100"/>
          <w:sz w:val="19"/>
          <w:vertAlign w:val="baseline"/>
          <w:lang w:val="en-US"/>
        </w:rPr>
        <w:t xml:space="preserve">Cf. People v. Goetz, </w:t>
      </w:r>
      <w:r>
        <w:rPr>
          <w:rFonts w:ascii="Arial" w:hAnsi="Arial" w:eastAsia="Arial"/>
          <w:color w:val="000000"/>
          <w:spacing w:val="1"/>
          <w:w w:val="100"/>
          <w:sz w:val="19"/>
          <w:vertAlign w:val="baseline"/>
          <w:lang w:val="en-US"/>
        </w:rPr>
        <w:t xml:space="preserve">68 N.Y.2d 96 (1986).</w:t>
      </w:r>
    </w:p>
    <w:p>
      <w:pPr>
        <w:pageBreakBefore w:val="false"/>
        <w:spacing w:before="258" w:after="0" w:line="297" w:lineRule="exact"/>
        <w:ind w:right="72"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664" w:top="1080" w:right="2080" w:left="2160" w:header="720" w:footer="720"/>
          <w:titlePg w:val="false"/>
          <w:textDirection w:val="lrTb"/>
        </w:sectPr>
      </w:pPr>
    </w:p>
    <w:p>
      <w:pPr>
        <w:pageBreakBefore w:val="false"/>
        <w:spacing w:before="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11116"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18" w:after="11116" w:line="326" w:lineRule="exact"/>
        <w:sectPr>
          <w:type w:val="nextPage"/>
          <w:pgSz w:w="12240" w:h="15840" w:orient="portrait"/>
          <w:pgMar w:bottom="664" w:top="1080" w:right="2115" w:left="2125"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continuous"/>
      <w:pgSz w:w="12240" w:h="15840" w:orient="portrait"/>
      <w:pgMar w:bottom="664" w:top="1080" w:right="2117" w:left="212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