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MURDER IN THE FIRST DEGREE</w:t>
        <w:br/>
      </w:r>
      <w:r>
        <w:rPr>
          <w:rFonts w:ascii="Arial" w:hAnsi="Arial" w:eastAsia="Arial"/>
          <w:b w:val="true"/>
          <w:strike w:val="false"/>
          <w:color w:val="000000"/>
          <w:spacing w:val="0"/>
          <w:w w:val="100"/>
          <w:sz w:val="28"/>
          <w:vertAlign w:val="baseline"/>
          <w:lang w:val="en-US"/>
        </w:rPr>
        <w:t xml:space="preserve">(Intentional Murder Accompanied by Torture)</w:t>
        <w:br/>
      </w:r>
      <w:r>
        <w:rPr>
          <w:rFonts w:ascii="Arial" w:hAnsi="Arial" w:eastAsia="Arial"/>
          <w:b w:val="true"/>
          <w:strike w:val="false"/>
          <w:color w:val="000000"/>
          <w:spacing w:val="0"/>
          <w:w w:val="100"/>
          <w:sz w:val="28"/>
          <w:vertAlign w:val="baseline"/>
          <w:lang w:val="en-US"/>
        </w:rPr>
        <w:t xml:space="preserve">Penal Law § 125.27(1)(a)(x)</w:t>
        <w:br/>
      </w:r>
      <w:r>
        <w:rPr>
          <w:rFonts w:ascii="Arial" w:hAnsi="Arial" w:eastAsia="Arial"/>
          <w:b w:val="true"/>
          <w:strike w:val="false"/>
          <w:color w:val="000000"/>
          <w:spacing w:val="0"/>
          <w:w w:val="100"/>
          <w:sz w:val="28"/>
          <w:vertAlign w:val="baseline"/>
          <w:lang w:val="en-US"/>
        </w:rPr>
        <w:t xml:space="preserve">(Committed on or after Sept. 1, 1995)</w:t>
      </w:r>
    </w:p>
    <w:p>
      <w:pPr>
        <w:pageBreakBefore w:val="false"/>
        <w:spacing w:before="2" w:after="0" w:line="276" w:lineRule="exact"/>
        <w:ind w:right="0" w:left="0" w:firstLine="0"/>
        <w:jc w:val="center"/>
        <w:textAlignment w:val="baseline"/>
        <w:rPr>
          <w:rFonts w:ascii="Arial" w:hAnsi="Arial" w:eastAsia="Arial"/>
          <w:b w:val="true"/>
          <w:strike w:val="false"/>
          <w:color w:val="000000"/>
          <w:spacing w:val="-5"/>
          <w:w w:val="100"/>
          <w:sz w:val="24"/>
          <w:vertAlign w:val="baseline"/>
          <w:lang w:val="en-US"/>
        </w:rPr>
      </w:pPr>
      <w:r>
        <w:rPr>
          <w:rFonts w:ascii="Arial" w:hAnsi="Arial" w:eastAsia="Arial"/>
          <w:b w:val="true"/>
          <w:strike w:val="false"/>
          <w:color w:val="000000"/>
          <w:spacing w:val="-5"/>
          <w:w w:val="100"/>
          <w:sz w:val="24"/>
          <w:vertAlign w:val="baseline"/>
          <w:lang w:val="en-US"/>
        </w:rPr>
        <w:t xml:space="preserve">Revised Aug. 2018</w:t>
      </w:r>
      <w:r>
        <w:rPr>
          <w:rFonts w:ascii="Arial" w:hAnsi="Arial" w:eastAsia="Arial"/>
          <w:strike w:val="false"/>
          <w:color w:val="000000"/>
          <w:spacing w:val="-5"/>
          <w:w w:val="100"/>
          <w:sz w:val="24"/>
          <w:vertAlign w:val="superscript"/>
          <w:lang w:val="en-US"/>
        </w:rPr>
        <w:t xml:space="preserve">1</w:t>
      </w:r>
      <w:r>
        <w:rPr>
          <w:rFonts w:ascii="Arial" w:hAnsi="Arial" w:eastAsia="Arial"/>
          <w:strike w:val="false"/>
          <w:color w:val="000000"/>
          <w:spacing w:val="-5"/>
          <w:w w:val="100"/>
          <w:sz w:val="14"/>
          <w:vertAlign w:val="baseline"/>
          <w:lang w:val="en-US"/>
        </w:rPr>
        <w:t xml:space="preserve">
</w:t>
      </w:r>
    </w:p>
    <w:p>
      <w:pPr>
        <w:pageBreakBefore w:val="false"/>
        <w:spacing w:before="656" w:after="0" w:line="326"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Murder in the First Degree.</w:t>
      </w:r>
    </w:p>
    <w:p>
      <w:pPr>
        <w:pageBreakBefore w:val="false"/>
        <w:spacing w:before="30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defendant is guilty of Murder in the First Degree when, with intent to cause the death of another person, the defendant causes the death of such person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of a third person]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and the defendant acted in an especially cruel and wanton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manner pursuant to a course of conduct intended to inflict and inflicting torture upon the victim prior to the victim's death, and the defendant was more than eighteen (18) years old at the time of the commission of the crime.</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4" w:after="451" w:line="326"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28"/>
          <w:vertAlign w:val="baseline"/>
          <w:lang w:val="en-US"/>
        </w:rPr>
        <w:t xml:space="preserve"> A person engages in a course of conduct INTENDED to inflict torture upon the victim prior to the victim's</w:t>
      </w:r>
    </w:p>
    <w:p>
      <w:pPr>
        <w:pageBreakBefore w:val="false"/>
        <w:spacing w:before="258" w:after="0" w:line="278" w:lineRule="exact"/>
        <w:ind w:right="144" w:left="0" w:firstLine="216"/>
        <w:jc w:val="both"/>
        <w:textAlignment w:val="baseline"/>
        <w:rPr>
          <w:rFonts w:ascii="Arial" w:hAnsi="Arial" w:eastAsia="Arial"/>
          <w:strike w:val="false"/>
          <w:color w:val="000000"/>
          <w:spacing w:val="0"/>
          <w:w w:val="100"/>
          <w:sz w:val="14"/>
          <w:vertAlign w:val="superscript"/>
          <w:lang w:val="en-US"/>
        </w:rPr>
      </w:pPr>
      <w:r>
        <w:pict>
          <v:line strokeweight="1.2pt" strokecolor="#000000" from="108pt,516.25pt" to="252.05pt,516.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August 2018 revision was for the purpose of deleting a dictionary definition of “cruel” and “wanton” for reasons set forth in footnote three.</w:t>
      </w:r>
    </w:p>
    <w:p>
      <w:pPr>
        <w:pageBreakBefore w:val="false"/>
        <w:spacing w:before="272" w:after="0" w:line="275" w:lineRule="exact"/>
        <w:ind w:right="0" w:left="0" w:firstLine="288"/>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3"/>
          <w:vertAlign w:val="baseline"/>
          <w:lang w:val="en-US"/>
        </w:rPr>
        <w:t xml:space="preserve">If transferred intent applies and is in issue, see Additional Charges at the end of this article.</w:t>
      </w:r>
    </w:p>
    <w:p>
      <w:pPr>
        <w:pageBreakBefore w:val="false"/>
        <w:spacing w:before="226" w:after="0" w:line="278" w:lineRule="exact"/>
        <w:ind w:right="0" w:left="0" w:firstLine="216"/>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There is no statutory or decisional definition of "cruel" and "wanton." Both terms should be in the ordinary ken of a juror, especially in the context of a required element of "torture," which is defined. Whether a dictionary definition of either term should be charged is a decision left to the sound discretion of the trial judge.</w:t>
      </w:r>
    </w:p>
    <w:p>
      <w:pPr>
        <w:pageBreakBefore w:val="false"/>
        <w:spacing w:before="268" w:after="0" w:line="286" w:lineRule="exact"/>
        <w:ind w:right="0" w:left="0" w:firstLine="288"/>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15.05(1). </w:t>
      </w:r>
      <w:r>
        <w:rPr>
          <w:rFonts w:ascii="Arial" w:hAnsi="Arial" w:eastAsia="Arial"/>
          <w:strike w:val="false"/>
          <w:color w:val="000000"/>
          <w:spacing w:val="0"/>
          <w:w w:val="100"/>
          <w:sz w:val="24"/>
          <w:vertAlign w:val="baseline"/>
          <w:lang w:val="en-US"/>
        </w:rPr>
        <w:t xml:space="preserve">For an expanded charge on intent, see General Charges, Culpable Mental States, Intent.</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6"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death when his or her conscious objective or purpose is to do so.</w:t>
      </w:r>
    </w:p>
    <w:p>
      <w:pPr>
        <w:pageBreakBefore w:val="false"/>
        <w:spacing w:before="332" w:after="0" w:line="323" w:lineRule="exact"/>
        <w:ind w:right="72"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TORTURE means the intentional and depraved infliction of extreme physical pain.</w:t>
      </w:r>
      <w:r>
        <w:rPr>
          <w:rFonts w:ascii="Arial" w:hAnsi="Arial" w:eastAsia="Arial"/>
          <w:strike w:val="false"/>
          <w:color w:val="000000"/>
          <w:spacing w:val="-5"/>
          <w:w w:val="100"/>
          <w:sz w:val="28"/>
          <w:vertAlign w:val="superscript"/>
          <w:lang w:val="en-US"/>
        </w:rPr>
        <w:t xml:space="preserve">5</w:t>
      </w:r>
      <w:r>
        <w:rPr>
          <w:rFonts w:ascii="Arial" w:hAnsi="Arial" w:eastAsia="Arial"/>
          <w:strike w:val="false"/>
          <w:color w:val="000000"/>
          <w:spacing w:val="-5"/>
          <w:w w:val="100"/>
          <w:sz w:val="28"/>
          <w:vertAlign w:val="baseline"/>
          <w:lang w:val="en-US"/>
        </w:rPr>
        <w:t xml:space="preserve"> DEPRAVED means that the defendant relished the infliction of extreme physical pain upon the victim, evidencing debasement or perversion or that the defendant evidenced a sense of pleasure in the infliction of extreme physical pain.</w:t>
      </w:r>
      <w:r>
        <w:rPr>
          <w:rFonts w:ascii="Arial" w:hAnsi="Arial" w:eastAsia="Arial"/>
          <w:strike w:val="false"/>
          <w:color w:val="000000"/>
          <w:spacing w:val="-5"/>
          <w:w w:val="100"/>
          <w:sz w:val="28"/>
          <w:vertAlign w:val="superscript"/>
          <w:lang w:val="en-US"/>
        </w:rPr>
        <w:t xml:space="preserve">6</w:t>
      </w:r>
      <w:r>
        <w:rPr>
          <w:rFonts w:ascii="Arial" w:hAnsi="Arial" w:eastAsia="Arial"/>
          <w:strike w:val="false"/>
          <w:color w:val="000000"/>
          <w:spacing w:val="-5"/>
          <w:w w:val="100"/>
          <w:sz w:val="28"/>
          <w:vertAlign w:val="baseline"/>
          <w:lang w:val="en-US"/>
        </w:rPr>
        <w:t xml:space="preserve"> A person's infliction of extreme physical pain upon another person is INTENTIONAL when it is his or her conscious objective or purpose to inflict extreme physical pain upon that person.</w:t>
      </w:r>
      <w:r>
        <w:rPr>
          <w:rFonts w:ascii="Arial" w:hAnsi="Arial" w:eastAsia="Arial"/>
          <w:strike w:val="false"/>
          <w:color w:val="000000"/>
          <w:spacing w:val="-5"/>
          <w:w w:val="100"/>
          <w:sz w:val="28"/>
          <w:vertAlign w:val="superscript"/>
          <w:lang w:val="en-US"/>
        </w:rPr>
        <w:t xml:space="preserve">7</w:t>
      </w:r>
      <w:r>
        <w:rPr>
          <w:rFonts w:ascii="Arial" w:hAnsi="Arial" w:eastAsia="Arial"/>
          <w:strike w:val="false"/>
          <w:color w:val="000000"/>
          <w:spacing w:val="-5"/>
          <w:w w:val="100"/>
          <w:sz w:val="17"/>
          <w:vertAlign w:val="baseline"/>
          <w:lang w:val="en-US"/>
        </w:rPr>
        <w:t xml:space="preserve">
</w:t>
      </w:r>
    </w:p>
    <w:p>
      <w:pPr>
        <w:pageBreakBefore w:val="false"/>
        <w:spacing w:before="327" w:after="0" w:line="324"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caused the death of </w:t>
      </w:r>
      <w:r>
        <w:rPr>
          <w:rFonts w:ascii="Arial" w:hAnsi="Arial" w:eastAsia="Arial"/>
          <w:i w:val="true"/>
          <w:strike w:val="false"/>
          <w:color w:val="000000"/>
          <w:spacing w:val="0"/>
          <w:w w:val="100"/>
          <w:sz w:val="23"/>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7" w:after="0" w:line="321"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cause the death of </w:t>
      </w:r>
      <w:r>
        <w:rPr>
          <w:rFonts w:ascii="Arial" w:hAnsi="Arial" w:eastAsia="Arial"/>
          <w:i w:val="true"/>
          <w:strike w:val="false"/>
          <w:color w:val="000000"/>
          <w:spacing w:val="0"/>
          <w:w w:val="100"/>
          <w:sz w:val="23"/>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acted in an especially cruel and wanton manner pursuant to a course of conduct intended to inflict and inflicting torture upon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i w:val="true"/>
          <w:strike w:val="false"/>
          <w:color w:val="000000"/>
          <w:spacing w:val="0"/>
          <w:w w:val="100"/>
          <w:sz w:val="23"/>
          <w:vertAlign w:val="baseline"/>
          <w:lang w:val="en-US"/>
        </w:rPr>
        <w:t xml:space="preserve"> </w:t>
      </w:r>
      <w:r>
        <w:rPr>
          <w:rFonts w:ascii="Arial" w:hAnsi="Arial" w:eastAsia="Arial"/>
          <w:strike w:val="false"/>
          <w:color w:val="000000"/>
          <w:spacing w:val="0"/>
          <w:w w:val="100"/>
          <w:sz w:val="28"/>
          <w:vertAlign w:val="baseline"/>
          <w:lang w:val="en-US"/>
        </w:rPr>
        <w:t xml:space="preserve">prior to his/her death; and</w:t>
      </w:r>
    </w:p>
    <w:p>
      <w:pPr>
        <w:pageBreakBefore w:val="false"/>
        <w:numPr>
          <w:ilvl w:val="0"/>
          <w:numId w:val="1"/>
        </w:numPr>
        <w:tabs>
          <w:tab w:val="clear" w:pos="720"/>
          <w:tab w:val="left" w:pos="1440"/>
        </w:tabs>
        <w:spacing w:before="327" w:after="0" w:line="321" w:lineRule="exact"/>
        <w:ind w:right="72" w:left="1440" w:hanging="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defendant was more than eighteen (18) years old at the time of the commission of the crime.</w:t>
      </w:r>
    </w:p>
    <w:p>
      <w:pPr>
        <w:pageBreakBefore w:val="false"/>
        <w:spacing w:before="331" w:after="357" w:line="322" w:lineRule="exact"/>
        <w:ind w:right="72"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proven beyond a reasonable doubt each of those elements, you must find the defendant guilty</w:t>
      </w:r>
    </w:p>
    <w:p>
      <w:pPr>
        <w:pageBreakBefore w:val="false"/>
        <w:spacing w:before="282" w:after="0" w:line="287" w:lineRule="exact"/>
        <w:ind w:right="0" w:left="288" w:firstLine="0"/>
        <w:jc w:val="left"/>
        <w:textAlignment w:val="baseline"/>
        <w:rPr>
          <w:rFonts w:ascii="Arial" w:hAnsi="Arial" w:eastAsia="Arial"/>
          <w:strike w:val="false"/>
          <w:color w:val="000000"/>
          <w:spacing w:val="-2"/>
          <w:w w:val="100"/>
          <w:sz w:val="17"/>
          <w:vertAlign w:val="baseline"/>
          <w:lang w:val="en-US"/>
        </w:rPr>
      </w:pPr>
      <w:r>
        <w:pict>
          <v:line strokeweight="1.2pt" strokecolor="#000000" from="108pt,609.1pt" to="252.05pt,609.1pt" style="position:absolute;mso-position-horizontal-relative:page;mso-position-vertical-relative:page;">
            <v:stroke dashstyle="solid"/>
          </v:line>
        </w:pict>
      </w:r>
      <w:r>
        <w:rPr>
          <w:rFonts w:ascii="Arial" w:hAnsi="Arial" w:eastAsia="Arial"/>
          <w:strike w:val="false"/>
          <w:color w:val="000000"/>
          <w:spacing w:val="-2"/>
          <w:w w:val="100"/>
          <w:sz w:val="17"/>
          <w:vertAlign w:val="baseline"/>
          <w:lang w:val="en-US"/>
        </w:rPr>
        <w:t xml:space="preserve">5 </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125.27(1)(a)(x).</w:t>
      </w:r>
    </w:p>
    <w:p>
      <w:pPr>
        <w:pageBreakBefore w:val="false"/>
        <w:spacing w:before="270" w:after="0" w:line="292" w:lineRule="exact"/>
        <w:ind w:right="0" w:left="288" w:firstLine="0"/>
        <w:jc w:val="left"/>
        <w:textAlignment w:val="baseline"/>
        <w:rPr>
          <w:rFonts w:ascii="Arial" w:hAnsi="Arial" w:eastAsia="Arial"/>
          <w:strike w:val="false"/>
          <w:color w:val="000000"/>
          <w:spacing w:val="-2"/>
          <w:w w:val="100"/>
          <w:sz w:val="17"/>
          <w:vertAlign w:val="baseline"/>
          <w:lang w:val="en-US"/>
        </w:rPr>
      </w:pPr>
      <w:r>
        <w:rPr>
          <w:rFonts w:ascii="Arial" w:hAnsi="Arial" w:eastAsia="Arial"/>
          <w:strike w:val="false"/>
          <w:color w:val="000000"/>
          <w:spacing w:val="-2"/>
          <w:w w:val="100"/>
          <w:sz w:val="17"/>
          <w:vertAlign w:val="baseline"/>
          <w:lang w:val="en-US"/>
        </w:rPr>
        <w:t xml:space="preserve">6 </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125.27(1)(a)(x).</w:t>
      </w:r>
    </w:p>
    <w:p>
      <w:pPr>
        <w:pageBreakBefore w:val="false"/>
        <w:spacing w:before="274" w:after="262" w:line="290" w:lineRule="exact"/>
        <w:ind w:right="0" w:left="288" w:firstLine="0"/>
        <w:jc w:val="left"/>
        <w:textAlignment w:val="baseline"/>
        <w:rPr>
          <w:rFonts w:ascii="Arial" w:hAnsi="Arial" w:eastAsia="Arial"/>
          <w:strike w:val="false"/>
          <w:color w:val="000000"/>
          <w:spacing w:val="-2"/>
          <w:w w:val="100"/>
          <w:sz w:val="17"/>
          <w:vertAlign w:val="baseline"/>
          <w:lang w:val="en-US"/>
        </w:rPr>
      </w:pPr>
      <w:r>
        <w:rPr>
          <w:rFonts w:ascii="Arial" w:hAnsi="Arial" w:eastAsia="Arial"/>
          <w:strike w:val="false"/>
          <w:color w:val="000000"/>
          <w:spacing w:val="-2"/>
          <w:w w:val="100"/>
          <w:sz w:val="17"/>
          <w:vertAlign w:val="baseline"/>
          <w:lang w:val="en-US"/>
        </w:rPr>
        <w:t xml:space="preserve">7 </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15.05(1).</w:t>
      </w: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p>
      <w:pPr>
        <w:sectPr>
          <w:type w:val="nextPage"/>
          <w:pgSz w:w="12240" w:h="15840" w:orient="portrait"/>
          <w:pgMar w:bottom="1024" w:top="1440" w:right="2080" w:left="2160"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8" w:after="9446" w:line="321" w:lineRule="exact"/>
        <w:ind w:right="0" w:left="0" w:firstLine="0"/>
        <w:jc w:val="both"/>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If either of the affirmative defenses -- Extreme Emotional Disturbance (§ 125.27(2)(a)) or Aiding a Suicide (§ 125.27(2)(b)) -- applies, omit the final two paragraphs of the above charge, and substitute one of the charges at the end of this article.]</w:t>
      </w:r>
    </w:p>
    <w:p>
      <w:pPr>
        <w:spacing w:before="328" w:after="9446" w:line="321" w:lineRule="exact"/>
        <w:sectPr>
          <w:type w:val="nextPage"/>
          <w:pgSz w:w="12240" w:h="15840" w:orient="portrait"/>
          <w:pgMar w:bottom="1024" w:top="1440" w:right="2110" w:left="213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w:t>
      </w:r>
    </w:p>
    <w:sectPr>
      <w:type w:val="continuous"/>
      <w:pgSz w:w="12240" w:h="15840" w:orient="portrait"/>
      <w:pgMar w:bottom="1024" w:top="1440" w:right="2125" w:left="211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