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MISCONDUCT</w:t>
        <w:br/>
      </w:r>
      <w:r>
        <w:rPr>
          <w:rFonts w:ascii="Arial" w:hAnsi="Arial" w:eastAsia="Arial"/>
          <w:b w:val="true"/>
          <w:color w:val="000000"/>
          <w:spacing w:val="0"/>
          <w:w w:val="100"/>
          <w:sz w:val="28"/>
          <w:vertAlign w:val="baseline"/>
          <w:lang w:val="en-US"/>
        </w:rPr>
        <w:t xml:space="preserve">(Oral or Anal Sexual Conduct;</w:t>
        <w:br/>
      </w:r>
      <w:r>
        <w:rPr>
          <w:rFonts w:ascii="Arial" w:hAnsi="Arial" w:eastAsia="Arial"/>
          <w:b w:val="true"/>
          <w:color w:val="000000"/>
          <w:spacing w:val="0"/>
          <w:w w:val="100"/>
          <w:sz w:val="28"/>
          <w:vertAlign w:val="baseline"/>
          <w:lang w:val="en-US"/>
        </w:rPr>
        <w:t xml:space="preserve">Incapacity to Consent)</w:t>
        <w:br/>
      </w:r>
      <w:r>
        <w:rPr>
          <w:rFonts w:ascii="Arial" w:hAnsi="Arial" w:eastAsia="Arial"/>
          <w:b w:val="true"/>
          <w:color w:val="000000"/>
          <w:spacing w:val="0"/>
          <w:w w:val="100"/>
          <w:sz w:val="28"/>
          <w:vertAlign w:val="baseline"/>
          <w:lang w:val="en-US"/>
        </w:rPr>
        <w:t xml:space="preserve">Penal Law § 130.20 (2)</w:t>
        <w:br/>
      </w:r>
      <w:r>
        <w:rPr>
          <w:rFonts w:ascii="Arial" w:hAnsi="Arial" w:eastAsia="Arial"/>
          <w:b w:val="true"/>
          <w:color w:val="000000"/>
          <w:spacing w:val="0"/>
          <w:w w:val="100"/>
          <w:sz w:val="28"/>
          <w:vertAlign w:val="baseline"/>
          <w:lang w:val="en-US"/>
        </w:rPr>
        <w:t xml:space="preserve">(Committed on or after Nov. 1, 2003)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(Revised December 2013)</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17"/>
          <w:vertAlign w:val="baseline"/>
          <w:lang w:val="en-US"/>
        </w:rPr>
        <w:t xml:space="preserve">
</w:t>
      </w:r>
    </w:p>
    <w:p>
      <w:pPr>
        <w:pageBreakBefore w:val="false"/>
        <w:spacing w:before="660"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Misconduct.</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Misconduct when he or she engages in</w:t>
      </w:r>
    </w:p>
    <w:p>
      <w:pPr>
        <w:pageBreakBefore w:val="false"/>
        <w:spacing w:before="328" w:after="0" w:line="319"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2"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7"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23"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another person without such person's consent.</w:t>
      </w:r>
    </w:p>
    <w:p>
      <w:pPr>
        <w:pageBreakBefore w:val="false"/>
        <w:spacing w:before="332" w:after="637"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261" w:after="0" w:line="275" w:lineRule="exact"/>
        <w:ind w:right="0" w:left="0" w:firstLine="720"/>
        <w:jc w:val="both"/>
        <w:textAlignment w:val="baseline"/>
        <w:rPr>
          <w:rFonts w:ascii="Arial" w:hAnsi="Arial" w:eastAsia="Arial"/>
          <w:color w:val="000000"/>
          <w:spacing w:val="-2"/>
          <w:w w:val="100"/>
          <w:sz w:val="14"/>
          <w:vertAlign w:val="superscript"/>
          <w:lang w:val="en-US"/>
        </w:rPr>
      </w:pPr>
      <w:r>
        <w:pict>
          <v:line strokeweight="1.2pt" strokecolor="#000000" from="108pt,447.1pt" to="252.05pt,447.1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This instruction is applicable to crimes committed on or after November 1, 2003, except for the provision set forth in Penal Law § 130.05 (3) (i) which was added by the laws of 2012, chapter 501, effective January 16, 2013 and which is set forth in the text to which footnote 24 is appended.</w:t>
      </w:r>
    </w:p>
    <w:p>
      <w:pPr>
        <w:pageBreakBefore w:val="false"/>
        <w:spacing w:before="263" w:after="0" w:line="275"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2</w:t>
      </w:r>
      <w:r>
        <w:rPr>
          <w:rFonts w:ascii="Arial" w:hAnsi="Arial" w:eastAsia="Arial"/>
          <w:color w:val="000000"/>
          <w:spacing w:val="-3"/>
          <w:w w:val="100"/>
          <w:sz w:val="24"/>
          <w:vertAlign w:val="baseline"/>
          <w:lang w:val="en-US"/>
        </w:rPr>
        <w:t xml:space="preserve"> The revision was to accommodate the statutory addition noted in footnote one. The revision also makes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130.05 [3] and 130.10 [4]).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sectPr>
          <w:type w:val="nextPage"/>
          <w:pgSz w:w="12240" w:h="15840" w:orient="portrait"/>
          <w:pgMar w:bottom="1024" w:top="1440" w:right="2140" w:left="2160" w:header="720" w:footer="720"/>
          <w:titlePg w:val="false"/>
          <w:textDirection w:val="lrTb"/>
        </w:sectPr>
      </w:pPr>
    </w:p>
    <w:p>
      <w:pPr>
        <w:pageBreakBefore w:val="false"/>
        <w:spacing w:before="12" w:after="0" w:line="297" w:lineRule="exact"/>
        <w:ind w:right="0" w:left="0" w:firstLine="0"/>
        <w:jc w:val="left"/>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Select applicable alternative(s):</w:t>
      </w:r>
    </w:p>
    <w:p>
      <w:pPr>
        <w:pageBreakBefore w:val="false"/>
        <w:spacing w:before="0" w:after="0" w:line="295" w:lineRule="exact"/>
        <w:ind w:right="0" w:left="72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4"/>
          <w:w w:val="100"/>
          <w:sz w:val="26"/>
          <w:vertAlign w:val="superscript"/>
          <w:lang w:val="en-US"/>
        </w:rPr>
        <w:t xml:space="preserve">3</w:t>
      </w:r>
      <w:r>
        <w:rPr>
          <w:rFonts w:ascii="Arial" w:hAnsi="Arial" w:eastAsia="Arial"/>
          <w:color w:val="000000"/>
          <w:spacing w:val="-4"/>
          <w:w w:val="100"/>
          <w:sz w:val="26"/>
          <w:vertAlign w:val="baseline"/>
          <w:lang w:val="en-US"/>
        </w:rPr>
        <w:t xml:space="preserve">]</w:t>
      </w:r>
    </w:p>
    <w:p>
      <w:pPr>
        <w:pageBreakBefore w:val="false"/>
        <w:spacing w:before="308" w:after="0" w:line="290" w:lineRule="exact"/>
        <w:ind w:right="0" w:left="72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[ANAL SEXUAL CONDUCT means conduct between persons consisting of contact between the penis and anus.</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26"/>
          <w:vertAlign w:val="baseline"/>
          <w:lang w:val="en-US"/>
        </w:rPr>
        <w:t xml:space="preserve">]</w:t>
      </w:r>
    </w:p>
    <w:p>
      <w:pPr>
        <w:pageBreakBefore w:val="false"/>
        <w:spacing w:before="305" w:after="0" w:line="304" w:lineRule="exact"/>
        <w:ind w:right="0" w:left="0" w:firstLine="720"/>
        <w:jc w:val="both"/>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[Oral (or) anal] sexual conduct takes place WITHOUT A PERSON'S CONSENT when that person is deemed incapable of consent. Under our law, a person is deemed INCAPABLE OF CONSENTING to [oral (or) anal] </w:t>
      </w:r>
      <w:r>
        <w:rPr>
          <w:rFonts w:ascii="Arial" w:hAnsi="Arial" w:eastAsia="Arial"/>
          <w:color w:val="000000"/>
          <w:spacing w:val="-1"/>
          <w:w w:val="100"/>
          <w:sz w:val="28"/>
          <w:vertAlign w:val="baseline"/>
          <w:lang w:val="en-US"/>
        </w:rPr>
        <w:t xml:space="preserve">sexual conduct when he or she is</w:t>
      </w:r>
    </w:p>
    <w:p>
      <w:pPr>
        <w:pageBreakBefore w:val="false"/>
        <w:spacing w:before="9" w:after="0" w:line="639" w:lineRule="exact"/>
        <w:ind w:right="0" w:left="72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Select appropriate alternative:</w:t>
        <w:br/>
      </w:r>
      <w:r>
        <w:rPr>
          <w:rFonts w:ascii="Arial" w:hAnsi="Arial" w:eastAsia="Arial"/>
          <w:color w:val="000000"/>
          <w:spacing w:val="0"/>
          <w:w w:val="100"/>
          <w:sz w:val="28"/>
          <w:vertAlign w:val="baseline"/>
          <w:lang w:val="en-US"/>
        </w:rPr>
        <w:t xml:space="preserve">less than seventeen (17) years old.</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1" w:after="323" w:line="324" w:lineRule="exact"/>
        <w:ind w:right="0" w:left="216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actor did not know that the person with whom the actor had [oral (or) anal] sexual conduct was less than seventeen [17] years old, or that the actor believed that such person was seventeen [17] years old or more on the date of the crime.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2" w:after="289" w:line="317" w:lineRule="exact"/>
        <w:ind w:right="0" w:left="0" w:firstLine="0"/>
        <w:jc w:val="left"/>
        <w:textAlignment w:val="baseline"/>
        <w:rPr>
          <w:rFonts w:ascii="Arial" w:hAnsi="Arial" w:eastAsia="Arial"/>
          <w:i w:val="true"/>
          <w:color w:val="000000"/>
          <w:spacing w:val="30"/>
          <w:w w:val="100"/>
          <w:sz w:val="28"/>
          <w:vertAlign w:val="baseline"/>
          <w:lang w:val="en-US"/>
        </w:rPr>
      </w:pPr>
      <w:r>
        <w:rPr>
          <w:rFonts w:ascii="Arial" w:hAnsi="Arial" w:eastAsia="Arial"/>
          <w:i w:val="true"/>
          <w:color w:val="000000"/>
          <w:spacing w:val="30"/>
          <w:w w:val="100"/>
          <w:sz w:val="28"/>
          <w:vertAlign w:val="baseline"/>
          <w:lang w:val="en-US"/>
        </w:rPr>
        <w:t xml:space="preserve">or</w:t>
      </w:r>
    </w:p>
    <w:p>
      <w:pPr>
        <w:pageBreakBefore w:val="false"/>
        <w:spacing w:before="24"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mentally disabled.</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17"/>
          <w:vertAlign w:val="baseline"/>
          <w:lang w:val="en-US"/>
        </w:rPr>
        <w:t xml:space="preserve">
</w:t>
      </w:r>
    </w:p>
    <w:p>
      <w:pPr>
        <w:pageBreakBefore w:val="false"/>
        <w:spacing w:before="329" w:after="331" w:line="324" w:lineRule="exact"/>
        <w:ind w:right="0" w:left="0" w:firstLine="0"/>
        <w:jc w:val="righ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MENTALLY DISABLED means that a person</w:t>
      </w:r>
    </w:p>
    <w:tbl>
      <w:tblPr>
        <w:jc w:val="left"/>
        <w:tblLayout w:type="fixed"/>
        <w:tblCellMar>
          <w:left w:w="0" w:type="dxa"/>
          <w:right w:w="0" w:type="dxa"/>
        </w:tblCellMar>
      </w:tblPr>
      <w:tblGrid>
        <w:gridCol w:w="3031"/>
        <w:gridCol w:w="360"/>
        <w:gridCol w:w="4549"/>
      </w:tblGrid>
      <w:tr>
        <w:trPr>
          <w:trHeight w:val="139" w:hRule="exact"/>
        </w:trPr>
        <w:tc>
          <w:tcPr>
            <w:tcW w:w="3031" w:type="auto"/>
            <w:gridSpan w:val="1"/>
            <w:tcBorders>
              <w:top w:val="none" w:sz="0" w:color="020000"/>
              <w:left w:val="none" w:sz="0" w:color="020000"/>
              <w:bottom w:val="single" w:sz="9"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3391" w:type="auto"/>
            <w:gridSpan w:val="1"/>
            <w:vMerge w:val="restart"/>
            <w:tcBorders>
              <w:top w:val="none" w:sz="0" w:color="020000"/>
              <w:left w:val="none" w:sz="0" w:color="020000"/>
              <w:bottom w:val="single" w:sz="0" w:color="000000"/>
              <w:right w:val="none" w:sz="0" w:color="020000"/>
            </w:tcBorders>
            <w:textDirection w:val="lrTb"/>
            <w:vAlign w:val="bottom"/>
          </w:tcPr>
          <w:p>
            <w:pPr>
              <w:pageBreakBefore w:val="false"/>
              <w:spacing w:before="390" w:after="78" w:line="276"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tc>
        <w:tc>
          <w:tcPr>
            <w:tcW w:w="7940" w:type="auto"/>
            <w:gridSpan w:val="1"/>
            <w:vMerge w:val="restart"/>
            <w:tcBorders>
              <w:top w:val="none" w:sz="0" w:color="020000"/>
              <w:left w:val="none" w:sz="0" w:color="020000"/>
              <w:bottom w:val="single" w:sz="0" w:color="000000"/>
              <w:right w:val="none" w:sz="0" w:color="020000"/>
            </w:tcBorders>
            <w:textDirection w:val="lrTb"/>
            <w:vAlign w:val="bottom"/>
          </w:tcPr>
          <w:p>
            <w:pPr>
              <w:pageBreakBefore w:val="false"/>
              <w:spacing w:before="390" w:after="78" w:line="276" w:lineRule="exact"/>
              <w:ind w:right="4001"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w:t>
            </w:r>
          </w:p>
        </w:tc>
      </w:tr>
      <w:tr>
        <w:trPr>
          <w:trHeight w:val="610" w:hRule="exact"/>
        </w:trPr>
        <w:tc>
          <w:tcPr>
            <w:tcW w:w="3031" w:type="auto"/>
            <w:gridSpan w:val="1"/>
            <w:tcBorders>
              <w:top w:val="single" w:sz="9" w:color="000000"/>
              <w:left w:val="none" w:sz="0" w:color="020000"/>
              <w:bottom w:val="none" w:sz="0" w:color="020000"/>
              <w:right w:val="none" w:sz="0" w:color="020000"/>
            </w:tcBorders>
            <w:textDirection w:val="lrTb"/>
            <w:vAlign w:val="center"/>
          </w:tcPr>
          <w:p>
            <w:pPr>
              <w:pageBreakBefore w:val="false"/>
              <w:spacing w:before="244" w:after="85" w:line="276" w:lineRule="exact"/>
              <w:ind w:right="36" w:left="0" w:firstLine="0"/>
              <w:jc w:val="righ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130.00</w:t>
            </w:r>
          </w:p>
        </w:tc>
        <w:tc>
          <w:tcPr>
            <w:tcW w:w="3391" w:type="auto"/>
            <w:gridSpan w:val="1"/>
            <w:vMerge w:val="continue"/>
            <w:tcBorders>
              <w:top w:val="single" w:sz="0" w:color="000000"/>
              <w:left w:val="none" w:sz="0" w:color="020000"/>
              <w:bottom w:val="none" w:sz="0" w:color="020000"/>
              <w:right w:val="none" w:sz="0" w:color="020000"/>
            </w:tcBorders>
            <w:textDirection w:val="lrTb"/>
            <w:vAlign w:val="bottom"/>
          </w:tcPr>
          <w:p/>
        </w:tc>
        <w:tc>
          <w:tcPr>
            <w:tcW w:w="7940" w:type="auto"/>
            <w:gridSpan w:val="1"/>
            <w:vMerge w:val="continue"/>
            <w:tcBorders>
              <w:top w:val="single" w:sz="0" w:color="000000"/>
              <w:left w:val="none" w:sz="0" w:color="020000"/>
              <w:bottom w:val="none" w:sz="0" w:color="020000"/>
              <w:right w:val="none" w:sz="0" w:color="020000"/>
            </w:tcBorders>
            <w:textDirection w:val="lrTb"/>
            <w:vAlign w:val="bottom"/>
          </w:tcPr>
          <w:p/>
        </w:tc>
      </w:tr>
      <w:tr>
        <w:trPr>
          <w:trHeight w:val="518" w:hRule="exact"/>
        </w:trPr>
        <w:tc>
          <w:tcPr>
            <w:tcW w:w="303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2" w:after="85" w:line="276" w:lineRule="exact"/>
              <w:ind w:right="36" w:left="0" w:firstLine="0"/>
              <w:jc w:val="righ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130.00</w:t>
            </w:r>
          </w:p>
        </w:tc>
        <w:tc>
          <w:tcPr>
            <w:tcW w:w="339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9" w:after="78" w:line="276"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tc>
        <w:tc>
          <w:tcPr>
            <w:tcW w:w="79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9" w:after="78" w:line="276" w:lineRule="exact"/>
              <w:ind w:right="4001"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w:t>
            </w:r>
          </w:p>
        </w:tc>
      </w:tr>
      <w:tr>
        <w:trPr>
          <w:trHeight w:val="501" w:hRule="exact"/>
        </w:trPr>
        <w:tc>
          <w:tcPr>
            <w:tcW w:w="303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8" w:after="75" w:line="276" w:lineRule="exact"/>
              <w:ind w:right="43" w:left="0" w:firstLine="0"/>
              <w:jc w:val="righ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130.05</w:t>
            </w:r>
          </w:p>
        </w:tc>
        <w:tc>
          <w:tcPr>
            <w:tcW w:w="339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5" w:after="68" w:line="276"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tc>
        <w:tc>
          <w:tcPr>
            <w:tcW w:w="79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5" w:after="68" w:line="276" w:lineRule="exact"/>
              <w:ind w:right="4001"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w:t>
            </w:r>
          </w:p>
        </w:tc>
      </w:tr>
    </w:tbl>
    <w:p>
      <w:pPr>
        <w:spacing w:before="0" w:after="124" w:line="20" w:lineRule="exact"/>
      </w:pPr>
    </w:p>
    <w:p>
      <w:pPr>
        <w:pageBreakBefore w:val="false"/>
        <w:spacing w:before="2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43" w:after="246"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130.05 (3) (b).</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38" w:left="2162" w:header="720" w:footer="720"/>
          <w:titlePg w:val="false"/>
          <w:textDirection w:val="lrTb"/>
        </w:sectPr>
      </w:pPr>
    </w:p>
    <w:p>
      <w:pPr>
        <w:pageBreakBefore w:val="false"/>
        <w:spacing w:before="7" w:after="0" w:line="324" w:lineRule="exact"/>
        <w:ind w:right="0" w:left="216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suffers from a mental disease or defect which renders him or her incapable of appraising the</w:t>
      </w:r>
    </w:p>
    <w:p>
      <w:pPr>
        <w:pageBreakBefore w:val="false"/>
        <w:spacing w:before="0" w:after="0" w:line="321" w:lineRule="exact"/>
        <w:ind w:right="0" w:left="0" w:firstLine="0"/>
        <w:jc w:val="center"/>
        <w:textAlignment w:val="baseline"/>
        <w:rPr>
          <w:rFonts w:ascii="Arial" w:hAnsi="Arial" w:eastAsia="Arial"/>
          <w:color w:val="000000"/>
          <w:spacing w:val="-1"/>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8pt;height:355.9pt;z-index:-1000;margin-left:108pt;margin-top:137.35pt;mso-wrap-distance-top:16.3pt;mso-wrap-distance-bottom:16.35pt;mso-wrap-distance-left:0pt;mso-wrap-distance-right:18.7pt;mso-position-horizontal-relative:page;mso-position-vertical-relative:page">
            <w10:wrap type="square" side="both"/>
            <v:fill opacity="1" o:opacity2="1" recolor="f" rotate="f" type="solid"/>
            <v:textbox inset="0pt, 0pt, 0pt, 0pt">
              <w:txbxContent>
                <w:p>
                  <w:pPr>
                    <w:pageBreakBefore w:val="false"/>
                    <w:spacing w:before="2" w:after="0" w:line="319"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p>
                  <w:pPr>
                    <w:pageBreakBefore w:val="false"/>
                    <w:spacing w:before="3886" w:after="0" w:line="319"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p>
                  <w:pPr>
                    <w:pageBreakBefore w:val="false"/>
                    <w:spacing w:before="2273" w:after="0" w:line="318"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txbxContent>
            </v:textbox>
          </v:shape>
        </w:pict>
      </w:r>
      <w:r>
        <w:rPr>
          <w:rFonts w:ascii="Arial" w:hAnsi="Arial" w:eastAsia="Arial"/>
          <w:color w:val="000000"/>
          <w:spacing w:val="-1"/>
          <w:w w:val="100"/>
          <w:sz w:val="28"/>
          <w:vertAlign w:val="baseline"/>
          <w:lang w:val="en-US"/>
        </w:rPr>
        <w:t xml:space="preserve">nature of his or her conduct.</w:t>
      </w:r>
      <w:r>
        <w:rPr>
          <w:rFonts w:ascii="Arial" w:hAnsi="Arial" w:eastAsia="Arial"/>
          <w:color w:val="000000"/>
          <w:spacing w:val="-1"/>
          <w:w w:val="100"/>
          <w:sz w:val="28"/>
          <w:vertAlign w:val="superscript"/>
          <w:lang w:val="en-US"/>
        </w:rPr>
        <w:t xml:space="preserve">8</w:t>
      </w:r>
      <w:r>
        <w:rPr>
          <w:rFonts w:ascii="Arial" w:hAnsi="Arial" w:eastAsia="Arial"/>
          <w:color w:val="000000"/>
          <w:spacing w:val="-1"/>
          <w:w w:val="100"/>
          <w:sz w:val="17"/>
          <w:vertAlign w:val="baseline"/>
          <w:lang w:val="en-US"/>
        </w:rPr>
        <w:t xml:space="preserve">
</w:t>
      </w:r>
    </w:p>
    <w:p>
      <w:pPr>
        <w:pageBreakBefore w:val="false"/>
        <w:spacing w:before="967" w:after="0" w:line="324"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mentally incapacitated.</w:t>
      </w:r>
      <w:r>
        <w:rPr>
          <w:rFonts w:ascii="Arial" w:hAnsi="Arial" w:eastAsia="Arial"/>
          <w:color w:val="000000"/>
          <w:spacing w:val="-2"/>
          <w:w w:val="100"/>
          <w:sz w:val="28"/>
          <w:vertAlign w:val="superscript"/>
          <w:lang w:val="en-US"/>
        </w:rPr>
        <w:t xml:space="preserve">9</w:t>
      </w:r>
      <w:r>
        <w:rPr>
          <w:rFonts w:ascii="Arial" w:hAnsi="Arial" w:eastAsia="Arial"/>
          <w:color w:val="000000"/>
          <w:spacing w:val="-2"/>
          <w:w w:val="100"/>
          <w:sz w:val="17"/>
          <w:vertAlign w:val="baseline"/>
          <w:lang w:val="en-US"/>
        </w:rPr>
        <w:t xml:space="preserve">
</w:t>
      </w:r>
    </w:p>
    <w:p>
      <w:pPr>
        <w:pageBreakBefore w:val="false"/>
        <w:spacing w:before="325" w:after="0" w:line="324" w:lineRule="exact"/>
        <w:ind w:right="0" w:left="1368"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any other act committed upon him or her without his or her consent).</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967" w:after="0" w:line="324" w:lineRule="exact"/>
        <w:ind w:right="0" w:left="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physically helpless.</w:t>
      </w:r>
      <w:r>
        <w:rPr>
          <w:rFonts w:ascii="Arial" w:hAnsi="Arial" w:eastAsia="Arial"/>
          <w:color w:val="000000"/>
          <w:spacing w:val="-6"/>
          <w:w w:val="100"/>
          <w:sz w:val="28"/>
          <w:vertAlign w:val="superscript"/>
          <w:lang w:val="en-US"/>
        </w:rPr>
        <w:t xml:space="preserve">11</w:t>
      </w:r>
      <w:r>
        <w:rPr>
          <w:rFonts w:ascii="Arial" w:hAnsi="Arial" w:eastAsia="Arial"/>
          <w:color w:val="000000"/>
          <w:spacing w:val="-6"/>
          <w:w w:val="100"/>
          <w:sz w:val="17"/>
          <w:vertAlign w:val="baseline"/>
          <w:lang w:val="en-US"/>
        </w:rPr>
        <w:t xml:space="preserve">
</w:t>
      </w:r>
    </w:p>
    <w:p>
      <w:pPr>
        <w:pageBreakBefore w:val="false"/>
        <w:spacing w:before="325"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975" w:after="469" w:line="324" w:lineRule="exact"/>
        <w:ind w:right="0" w:left="720" w:firstLine="0"/>
        <w:jc w:val="righ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committed to the care and custody or supervision of the state department of corrections and community supervision</w:t>
      </w:r>
    </w:p>
    <w:p>
      <w:pPr>
        <w:pageBreakBefore w:val="false"/>
        <w:spacing w:before="258"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566.4pt" to="252.05pt,56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130.00 (5).</w:t>
      </w:r>
    </w:p>
    <w:p>
      <w:pPr>
        <w:pageBreakBefore w:val="false"/>
        <w:spacing w:before="244"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130.05 (3) (c).</w:t>
      </w:r>
    </w:p>
    <w:p>
      <w:pPr>
        <w:pageBreakBefore w:val="false"/>
        <w:spacing w:before="234"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130.00 (6).</w:t>
      </w:r>
    </w:p>
    <w:p>
      <w:pPr>
        <w:pageBreakBefore w:val="false"/>
        <w:spacing w:before="242"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Penal Law § 130.05 (3) (d).</w:t>
      </w:r>
    </w:p>
    <w:p>
      <w:pPr>
        <w:pageBreakBefore w:val="false"/>
        <w:spacing w:before="254" w:after="239" w:line="279"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12</w:t>
      </w:r>
      <w:r>
        <w:rPr>
          <w:rFonts w:ascii="Arial" w:hAnsi="Arial" w:eastAsia="Arial"/>
          <w:color w:val="000000"/>
          <w:spacing w:val="1"/>
          <w:w w:val="100"/>
          <w:sz w:val="24"/>
          <w:vertAlign w:val="baseline"/>
          <w:lang w:val="en-US"/>
        </w:rPr>
        <w:t xml:space="preserve"> Penal Law § 130.00 (7).</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27" w:after="653" w:line="326"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or a hospital,</w:t>
      </w:r>
      <w:r>
        <w:rPr>
          <w:rFonts w:ascii="Arial" w:hAnsi="Arial" w:eastAsia="Arial"/>
          <w:color w:val="000000"/>
          <w:spacing w:val="-4"/>
          <w:w w:val="100"/>
          <w:sz w:val="28"/>
          <w:vertAlign w:val="superscript"/>
          <w:lang w:val="en-US"/>
        </w:rPr>
        <w:t xml:space="preserve">13</w:t>
      </w:r>
      <w:r>
        <w:rPr>
          <w:rFonts w:ascii="Arial" w:hAnsi="Arial" w:eastAsia="Arial"/>
          <w:color w:val="000000"/>
          <w:spacing w:val="-4"/>
          <w:w w:val="100"/>
          <w:sz w:val="28"/>
          <w:vertAlign w:val="baseline"/>
          <w:lang w:val="en-US"/>
        </w:rPr>
        <w:t xml:space="preserve"> and the actor is an employee</w:t>
      </w:r>
      <w:r>
        <w:rPr>
          <w:rFonts w:ascii="Arial" w:hAnsi="Arial" w:eastAsia="Arial"/>
          <w:color w:val="000000"/>
          <w:spacing w:val="-4"/>
          <w:w w:val="100"/>
          <w:sz w:val="28"/>
          <w:vertAlign w:val="superscript"/>
          <w:lang w:val="en-US"/>
        </w:rPr>
        <w:t xml:space="preserve">14</w:t>
      </w:r>
      <w:r>
        <w:rPr>
          <w:rFonts w:ascii="Arial" w:hAnsi="Arial" w:eastAsia="Arial"/>
          <w:color w:val="000000"/>
          <w:spacing w:val="-4"/>
          <w:w w:val="100"/>
          <w:sz w:val="28"/>
          <w:vertAlign w:val="baseline"/>
          <w:lang w:val="en-US"/>
        </w:rPr>
        <w:t xml:space="preserve"> who knows or reasonably should know that such person is committed to the care and custody or supervision of such department or hospital.</w:t>
      </w:r>
      <w:r>
        <w:rPr>
          <w:rFonts w:ascii="Arial" w:hAnsi="Arial" w:eastAsia="Arial"/>
          <w:color w:val="000000"/>
          <w:spacing w:val="-4"/>
          <w:w w:val="100"/>
          <w:sz w:val="28"/>
          <w:vertAlign w:val="superscript"/>
          <w:lang w:val="en-US"/>
        </w:rPr>
        <w:t xml:space="preserve">15</w:t>
      </w:r>
      <w:r>
        <w:rPr>
          <w:rFonts w:ascii="Arial" w:hAnsi="Arial" w:eastAsia="Arial"/>
          <w:color w:val="000000"/>
          <w:spacing w:val="-4"/>
          <w:w w:val="100"/>
          <w:sz w:val="17"/>
          <w:vertAlign w:val="baseline"/>
          <w:lang w:val="en-US"/>
        </w:rPr>
        <w:t xml:space="preserve">
</w:t>
      </w:r>
    </w:p>
    <w:p>
      <w:pPr>
        <w:pageBreakBefore w:val="false"/>
        <w:spacing w:before="2" w:after="0" w:line="318"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23"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the care and custody of a local correctional facility,</w:t>
      </w:r>
      <w:r>
        <w:rPr>
          <w:rFonts w:ascii="Arial" w:hAnsi="Arial" w:eastAsia="Arial"/>
          <w:color w:val="000000"/>
          <w:spacing w:val="0"/>
          <w:w w:val="100"/>
          <w:sz w:val="28"/>
          <w:vertAlign w:val="superscript"/>
          <w:lang w:val="en-US"/>
        </w:rPr>
        <w:t xml:space="preserve">16</w:t>
      </w:r>
      <w:r>
        <w:rPr>
          <w:rFonts w:ascii="Arial" w:hAnsi="Arial" w:eastAsia="Arial"/>
          <w:color w:val="000000"/>
          <w:spacing w:val="0"/>
          <w:w w:val="100"/>
          <w:sz w:val="28"/>
          <w:vertAlign w:val="baseline"/>
          <w:lang w:val="en-US"/>
        </w:rPr>
        <w:t xml:space="preserve"> and the actor is an employee,</w:t>
      </w:r>
      <w:r>
        <w:rPr>
          <w:rFonts w:ascii="Arial" w:hAnsi="Arial" w:eastAsia="Arial"/>
          <w:color w:val="000000"/>
          <w:spacing w:val="0"/>
          <w:w w:val="100"/>
          <w:sz w:val="28"/>
          <w:vertAlign w:val="superscript"/>
          <w:lang w:val="en-US"/>
        </w:rPr>
        <w:t xml:space="preserve">17</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18</w:t>
      </w:r>
      <w:r>
        <w:rPr>
          <w:rFonts w:ascii="Arial" w:hAnsi="Arial" w:eastAsia="Arial"/>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color w:val="000000"/>
          <w:spacing w:val="0"/>
          <w:w w:val="100"/>
          <w:sz w:val="28"/>
          <w:vertAlign w:val="superscript"/>
          <w:lang w:val="en-US"/>
        </w:rPr>
        <w:t xml:space="preserve">19</w:t>
      </w:r>
      <w:r>
        <w:rPr>
          <w:rFonts w:ascii="Arial" w:hAnsi="Arial" w:eastAsia="Arial"/>
          <w:color w:val="000000"/>
          <w:spacing w:val="0"/>
          <w:w w:val="100"/>
          <w:sz w:val="17"/>
          <w:vertAlign w:val="baseline"/>
          <w:lang w:val="en-US"/>
        </w:rPr>
        <w:t xml:space="preserve">
</w:t>
      </w:r>
    </w:p>
    <w:p>
      <w:pPr>
        <w:pageBreakBefore w:val="false"/>
        <w:spacing w:before="334" w:after="0" w:line="319"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316" w:after="1642"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or placed with the office of children and family services and in residential care, and the actor is an</w:t>
      </w:r>
    </w:p>
    <w:p>
      <w:pPr>
        <w:pageBreakBefore w:val="false"/>
        <w:spacing w:before="242" w:after="0" w:line="283"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65pt,446.9pt" to="252.05pt,44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If in issue, the definition of “hospital” is set forth in Correction Law § 400 (2).</w:t>
      </w:r>
    </w:p>
    <w:p>
      <w:pPr>
        <w:pageBreakBefore w:val="false"/>
        <w:spacing w:before="238"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If in issue, the definition of “employee” is set forth in Penal Law § 130.05 (3) (e).</w:t>
      </w:r>
    </w:p>
    <w:p>
      <w:pPr>
        <w:pageBreakBefore w:val="false"/>
        <w:spacing w:before="236"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15</w:t>
      </w:r>
      <w:r>
        <w:rPr>
          <w:rFonts w:ascii="Arial" w:hAnsi="Arial" w:eastAsia="Arial"/>
          <w:color w:val="000000"/>
          <w:spacing w:val="0"/>
          <w:w w:val="100"/>
          <w:sz w:val="24"/>
          <w:vertAlign w:val="baseline"/>
          <w:lang w:val="en-US"/>
        </w:rPr>
        <w:t xml:space="preserve"> Penal Law § 130.05 (3) (e).</w:t>
      </w:r>
    </w:p>
    <w:p>
      <w:pPr>
        <w:pageBreakBefore w:val="false"/>
        <w:spacing w:before="243"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16</w:t>
      </w:r>
      <w:r>
        <w:rPr>
          <w:rFonts w:ascii="Arial" w:hAnsi="Arial" w:eastAsia="Arial"/>
          <w:color w:val="000000"/>
          <w:spacing w:val="0"/>
          <w:w w:val="100"/>
          <w:sz w:val="24"/>
          <w:vertAlign w:val="baseline"/>
          <w:lang w:val="en-US"/>
        </w:rPr>
        <w:t xml:space="preserve"> If in issue, the definition of “local correctional facility” is set forth in Correction Law § 40 (2).</w:t>
      </w:r>
    </w:p>
    <w:p>
      <w:pPr>
        <w:pageBreakBefore w:val="false"/>
        <w:spacing w:before="238"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17</w:t>
      </w:r>
      <w:r>
        <w:rPr>
          <w:rFonts w:ascii="Arial" w:hAnsi="Arial" w:eastAsia="Arial"/>
          <w:color w:val="000000"/>
          <w:spacing w:val="0"/>
          <w:w w:val="100"/>
          <w:sz w:val="24"/>
          <w:vertAlign w:val="baseline"/>
          <w:lang w:val="en-US"/>
        </w:rPr>
        <w:t xml:space="preserve"> If in issue, the definition of “employee” is set forth in Penal Law § 130.05 (3) (f).</w:t>
      </w:r>
    </w:p>
    <w:p>
      <w:pPr>
        <w:pageBreakBefore w:val="false"/>
        <w:spacing w:before="238"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18</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36"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19</w:t>
      </w:r>
      <w:r>
        <w:rPr>
          <w:rFonts w:ascii="Arial" w:hAnsi="Arial" w:eastAsia="Arial"/>
          <w:color w:val="000000"/>
          <w:spacing w:val="0"/>
          <w:w w:val="100"/>
          <w:sz w:val="24"/>
          <w:vertAlign w:val="baseline"/>
          <w:lang w:val="en-US"/>
        </w:rPr>
        <w:t xml:space="preserve"> Penal Law § 130.05 (3) (f).</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400" w:right="2147" w:left="2153" w:header="720" w:footer="720"/>
          <w:titlePg w:val="false"/>
          <w:textDirection w:val="lrTb"/>
        </w:sectPr>
      </w:pPr>
    </w:p>
    <w:p>
      <w:pPr>
        <w:pageBreakBefore w:val="false"/>
        <w:spacing w:before="28" w:after="324"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employee,</w:t>
      </w:r>
      <w:r>
        <w:rPr>
          <w:rFonts w:ascii="Arial" w:hAnsi="Arial" w:eastAsia="Arial"/>
          <w:color w:val="000000"/>
          <w:spacing w:val="0"/>
          <w:w w:val="100"/>
          <w:sz w:val="28"/>
          <w:vertAlign w:val="superscript"/>
          <w:lang w:val="en-US"/>
        </w:rPr>
        <w:t xml:space="preserve">20</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21</w:t>
      </w:r>
      <w:r>
        <w:rPr>
          <w:rFonts w:ascii="Arial" w:hAnsi="Arial" w:eastAsia="Arial"/>
          <w:color w:val="000000"/>
          <w:spacing w:val="0"/>
          <w:w w:val="100"/>
          <w:sz w:val="28"/>
          <w:vertAlign w:val="baseline"/>
          <w:lang w:val="en-US"/>
        </w:rPr>
        <w:t xml:space="preserve"> who knows or reasonably should know that such person is committed to or placed with the office of children and family services and in residential care.</w:t>
      </w:r>
      <w:r>
        <w:rPr>
          <w:rFonts w:ascii="Arial" w:hAnsi="Arial" w:eastAsia="Arial"/>
          <w:color w:val="000000"/>
          <w:spacing w:val="0"/>
          <w:w w:val="100"/>
          <w:sz w:val="28"/>
          <w:vertAlign w:val="superscript"/>
          <w:lang w:val="en-US"/>
        </w:rPr>
        <w:t xml:space="preserve">22</w:t>
      </w:r>
      <w:r>
        <w:rPr>
          <w:rFonts w:ascii="Arial" w:hAnsi="Arial" w:eastAsia="Arial"/>
          <w:color w:val="000000"/>
          <w:spacing w:val="0"/>
          <w:w w:val="100"/>
          <w:sz w:val="17"/>
          <w:vertAlign w:val="baseline"/>
          <w:lang w:val="en-US"/>
        </w:rPr>
        <w:t xml:space="preserve">
</w:t>
      </w:r>
    </w:p>
    <w:p>
      <w:pPr>
        <w:pageBreakBefore w:val="false"/>
        <w:spacing w:before="0" w:after="0" w:line="317" w:lineRule="exact"/>
        <w:ind w:right="0" w:left="0" w:firstLine="0"/>
        <w:jc w:val="left"/>
        <w:textAlignment w:val="baseline"/>
        <w:rPr>
          <w:rFonts w:ascii="Arial" w:hAnsi="Arial" w:eastAsia="Arial"/>
          <w:i w:val="true"/>
          <w:color w:val="000000"/>
          <w:spacing w:val="36"/>
          <w:w w:val="100"/>
          <w:sz w:val="28"/>
          <w:vertAlign w:val="baseline"/>
          <w:lang w:val="en-US"/>
        </w:rPr>
      </w:pPr>
      <w:r>
        <w:rPr>
          <w:rFonts w:ascii="Arial" w:hAnsi="Arial" w:eastAsia="Arial"/>
          <w:i w:val="true"/>
          <w:color w:val="000000"/>
          <w:spacing w:val="36"/>
          <w:w w:val="100"/>
          <w:sz w:val="28"/>
          <w:vertAlign w:val="baseline"/>
          <w:lang w:val="en-US"/>
        </w:rPr>
        <w:t xml:space="preserve">or</w:t>
      </w:r>
    </w:p>
    <w:p>
      <w:pPr>
        <w:pageBreakBefore w:val="false"/>
        <w:spacing w:before="0"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color w:val="000000"/>
          <w:spacing w:val="0"/>
          <w:w w:val="100"/>
          <w:sz w:val="28"/>
          <w:vertAlign w:val="superscript"/>
          <w:lang w:val="en-US"/>
        </w:rPr>
        <w:t xml:space="preserve">23</w:t>
      </w:r>
      <w:r>
        <w:rPr>
          <w:rFonts w:ascii="Arial" w:hAnsi="Arial" w:eastAsia="Arial"/>
          <w:color w:val="000000"/>
          <w:spacing w:val="0"/>
          <w:w w:val="100"/>
          <w:sz w:val="28"/>
          <w:vertAlign w:val="baseline"/>
          <w:lang w:val="en-US"/>
        </w:rPr>
        <w:t xml:space="preserve"> of the facility not married to such resident or inpatient.</w:t>
      </w:r>
      <w:r>
        <w:rPr>
          <w:rFonts w:ascii="Arial" w:hAnsi="Arial" w:eastAsia="Arial"/>
          <w:color w:val="000000"/>
          <w:spacing w:val="0"/>
          <w:w w:val="100"/>
          <w:sz w:val="28"/>
          <w:vertAlign w:val="superscript"/>
          <w:lang w:val="en-US"/>
        </w:rPr>
        <w:t xml:space="preserve">24</w:t>
      </w:r>
      <w:r>
        <w:rPr>
          <w:rFonts w:ascii="Arial" w:hAnsi="Arial" w:eastAsia="Arial"/>
          <w:color w:val="000000"/>
          <w:spacing w:val="0"/>
          <w:w w:val="100"/>
          <w:sz w:val="28"/>
          <w:vertAlign w:val="baseline"/>
          <w:lang w:val="en-US"/>
        </w:rPr>
        <w:t xml:space="preserve">]</w:t>
      </w:r>
    </w:p>
    <w:p>
      <w:pPr>
        <w:pageBreakBefore w:val="false"/>
        <w:spacing w:before="339" w:after="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t>
      </w:r>
      <w:r>
        <w:rPr>
          <w:rFonts w:ascii="Arial" w:hAnsi="Arial" w:eastAsia="Arial"/>
          <w:i w:val="true"/>
          <w:color w:val="000000"/>
          <w:spacing w:val="-3"/>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or committed to the care and custody or supervision of the state department of corrections and community supervision or a hospital and the actor is an employee, add if in issue:</w:t>
      </w:r>
    </w:p>
    <w:p>
      <w:pPr>
        <w:pageBreakBefore w:val="false"/>
        <w:spacing w:before="332" w:after="510" w:line="316" w:lineRule="exact"/>
        <w:ind w:right="0" w:left="72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that the defendant was married to the victim.</w:t>
      </w:r>
      <w:r>
        <w:rPr>
          <w:rFonts w:ascii="Arial" w:hAnsi="Arial" w:eastAsia="Arial"/>
          <w:color w:val="000000"/>
          <w:spacing w:val="0"/>
          <w:w w:val="100"/>
          <w:sz w:val="28"/>
          <w:vertAlign w:val="superscript"/>
          <w:lang w:val="en-US"/>
        </w:rPr>
        <w:t xml:space="preserve">25</w:t>
      </w:r>
      <w:r>
        <w:rPr>
          <w:rFonts w:ascii="Arial" w:hAnsi="Arial" w:eastAsia="Arial"/>
          <w:color w:val="000000"/>
          <w:spacing w:val="0"/>
          <w:w w:val="100"/>
          <w:sz w:val="28"/>
          <w:vertAlign w:val="baseline"/>
          <w:lang w:val="en-US"/>
        </w:rPr>
        <w:t xml:space="preserve"> “Married” means the existence of</w:t>
      </w:r>
    </w:p>
    <w:p>
      <w:pPr>
        <w:pageBreakBefore w:val="false"/>
        <w:spacing w:before="259"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2pt,486pt" to="252.05pt,48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20</w:t>
      </w:r>
      <w:r>
        <w:rPr>
          <w:rFonts w:ascii="Arial" w:hAnsi="Arial" w:eastAsia="Arial"/>
          <w:color w:val="000000"/>
          <w:spacing w:val="0"/>
          <w:w w:val="100"/>
          <w:sz w:val="24"/>
          <w:vertAlign w:val="baseline"/>
          <w:lang w:val="en-US"/>
        </w:rPr>
        <w:t xml:space="preserve"> If in issue, the definition of “employee” is set forth in Penal Law § 130.05 (3) (g).</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21</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36"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22</w:t>
      </w:r>
      <w:r>
        <w:rPr>
          <w:rFonts w:ascii="Arial" w:hAnsi="Arial" w:eastAsia="Arial"/>
          <w:color w:val="000000"/>
          <w:spacing w:val="0"/>
          <w:w w:val="100"/>
          <w:sz w:val="24"/>
          <w:vertAlign w:val="baseline"/>
          <w:lang w:val="en-US"/>
        </w:rPr>
        <w:t xml:space="preserve"> Penal Law § 130.05 (3) (g).</w:t>
      </w:r>
    </w:p>
    <w:p>
      <w:pPr>
        <w:pageBreakBefore w:val="false"/>
        <w:spacing w:before="247"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23</w:t>
      </w:r>
      <w:r>
        <w:rPr>
          <w:rFonts w:ascii="Arial" w:hAnsi="Arial" w:eastAsia="Arial"/>
          <w:color w:val="000000"/>
          <w:spacing w:val="0"/>
          <w:w w:val="100"/>
          <w:sz w:val="24"/>
          <w:vertAlign w:val="baseline"/>
          <w:lang w:val="en-US"/>
        </w:rPr>
        <w:t xml:space="preserve"> If in issue, the definition of “employee” is set forth in Penal Law § 130.05 (3) (i).</w:t>
      </w:r>
    </w:p>
    <w:p>
      <w:pPr>
        <w:pageBreakBefore w:val="false"/>
        <w:spacing w:before="237" w:after="0" w:line="282"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24</w:t>
      </w:r>
      <w:r>
        <w:rPr>
          <w:rFonts w:ascii="Arial" w:hAnsi="Arial" w:eastAsia="Arial"/>
          <w:color w:val="000000"/>
          <w:spacing w:val="0"/>
          <w:w w:val="100"/>
          <w:sz w:val="24"/>
          <w:vertAlign w:val="baseline"/>
          <w:lang w:val="en-US"/>
        </w:rPr>
        <w:t xml:space="preserve"> Penal Law § 130.05 (3) (i). If in issue, the definition of “married” is set forth in Penal Law § 130.00 (4).</w:t>
      </w:r>
    </w:p>
    <w:p>
      <w:pPr>
        <w:pageBreakBefore w:val="false"/>
        <w:spacing w:before="23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7"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400" w:right="2110" w:left="2144" w:header="720" w:footer="720"/>
          <w:titlePg w:val="false"/>
          <w:textDirection w:val="lrTb"/>
        </w:sectPr>
      </w:pPr>
    </w:p>
    <w:p>
      <w:pPr>
        <w:pageBreakBefore w:val="false"/>
        <w:spacing w:before="8" w:after="0" w:line="322"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relationship between the defendant and the victim as spouses which was recognized by law at the time of the alleged commission of this crime.</w:t>
      </w:r>
      <w:r>
        <w:rPr>
          <w:rFonts w:ascii="Arial" w:hAnsi="Arial" w:eastAsia="Arial"/>
          <w:color w:val="000000"/>
          <w:spacing w:val="0"/>
          <w:w w:val="100"/>
          <w:sz w:val="28"/>
          <w:vertAlign w:val="superscript"/>
          <w:lang w:val="en-US"/>
        </w:rPr>
        <w:t xml:space="preserve">26</w:t>
      </w:r>
      <w:r>
        <w:rPr>
          <w:rFonts w:ascii="Arial" w:hAnsi="Arial" w:eastAsia="Arial"/>
          <w:color w:val="000000"/>
          <w:spacing w:val="0"/>
          <w:w w:val="100"/>
          <w:sz w:val="28"/>
          <w:vertAlign w:val="baseline"/>
          <w:lang w:val="en-US"/>
        </w:rPr>
        <w:t xml:space="preserve">]</w:t>
      </w:r>
    </w:p>
    <w:p>
      <w:pPr>
        <w:pageBreakBefore w:val="false"/>
        <w:spacing w:before="327" w:after="0" w:line="322" w:lineRule="exact"/>
        <w:ind w:right="72"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This is the end of definitions and the resumption of the charge:</w:t>
      </w:r>
    </w:p>
    <w:p>
      <w:pPr>
        <w:pageBreakBefore w:val="false"/>
        <w:spacing w:before="321"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the law deems [oral (or) anal] sexual conduct with such a person to be without that person's consent, even if in fact that person did consent.</w:t>
      </w:r>
    </w:p>
    <w:p>
      <w:pPr>
        <w:pageBreakBefore w:val="false"/>
        <w:spacing w:before="325"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1"/>
        </w:numPr>
        <w:tabs>
          <w:tab w:val="clear" w:pos="720"/>
          <w:tab w:val="left" w:pos="1440"/>
        </w:tabs>
        <w:spacing w:before="335" w:after="0" w:line="322"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engaged in</w:t>
      </w:r>
    </w:p>
    <w:p>
      <w:pPr>
        <w:pageBreakBefore w:val="false"/>
        <w:spacing w:before="323" w:after="0" w:line="319"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7" w:after="0" w:line="31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6" w:after="0" w:line="31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32" w:after="0" w:line="322" w:lineRule="exact"/>
        <w:ind w:right="0" w:left="144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with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name of complainant</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 [and]</w:t>
      </w:r>
    </w:p>
    <w:p>
      <w:pPr>
        <w:pageBreakBefore w:val="false"/>
        <w:numPr>
          <w:ilvl w:val="0"/>
          <w:numId w:val="1"/>
        </w:numPr>
        <w:tabs>
          <w:tab w:val="clear" w:pos="720"/>
          <w:tab w:val="left" w:pos="1440"/>
        </w:tabs>
        <w:spacing w:before="330" w:after="0" w:line="322"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the consent of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because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incapable of consent [and]</w:t>
      </w:r>
    </w:p>
    <w:p>
      <w:pPr>
        <w:pageBreakBefore w:val="false"/>
        <w:spacing w:before="326"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7"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16" w:after="343"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w:t>
      </w:r>
    </w:p>
    <w:p>
      <w:pPr>
        <w:pageBreakBefore w:val="false"/>
        <w:spacing w:before="250" w:after="0" w:line="283" w:lineRule="exact"/>
        <w:ind w:right="72"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45pt,656.9pt" to="252.05pt,65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34"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p>
      <w:pPr>
        <w:sectPr>
          <w:type w:val="nextPage"/>
          <w:pgSz w:w="12240" w:h="15840" w:orient="portrait"/>
          <w:pgMar w:bottom="1024" w:top="1440" w:right="2105" w:left="2149" w:header="720" w:footer="720"/>
          <w:titlePg w:val="false"/>
          <w:textDirection w:val="lrTb"/>
        </w:sectPr>
      </w:pPr>
    </w:p>
    <w:p>
      <w:pPr>
        <w:pageBreakBefore w:val="false"/>
        <w:spacing w:before="8"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guilty of this crime.</w:t>
      </w:r>
    </w:p>
    <w:p>
      <w:pPr>
        <w:pageBreakBefore w:val="false"/>
        <w:spacing w:before="329"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00"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applies, omit the final two paragraphs of the above charge, and substitute the applicable charge from the “additional charges” section at the end of this article.</w:t>
      </w:r>
    </w:p>
    <w:p>
      <w:pPr>
        <w:pageBreakBefore w:val="false"/>
        <w:spacing w:before="325" w:after="7586" w:line="321" w:lineRule="exact"/>
        <w:ind w:right="0" w:left="0" w:firstLine="72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Penal Law § 130.16.</w:t>
      </w:r>
    </w:p>
    <w:p>
      <w:pPr>
        <w:spacing w:before="325" w:after="7586" w:line="321" w:lineRule="exact"/>
        <w:sectPr>
          <w:type w:val="nextPage"/>
          <w:pgSz w:w="12240" w:h="15840" w:orient="portrait"/>
          <w:pgMar w:bottom="1024" w:top="1440" w:right="2112" w:left="2142"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7</w:t>
      </w:r>
    </w:p>
    <w:sectPr>
      <w:type w:val="continuous"/>
      <w:pgSz w:w="12240" w:h="15840" w:orient="portrait"/>
      <w:pgMar w:bottom="1024" w:top="1440" w:right="2127" w:left="212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