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23"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SEXUAL ABUSE IN THE THIRD DEGREE</w:t>
        <w:br/>
      </w:r>
      <w:r>
        <w:rPr>
          <w:rFonts w:ascii="Arial" w:hAnsi="Arial" w:eastAsia="Arial"/>
          <w:b w:val="true"/>
          <w:strike w:val="false"/>
          <w:color w:val="000000"/>
          <w:spacing w:val="0"/>
          <w:w w:val="100"/>
          <w:sz w:val="28"/>
          <w:vertAlign w:val="baseline"/>
          <w:lang w:val="en-US"/>
        </w:rPr>
        <w:t xml:space="preserve">(Incapacity to Consent)</w:t>
        <w:br/>
      </w:r>
      <w:r>
        <w:rPr>
          <w:rFonts w:ascii="Arial" w:hAnsi="Arial" w:eastAsia="Arial"/>
          <w:b w:val="true"/>
          <w:strike w:val="false"/>
          <w:color w:val="000000"/>
          <w:spacing w:val="0"/>
          <w:w w:val="100"/>
          <w:sz w:val="28"/>
          <w:vertAlign w:val="baseline"/>
          <w:lang w:val="en-US"/>
        </w:rPr>
        <w:t xml:space="preserve">Penal Law § 130.55</w:t>
        <w:br/>
      </w:r>
      <w:r>
        <w:rPr>
          <w:rFonts w:ascii="Arial" w:hAnsi="Arial" w:eastAsia="Arial"/>
          <w:b w:val="true"/>
          <w:strike w:val="false"/>
          <w:color w:val="000000"/>
          <w:spacing w:val="0"/>
          <w:w w:val="100"/>
          <w:sz w:val="28"/>
          <w:vertAlign w:val="baseline"/>
          <w:lang w:val="en-US"/>
        </w:rPr>
        <w:t xml:space="preserve">(Committed on or after Oct. 13, 2010)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29" w:after="0" w:line="276" w:lineRule="exact"/>
        <w:ind w:right="0" w:left="0" w:firstLine="0"/>
        <w:jc w:val="center"/>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(Revised July 2011, Dec. 2013, and July 2018)</w:t>
      </w:r>
      <w:r>
        <w:rPr>
          <w:rFonts w:ascii="Arial" w:hAnsi="Arial" w:eastAsia="Arial"/>
          <w:strike w:val="false"/>
          <w:color w:val="000000"/>
          <w:spacing w:val="-1"/>
          <w:w w:val="100"/>
          <w:sz w:val="24"/>
          <w:vertAlign w:val="superscript"/>
          <w:lang w:val="en-US"/>
        </w:rPr>
        <w:t xml:space="preserve">2</w:t>
      </w:r>
      <w:r>
        <w:rPr>
          <w:rFonts w:ascii="Arial" w:hAnsi="Arial" w:eastAsia="Arial"/>
          <w:strike w:val="false"/>
          <w:color w:val="000000"/>
          <w:spacing w:val="-1"/>
          <w:w w:val="100"/>
          <w:sz w:val="14"/>
          <w:vertAlign w:val="baseline"/>
          <w:lang w:val="en-US"/>
        </w:rPr>
        <w:t xml:space="preserve">
</w:t>
      </w:r>
    </w:p>
    <w:p>
      <w:pPr>
        <w:pageBreakBefore w:val="false"/>
        <w:spacing w:before="665"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Sexual Abuse in the Third Degree.</w:t>
      </w:r>
    </w:p>
    <w:p>
      <w:pPr>
        <w:pageBreakBefore w:val="false"/>
        <w:spacing w:before="317"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Sexual Abuse in the Third Degree when he or she subjects another person to sexual contact without that person's consent.</w:t>
      </w:r>
    </w:p>
    <w:p>
      <w:pPr>
        <w:pageBreakBefore w:val="false"/>
        <w:spacing w:before="324" w:after="397" w:line="31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w:t>
      </w:r>
    </w:p>
    <w:p>
      <w:pPr>
        <w:pageBreakBefore w:val="false"/>
        <w:spacing w:before="244"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5pt" strokecolor="#000000" from="108pt,300.25pt" to="252.05pt,300.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instruction is applicable to crimes committed on or after February 1, 2001, except for:</w:t>
      </w:r>
    </w:p>
    <w:p>
      <w:pPr>
        <w:pageBreakBefore w:val="false"/>
        <w:numPr>
          <w:ilvl w:val="0"/>
          <w:numId w:val="1"/>
        </w:numPr>
        <w:tabs>
          <w:tab w:val="clear" w:pos="432"/>
          <w:tab w:val="left" w:pos="1152"/>
        </w:tabs>
        <w:spacing w:before="279" w:after="0" w:line="276" w:lineRule="exact"/>
        <w:ind w:right="0" w:left="72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amendment to the definition of “sexual contact,” effective October 13, 2010, as explained in the footnote to that definition; and</w:t>
      </w:r>
    </w:p>
    <w:p>
      <w:pPr>
        <w:pageBreakBefore w:val="false"/>
        <w:numPr>
          <w:ilvl w:val="0"/>
          <w:numId w:val="1"/>
        </w:numPr>
        <w:tabs>
          <w:tab w:val="clear" w:pos="432"/>
          <w:tab w:val="left" w:pos="1152"/>
        </w:tabs>
        <w:spacing w:before="278" w:after="0" w:line="276"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provision set forth in Penal Law § 130.05(3)(i), which was added by the laws of 2012, chapter 501, effective January 16, 2013, and which is set forth in the text to which footnote 28 is appended; and</w:t>
      </w:r>
    </w:p>
    <w:p>
      <w:pPr>
        <w:pageBreakBefore w:val="false"/>
        <w:numPr>
          <w:ilvl w:val="0"/>
          <w:numId w:val="1"/>
        </w:numPr>
        <w:tabs>
          <w:tab w:val="clear" w:pos="432"/>
          <w:tab w:val="left" w:pos="1152"/>
        </w:tabs>
        <w:spacing w:before="271" w:after="0" w:line="276"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provision set forth in Penal Law § 130.05 (3)(j), which was added by the laws of 2018, chapter 55, effective May 12, 2018, and which is set forth in the text to which footnote 23 is appended.</w:t>
      </w:r>
    </w:p>
    <w:p>
      <w:pPr>
        <w:pageBreakBefore w:val="false"/>
        <w:spacing w:before="24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revisions were to accommodate the statutory amendments noted in footnote one.</w:t>
      </w:r>
    </w:p>
    <w:p>
      <w:pPr>
        <w:pageBreakBefore w:val="false"/>
        <w:spacing w:before="0" w:after="0" w:line="275" w:lineRule="exact"/>
        <w:ind w:right="0" w:left="0" w:firstLine="72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charge has also been revised to make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130.05(3) and 130.10(4).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sectPr>
          <w:type w:val="nextPage"/>
          <w:pgSz w:w="12240" w:h="15840" w:orient="portrait"/>
          <w:pgMar w:bottom="944" w:top="1080" w:right="2140" w:left="2160" w:header="720" w:footer="720"/>
          <w:titlePg w:val="false"/>
          <w:textDirection w:val="lrTb"/>
        </w:sectPr>
      </w:pPr>
    </w:p>
    <w:p>
      <w:pPr>
        <w:pageBreakBefore w:val="false"/>
        <w:spacing w:before="5" w:after="0" w:line="322" w:lineRule="exact"/>
        <w:ind w:right="0" w:left="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meaning:</w:t>
      </w:r>
    </w:p>
    <w:p>
      <w:pPr>
        <w:pageBreakBefore w:val="false"/>
        <w:spacing w:before="0"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contact takes place WITHOUT A PERSON'S CONSENT when that person is deemed incapable of consent.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Under our law, a person is deemed INCAPABLE OF CONSENTING to sexual contact when he or she is:</w:t>
      </w:r>
    </w:p>
    <w:p>
      <w:pPr>
        <w:pageBreakBefore w:val="false"/>
        <w:spacing w:before="5" w:after="0" w:line="639" w:lineRule="exact"/>
        <w:ind w:right="0" w:left="72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Select appropriate alternative:</w:t>
        <w:br/>
      </w:r>
      <w:r>
        <w:rPr>
          <w:rFonts w:ascii="Arial" w:hAnsi="Arial" w:eastAsia="Arial"/>
          <w:strike w:val="false"/>
          <w:color w:val="000000"/>
          <w:spacing w:val="0"/>
          <w:w w:val="100"/>
          <w:sz w:val="28"/>
          <w:vertAlign w:val="baseline"/>
          <w:lang w:val="en-US"/>
        </w:rPr>
        <w:t xml:space="preserve">less than seventeen (17) years old.</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10"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 that the actor did not know that the person with whom the actor had sexual contact was less than seventeen (17) years old, or that the actor believed that such person was seventeen (17) years old or more on the date of the crime.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7" w:after="0" w:line="317" w:lineRule="exact"/>
        <w:ind w:right="0" w:left="720" w:firstLine="0"/>
        <w:jc w:val="left"/>
        <w:textAlignment w:val="baseline"/>
        <w:rPr>
          <w:rFonts w:ascii="Arial" w:hAnsi="Arial" w:eastAsia="Arial"/>
          <w:i w:val="true"/>
          <w:strike w:val="false"/>
          <w:color w:val="000000"/>
          <w:spacing w:val="30"/>
          <w:w w:val="100"/>
          <w:sz w:val="28"/>
          <w:vertAlign w:val="baseline"/>
          <w:lang w:val="en-US"/>
        </w:rPr>
      </w:pPr>
      <w:r>
        <w:rPr>
          <w:rFonts w:ascii="Arial" w:hAnsi="Arial" w:eastAsia="Arial"/>
          <w:i w:val="true"/>
          <w:strike w:val="false"/>
          <w:color w:val="000000"/>
          <w:spacing w:val="30"/>
          <w:w w:val="100"/>
          <w:sz w:val="28"/>
          <w:vertAlign w:val="baseline"/>
          <w:lang w:val="en-US"/>
        </w:rPr>
        <w:t xml:space="preserve">or</w:t>
      </w:r>
    </w:p>
    <w:p>
      <w:pPr>
        <w:pageBreakBefore w:val="false"/>
        <w:spacing w:before="318" w:after="859" w:line="322"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mentally disabled.</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91"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5pt" strokecolor="#000000" from="108pt,548.15pt" to="252.05pt,54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130.00 (3), as amended by the laws of 2010, chapter 193, effective October 13, 2010, which struck the phrase “not married to the actor” after the word “person,” and added the concluding phrase “as well as the emission of ejaculate by the actor upon any part of the victim, clothed or unclothed.”</w:t>
      </w:r>
    </w:p>
    <w:p>
      <w:pPr>
        <w:pageBreakBefore w:val="false"/>
        <w:spacing w:before="271"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130.05(2)(b).</w:t>
      </w:r>
    </w:p>
    <w:p>
      <w:pPr>
        <w:pageBreakBefore w:val="false"/>
        <w:spacing w:before="237"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130.05(3)(a).</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15.20(3).</w:t>
      </w:r>
    </w:p>
    <w:p>
      <w:pPr>
        <w:pageBreakBefore w:val="false"/>
        <w:spacing w:before="243"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130.05(3)(b).</w:t>
      </w:r>
    </w:p>
    <w:p>
      <w:pPr>
        <w:sectPr>
          <w:type w:val="nextPage"/>
          <w:pgSz w:w="12240" w:h="15840" w:orient="portrait"/>
          <w:pgMar w:bottom="864" w:top="1080" w:right="2140" w:left="2160" w:header="720" w:footer="720"/>
          <w:titlePg w:val="false"/>
          <w:textDirection w:val="lrTb"/>
        </w:sectPr>
      </w:pPr>
    </w:p>
    <w:p>
      <w:pPr>
        <w:pageBreakBefore w:val="false"/>
        <w:spacing w:before="0"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7" w:after="0" w:line="319" w:lineRule="exact"/>
        <w:ind w:right="0" w:left="720" w:firstLine="0"/>
        <w:jc w:val="left"/>
        <w:textAlignment w:val="baseline"/>
        <w:rPr>
          <w:rFonts w:ascii="Arial" w:hAnsi="Arial" w:eastAsia="Arial"/>
          <w:i w:val="true"/>
          <w:strike w:val="false"/>
          <w:color w:val="000000"/>
          <w:spacing w:val="30"/>
          <w:w w:val="100"/>
          <w:sz w:val="28"/>
          <w:vertAlign w:val="baseline"/>
          <w:lang w:val="en-US"/>
        </w:rPr>
      </w:pPr>
      <w:r>
        <w:rPr>
          <w:rFonts w:ascii="Arial" w:hAnsi="Arial" w:eastAsia="Arial"/>
          <w:i w:val="true"/>
          <w:strike w:val="false"/>
          <w:color w:val="000000"/>
          <w:spacing w:val="30"/>
          <w:w w:val="100"/>
          <w:sz w:val="28"/>
          <w:vertAlign w:val="baseline"/>
          <w:lang w:val="en-US"/>
        </w:rPr>
        <w:t xml:space="preserve">or</w:t>
      </w:r>
    </w:p>
    <w:p>
      <w:pPr>
        <w:pageBreakBefore w:val="false"/>
        <w:spacing w:before="316" w:after="0" w:line="322"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mentally incapacitated.</w:t>
      </w:r>
      <w:r>
        <w:rPr>
          <w:rFonts w:ascii="Arial" w:hAnsi="Arial" w:eastAsia="Arial"/>
          <w:strike w:val="false"/>
          <w:color w:val="000000"/>
          <w:spacing w:val="-3"/>
          <w:w w:val="100"/>
          <w:sz w:val="28"/>
          <w:vertAlign w:val="superscript"/>
          <w:lang w:val="en-US"/>
        </w:rPr>
        <w:t xml:space="preserve">9</w:t>
      </w:r>
      <w:r>
        <w:rPr>
          <w:rFonts w:ascii="Arial" w:hAnsi="Arial" w:eastAsia="Arial"/>
          <w:strike w:val="false"/>
          <w:color w:val="000000"/>
          <w:spacing w:val="-3"/>
          <w:w w:val="100"/>
          <w:sz w:val="17"/>
          <w:vertAlign w:val="baseline"/>
          <w:lang w:val="en-US"/>
        </w:rPr>
        <w:t xml:space="preserve">
</w:t>
      </w:r>
    </w:p>
    <w:p>
      <w:pPr>
        <w:pageBreakBefore w:val="false"/>
        <w:spacing w:before="318"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any other act committed upon him or her without his or her consent).</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30"/>
          <w:w w:val="100"/>
          <w:sz w:val="28"/>
          <w:vertAlign w:val="baseline"/>
          <w:lang w:val="en-US"/>
        </w:rPr>
      </w:pPr>
      <w:r>
        <w:rPr>
          <w:rFonts w:ascii="Arial" w:hAnsi="Arial" w:eastAsia="Arial"/>
          <w:i w:val="true"/>
          <w:strike w:val="false"/>
          <w:color w:val="000000"/>
          <w:spacing w:val="30"/>
          <w:w w:val="100"/>
          <w:sz w:val="28"/>
          <w:vertAlign w:val="baseline"/>
          <w:lang w:val="en-US"/>
        </w:rPr>
        <w:t xml:space="preserve">or</w:t>
      </w:r>
    </w:p>
    <w:p>
      <w:pPr>
        <w:pageBreakBefore w:val="false"/>
        <w:spacing w:before="316" w:after="0" w:line="322" w:lineRule="exact"/>
        <w:ind w:right="0" w:left="720" w:firstLine="0"/>
        <w:jc w:val="lef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physically helpless.</w:t>
      </w:r>
      <w:r>
        <w:rPr>
          <w:rFonts w:ascii="Arial" w:hAnsi="Arial" w:eastAsia="Arial"/>
          <w:strike w:val="false"/>
          <w:color w:val="000000"/>
          <w:spacing w:val="-7"/>
          <w:w w:val="100"/>
          <w:sz w:val="28"/>
          <w:vertAlign w:val="superscript"/>
          <w:lang w:val="en-US"/>
        </w:rPr>
        <w:t xml:space="preserve">11</w:t>
      </w:r>
      <w:r>
        <w:rPr>
          <w:rFonts w:ascii="Arial" w:hAnsi="Arial" w:eastAsia="Arial"/>
          <w:strike w:val="false"/>
          <w:color w:val="000000"/>
          <w:spacing w:val="-7"/>
          <w:w w:val="100"/>
          <w:sz w:val="17"/>
          <w:vertAlign w:val="baseline"/>
          <w:lang w:val="en-US"/>
        </w:rPr>
        <w:t xml:space="preserve">
</w:t>
      </w:r>
    </w:p>
    <w:p>
      <w:pPr>
        <w:pageBreakBefore w:val="false"/>
        <w:spacing w:before="321"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strike w:val="false"/>
          <w:color w:val="000000"/>
          <w:spacing w:val="0"/>
          <w:w w:val="100"/>
          <w:sz w:val="28"/>
          <w:vertAlign w:val="superscript"/>
          <w:lang w:val="en-US"/>
        </w:rPr>
        <w:t xml:space="preserve">12</w:t>
      </w:r>
      <w:r>
        <w:rPr>
          <w:rFonts w:ascii="Arial" w:hAnsi="Arial" w:eastAsia="Arial"/>
          <w:strike w:val="false"/>
          <w:color w:val="000000"/>
          <w:spacing w:val="0"/>
          <w:w w:val="100"/>
          <w:sz w:val="17"/>
          <w:vertAlign w:val="baseline"/>
          <w:lang w:val="en-US"/>
        </w:rPr>
        <w:t xml:space="preserve">
</w:t>
      </w:r>
    </w:p>
    <w:p>
      <w:pPr>
        <w:pageBreakBefore w:val="false"/>
        <w:spacing w:before="324" w:after="0" w:line="319" w:lineRule="exact"/>
        <w:ind w:right="0" w:left="720" w:firstLine="0"/>
        <w:jc w:val="left"/>
        <w:textAlignment w:val="baseline"/>
        <w:rPr>
          <w:rFonts w:ascii="Arial" w:hAnsi="Arial" w:eastAsia="Arial"/>
          <w:i w:val="true"/>
          <w:strike w:val="false"/>
          <w:color w:val="000000"/>
          <w:spacing w:val="30"/>
          <w:w w:val="100"/>
          <w:sz w:val="28"/>
          <w:vertAlign w:val="baseline"/>
          <w:lang w:val="en-US"/>
        </w:rPr>
      </w:pPr>
      <w:r>
        <w:rPr>
          <w:rFonts w:ascii="Arial" w:hAnsi="Arial" w:eastAsia="Arial"/>
          <w:i w:val="true"/>
          <w:strike w:val="false"/>
          <w:color w:val="000000"/>
          <w:spacing w:val="30"/>
          <w:w w:val="100"/>
          <w:sz w:val="28"/>
          <w:vertAlign w:val="baseline"/>
          <w:lang w:val="en-US"/>
        </w:rPr>
        <w:t xml:space="preserve">or</w:t>
      </w:r>
    </w:p>
    <w:p>
      <w:pPr>
        <w:pageBreakBefore w:val="false"/>
        <w:spacing w:before="315" w:after="331" w:line="322"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committed to the care and custody or supervision of the state department of corrections and community supervision or a hospital,</w:t>
      </w:r>
      <w:r>
        <w:rPr>
          <w:rFonts w:ascii="Arial" w:hAnsi="Arial" w:eastAsia="Arial"/>
          <w:strike w:val="false"/>
          <w:color w:val="000000"/>
          <w:spacing w:val="-4"/>
          <w:w w:val="100"/>
          <w:sz w:val="28"/>
          <w:vertAlign w:val="superscript"/>
          <w:lang w:val="en-US"/>
        </w:rPr>
        <w:t xml:space="preserve">13</w:t>
      </w:r>
      <w:r>
        <w:rPr>
          <w:rFonts w:ascii="Arial" w:hAnsi="Arial" w:eastAsia="Arial"/>
          <w:strike w:val="false"/>
          <w:color w:val="000000"/>
          <w:spacing w:val="-4"/>
          <w:w w:val="100"/>
          <w:sz w:val="28"/>
          <w:vertAlign w:val="baseline"/>
          <w:lang w:val="en-US"/>
        </w:rPr>
        <w:t xml:space="preserve"> and the actor is an employee</w:t>
      </w:r>
      <w:r>
        <w:rPr>
          <w:rFonts w:ascii="Arial" w:hAnsi="Arial" w:eastAsia="Arial"/>
          <w:strike w:val="false"/>
          <w:color w:val="000000"/>
          <w:spacing w:val="-4"/>
          <w:w w:val="100"/>
          <w:sz w:val="28"/>
          <w:vertAlign w:val="superscript"/>
          <w:lang w:val="en-US"/>
        </w:rPr>
        <w:t xml:space="preserve">14</w:t>
      </w:r>
      <w:r>
        <w:rPr>
          <w:rFonts w:ascii="Arial" w:hAnsi="Arial" w:eastAsia="Arial"/>
          <w:strike w:val="false"/>
          <w:color w:val="000000"/>
          <w:spacing w:val="-4"/>
          <w:w w:val="100"/>
          <w:sz w:val="28"/>
          <w:vertAlign w:val="baseline"/>
          <w:lang w:val="en-US"/>
        </w:rPr>
        <w:t xml:space="preserve"> who knows</w:t>
      </w:r>
    </w:p>
    <w:p>
      <w:pPr>
        <w:pageBreakBefore w:val="false"/>
        <w:spacing w:before="95"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7pt" strokecolor="#000000" from="108pt,553.9pt" to="252.05pt,553.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Penal Law § 130.00(5).</w:t>
      </w:r>
    </w:p>
    <w:p>
      <w:pPr>
        <w:pageBreakBefore w:val="false"/>
        <w:spacing w:before="239"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130.05(3)(c).</w:t>
      </w:r>
    </w:p>
    <w:p>
      <w:pPr>
        <w:pageBreakBefore w:val="false"/>
        <w:spacing w:before="238"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130.00 6).</w:t>
      </w:r>
    </w:p>
    <w:p>
      <w:pPr>
        <w:pageBreakBefore w:val="false"/>
        <w:spacing w:before="237"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strike w:val="false"/>
          <w:color w:val="000000"/>
          <w:spacing w:val="0"/>
          <w:w w:val="100"/>
          <w:sz w:val="24"/>
          <w:vertAlign w:val="baseline"/>
          <w:lang w:val="en-US"/>
        </w:rPr>
        <w:t xml:space="preserve"> Penal Law § 130.05(3)(d).</w:t>
      </w:r>
    </w:p>
    <w:p>
      <w:pPr>
        <w:pageBreakBefore w:val="false"/>
        <w:spacing w:before="241"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Penal Law § 130.00(7).</w:t>
      </w:r>
    </w:p>
    <w:p>
      <w:pPr>
        <w:pageBreakBefore w:val="false"/>
        <w:spacing w:before="234" w:after="0" w:line="283"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If in issue, the definition of “hospital” is set forth in Correction Law § 40(2).</w:t>
      </w:r>
    </w:p>
    <w:p>
      <w:pPr>
        <w:sectPr>
          <w:type w:val="nextPage"/>
          <w:pgSz w:w="12240" w:h="15840" w:orient="portrait"/>
          <w:pgMar w:bottom="1124" w:top="1080" w:right="2140" w:left="2160" w:header="720" w:footer="720"/>
          <w:titlePg w:val="false"/>
          <w:textDirection w:val="lrTb"/>
        </w:sectPr>
      </w:pPr>
    </w:p>
    <w:p>
      <w:pPr>
        <w:pageBreakBefore w:val="false"/>
        <w:spacing w:before="23" w:after="0" w:line="31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reasonably should know that such person is committed to the care and custody or supervision of such department or hospital.</w:t>
      </w:r>
      <w:r>
        <w:rPr>
          <w:rFonts w:ascii="Arial" w:hAnsi="Arial" w:eastAsia="Arial"/>
          <w:strike w:val="false"/>
          <w:color w:val="000000"/>
          <w:spacing w:val="0"/>
          <w:w w:val="100"/>
          <w:sz w:val="28"/>
          <w:vertAlign w:val="superscript"/>
          <w:lang w:val="en-US"/>
        </w:rPr>
        <w:t xml:space="preserve">15</w:t>
      </w:r>
      <w:r>
        <w:rPr>
          <w:rFonts w:ascii="Arial" w:hAnsi="Arial" w:eastAsia="Arial"/>
          <w:strike w:val="false"/>
          <w:color w:val="000000"/>
          <w:spacing w:val="0"/>
          <w:w w:val="100"/>
          <w:sz w:val="17"/>
          <w:vertAlign w:val="baseline"/>
          <w:lang w:val="en-US"/>
        </w:rPr>
        <w:t xml:space="preserve">
</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31"/>
          <w:w w:val="100"/>
          <w:sz w:val="28"/>
          <w:vertAlign w:val="baseline"/>
          <w:lang w:val="en-US"/>
        </w:rPr>
      </w:pPr>
      <w:r>
        <w:rPr>
          <w:rFonts w:ascii="Arial" w:hAnsi="Arial" w:eastAsia="Arial"/>
          <w:i w:val="true"/>
          <w:strike w:val="false"/>
          <w:color w:val="000000"/>
          <w:spacing w:val="31"/>
          <w:w w:val="100"/>
          <w:sz w:val="28"/>
          <w:vertAlign w:val="baseline"/>
          <w:lang w:val="en-US"/>
        </w:rPr>
        <w:t xml:space="preserve">or</w:t>
      </w:r>
    </w:p>
    <w:p>
      <w:pPr>
        <w:pageBreakBefore w:val="false"/>
        <w:spacing w:before="348" w:after="0" w:line="31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committed to the care and custody of a local correctional facility,</w:t>
      </w:r>
      <w:r>
        <w:rPr>
          <w:rFonts w:ascii="Arial" w:hAnsi="Arial" w:eastAsia="Arial"/>
          <w:strike w:val="false"/>
          <w:color w:val="000000"/>
          <w:spacing w:val="0"/>
          <w:w w:val="100"/>
          <w:sz w:val="28"/>
          <w:vertAlign w:val="superscript"/>
          <w:lang w:val="en-US"/>
        </w:rPr>
        <w:t xml:space="preserve">16</w:t>
      </w:r>
      <w:r>
        <w:rPr>
          <w:rFonts w:ascii="Arial" w:hAnsi="Arial" w:eastAsia="Arial"/>
          <w:strike w:val="false"/>
          <w:color w:val="000000"/>
          <w:spacing w:val="0"/>
          <w:w w:val="100"/>
          <w:sz w:val="28"/>
          <w:vertAlign w:val="baseline"/>
          <w:lang w:val="en-US"/>
        </w:rPr>
        <w:t xml:space="preserve"> and the actor is an employee,</w:t>
      </w:r>
      <w:r>
        <w:rPr>
          <w:rFonts w:ascii="Arial" w:hAnsi="Arial" w:eastAsia="Arial"/>
          <w:strike w:val="false"/>
          <w:color w:val="000000"/>
          <w:spacing w:val="0"/>
          <w:w w:val="100"/>
          <w:sz w:val="28"/>
          <w:vertAlign w:val="superscript"/>
          <w:lang w:val="en-US"/>
        </w:rPr>
        <w:t xml:space="preserve">17</w:t>
      </w:r>
      <w:r>
        <w:rPr>
          <w:rFonts w:ascii="Arial" w:hAnsi="Arial" w:eastAsia="Arial"/>
          <w:strike w:val="false"/>
          <w:color w:val="000000"/>
          <w:spacing w:val="0"/>
          <w:w w:val="100"/>
          <w:sz w:val="28"/>
          <w:vertAlign w:val="baseline"/>
          <w:lang w:val="en-US"/>
        </w:rPr>
        <w:t xml:space="preserve"> not married to such person,</w:t>
      </w:r>
      <w:r>
        <w:rPr>
          <w:rFonts w:ascii="Arial" w:hAnsi="Arial" w:eastAsia="Arial"/>
          <w:strike w:val="false"/>
          <w:color w:val="000000"/>
          <w:spacing w:val="0"/>
          <w:w w:val="100"/>
          <w:sz w:val="28"/>
          <w:vertAlign w:val="superscript"/>
          <w:lang w:val="en-US"/>
        </w:rPr>
        <w:t xml:space="preserve">18</w:t>
      </w:r>
      <w:r>
        <w:rPr>
          <w:rFonts w:ascii="Arial" w:hAnsi="Arial" w:eastAsia="Arial"/>
          <w:strike w:val="false"/>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strike w:val="false"/>
          <w:color w:val="000000"/>
          <w:spacing w:val="0"/>
          <w:w w:val="100"/>
          <w:sz w:val="28"/>
          <w:vertAlign w:val="superscript"/>
          <w:lang w:val="en-US"/>
        </w:rPr>
        <w:t xml:space="preserve">19</w:t>
      </w:r>
      <w:r>
        <w:rPr>
          <w:rFonts w:ascii="Arial" w:hAnsi="Arial" w:eastAsia="Arial"/>
          <w:strike w:val="false"/>
          <w:color w:val="000000"/>
          <w:spacing w:val="0"/>
          <w:w w:val="100"/>
          <w:sz w:val="17"/>
          <w:vertAlign w:val="baseline"/>
          <w:lang w:val="en-US"/>
        </w:rPr>
        <w:t xml:space="preserve">
</w:t>
      </w:r>
    </w:p>
    <w:p>
      <w:pPr>
        <w:pageBreakBefore w:val="false"/>
        <w:spacing w:before="325" w:after="0" w:line="319" w:lineRule="exact"/>
        <w:ind w:right="0" w:left="720" w:firstLine="0"/>
        <w:jc w:val="left"/>
        <w:textAlignment w:val="baseline"/>
        <w:rPr>
          <w:rFonts w:ascii="Arial" w:hAnsi="Arial" w:eastAsia="Arial"/>
          <w:i w:val="true"/>
          <w:strike w:val="false"/>
          <w:color w:val="000000"/>
          <w:spacing w:val="31"/>
          <w:w w:val="100"/>
          <w:sz w:val="28"/>
          <w:vertAlign w:val="baseline"/>
          <w:lang w:val="en-US"/>
        </w:rPr>
      </w:pPr>
      <w:r>
        <w:rPr>
          <w:rFonts w:ascii="Arial" w:hAnsi="Arial" w:eastAsia="Arial"/>
          <w:i w:val="true"/>
          <w:strike w:val="false"/>
          <w:color w:val="000000"/>
          <w:spacing w:val="31"/>
          <w:w w:val="100"/>
          <w:sz w:val="28"/>
          <w:vertAlign w:val="baseline"/>
          <w:lang w:val="en-US"/>
        </w:rPr>
        <w:t xml:space="preserve">or</w:t>
      </w:r>
    </w:p>
    <w:p>
      <w:pPr>
        <w:pageBreakBefore w:val="false"/>
        <w:spacing w:before="314" w:after="523" w:line="323"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committed to or placed with the office of children and family services and in residential care, and the actor is an employee,</w:t>
      </w:r>
      <w:r>
        <w:rPr>
          <w:rFonts w:ascii="Arial" w:hAnsi="Arial" w:eastAsia="Arial"/>
          <w:strike w:val="false"/>
          <w:color w:val="000000"/>
          <w:spacing w:val="-3"/>
          <w:w w:val="100"/>
          <w:sz w:val="28"/>
          <w:vertAlign w:val="superscript"/>
          <w:lang w:val="en-US"/>
        </w:rPr>
        <w:t xml:space="preserve">20</w:t>
      </w:r>
      <w:r>
        <w:rPr>
          <w:rFonts w:ascii="Arial" w:hAnsi="Arial" w:eastAsia="Arial"/>
          <w:strike w:val="false"/>
          <w:color w:val="000000"/>
          <w:spacing w:val="-3"/>
          <w:w w:val="100"/>
          <w:sz w:val="28"/>
          <w:vertAlign w:val="baseline"/>
          <w:lang w:val="en-US"/>
        </w:rPr>
        <w:t xml:space="preserve"> not married to such person,</w:t>
      </w:r>
      <w:r>
        <w:rPr>
          <w:rFonts w:ascii="Arial" w:hAnsi="Arial" w:eastAsia="Arial"/>
          <w:strike w:val="false"/>
          <w:color w:val="000000"/>
          <w:spacing w:val="-3"/>
          <w:w w:val="100"/>
          <w:sz w:val="28"/>
          <w:vertAlign w:val="superscript"/>
          <w:lang w:val="en-US"/>
        </w:rPr>
        <w:t xml:space="preserve">21</w:t>
      </w:r>
      <w:r>
        <w:rPr>
          <w:rFonts w:ascii="Arial" w:hAnsi="Arial" w:eastAsia="Arial"/>
          <w:strike w:val="false"/>
          <w:color w:val="000000"/>
          <w:spacing w:val="-3"/>
          <w:w w:val="100"/>
          <w:sz w:val="28"/>
          <w:vertAlign w:val="baseline"/>
          <w:lang w:val="en-US"/>
        </w:rPr>
        <w:t xml:space="preserve"> who knows or reasonably should know that such person is committed to or placed with the office of children and family services and</w:t>
      </w:r>
    </w:p>
    <w:p>
      <w:pPr>
        <w:pageBreakBefore w:val="false"/>
        <w:spacing w:before="381" w:after="0" w:line="279" w:lineRule="exact"/>
        <w:ind w:right="144" w:left="0" w:firstLine="720"/>
        <w:jc w:val="both"/>
        <w:textAlignment w:val="baseline"/>
        <w:rPr>
          <w:rFonts w:ascii="Arial" w:hAnsi="Arial" w:eastAsia="Arial"/>
          <w:strike w:val="false"/>
          <w:color w:val="000000"/>
          <w:spacing w:val="0"/>
          <w:w w:val="100"/>
          <w:sz w:val="14"/>
          <w:vertAlign w:val="superscript"/>
          <w:lang w:val="en-US"/>
        </w:rPr>
      </w:pPr>
      <w:r>
        <w:pict>
          <v:line strokeweight="0.7pt" strokecolor="#000000" from="107.85pt,386.9pt" to="252.05pt,38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14</w:t>
      </w:r>
      <w:r>
        <w:rPr>
          <w:rFonts w:ascii="Arial" w:hAnsi="Arial" w:eastAsia="Arial"/>
          <w:strike w:val="false"/>
          <w:color w:val="000000"/>
          <w:spacing w:val="0"/>
          <w:w w:val="100"/>
          <w:sz w:val="24"/>
          <w:vertAlign w:val="baseline"/>
          <w:lang w:val="en-US"/>
        </w:rPr>
        <w:t xml:space="preserve"> If in issue, the definition of “employee” is set forth in Penal Law § 130.05 (3)(e).</w:t>
      </w:r>
    </w:p>
    <w:p>
      <w:pPr>
        <w:pageBreakBefore w:val="false"/>
        <w:spacing w:before="297"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Penal Law § 130.05(3)(e).</w:t>
      </w:r>
    </w:p>
    <w:p>
      <w:pPr>
        <w:pageBreakBefore w:val="false"/>
        <w:spacing w:before="297"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16</w:t>
      </w:r>
      <w:r>
        <w:rPr>
          <w:rFonts w:ascii="Arial" w:hAnsi="Arial" w:eastAsia="Arial"/>
          <w:strike w:val="false"/>
          <w:color w:val="000000"/>
          <w:spacing w:val="0"/>
          <w:w w:val="100"/>
          <w:sz w:val="24"/>
          <w:vertAlign w:val="baseline"/>
          <w:lang w:val="en-US"/>
        </w:rPr>
        <w:t xml:space="preserve"> If in issue, the definition of “local correctional facility” is set forth in Correction Law § 40(2).</w:t>
      </w:r>
    </w:p>
    <w:p>
      <w:pPr>
        <w:pageBreakBefore w:val="false"/>
        <w:spacing w:before="234" w:after="0" w:line="279" w:lineRule="exact"/>
        <w:ind w:right="144"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17</w:t>
      </w:r>
      <w:r>
        <w:rPr>
          <w:rFonts w:ascii="Arial" w:hAnsi="Arial" w:eastAsia="Arial"/>
          <w:strike w:val="false"/>
          <w:color w:val="000000"/>
          <w:spacing w:val="0"/>
          <w:w w:val="100"/>
          <w:sz w:val="24"/>
          <w:vertAlign w:val="baseline"/>
          <w:lang w:val="en-US"/>
        </w:rPr>
        <w:t xml:space="preserve"> If in issue, the definition of “employee” is set forth in Penal Law § 130.05(3)f).</w:t>
      </w:r>
    </w:p>
    <w:p>
      <w:pPr>
        <w:pageBreakBefore w:val="false"/>
        <w:spacing w:before="234" w:after="0" w:line="279" w:lineRule="exact"/>
        <w:ind w:right="288"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18</w:t>
      </w:r>
      <w:r>
        <w:rPr>
          <w:rFonts w:ascii="Arial" w:hAnsi="Arial" w:eastAsia="Arial"/>
          <w:strike w:val="false"/>
          <w:color w:val="000000"/>
          <w:spacing w:val="0"/>
          <w:w w:val="100"/>
          <w:sz w:val="24"/>
          <w:vertAlign w:val="baseline"/>
          <w:lang w:val="en-US"/>
        </w:rPr>
        <w:t xml:space="preserve"> If in issue, the definition of “married” is set forth in Penal Law § 130.00(4).</w:t>
      </w:r>
    </w:p>
    <w:p>
      <w:pPr>
        <w:pageBreakBefore w:val="false"/>
        <w:spacing w:before="229"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19</w:t>
      </w:r>
      <w:r>
        <w:rPr>
          <w:rFonts w:ascii="Arial" w:hAnsi="Arial" w:eastAsia="Arial"/>
          <w:strike w:val="false"/>
          <w:color w:val="000000"/>
          <w:spacing w:val="0"/>
          <w:w w:val="100"/>
          <w:sz w:val="24"/>
          <w:vertAlign w:val="baseline"/>
          <w:lang w:val="en-US"/>
        </w:rPr>
        <w:t xml:space="preserve"> Penal Law § 130.05 (3) (f).</w:t>
      </w:r>
    </w:p>
    <w:p>
      <w:pPr>
        <w:pageBreakBefore w:val="false"/>
        <w:spacing w:before="239" w:after="0" w:line="279" w:lineRule="exact"/>
        <w:ind w:right="288"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20</w:t>
      </w:r>
      <w:r>
        <w:rPr>
          <w:rFonts w:ascii="Arial" w:hAnsi="Arial" w:eastAsia="Arial"/>
          <w:strike w:val="false"/>
          <w:color w:val="000000"/>
          <w:spacing w:val="0"/>
          <w:w w:val="100"/>
          <w:sz w:val="24"/>
          <w:vertAlign w:val="baseline"/>
          <w:lang w:val="en-US"/>
        </w:rPr>
        <w:t xml:space="preserve"> If in issue, the definition of “employee” is set forth in Penal Law §130.05(3)(g).</w:t>
      </w:r>
    </w:p>
    <w:p>
      <w:pPr>
        <w:pageBreakBefore w:val="false"/>
        <w:spacing w:before="513" w:after="0" w:line="279" w:lineRule="exact"/>
        <w:ind w:right="504"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21</w:t>
      </w:r>
      <w:r>
        <w:rPr>
          <w:rFonts w:ascii="Arial" w:hAnsi="Arial" w:eastAsia="Arial"/>
          <w:strike w:val="false"/>
          <w:color w:val="000000"/>
          <w:spacing w:val="0"/>
          <w:w w:val="100"/>
          <w:sz w:val="24"/>
          <w:vertAlign w:val="baseline"/>
          <w:lang w:val="en-US"/>
        </w:rPr>
        <w:t xml:space="preserve"> If in issue, the definition of “married” is set forth in Penal Law §130.00(4).</w:t>
      </w:r>
    </w:p>
    <w:p>
      <w:pPr>
        <w:sectPr>
          <w:type w:val="nextPage"/>
          <w:pgSz w:w="12240" w:h="15840" w:orient="portrait"/>
          <w:pgMar w:bottom="1364" w:top="1080" w:right="2143" w:left="2157" w:header="720" w:footer="720"/>
          <w:titlePg w:val="false"/>
          <w:textDirection w:val="lrTb"/>
        </w:sectPr>
      </w:pPr>
    </w:p>
    <w:p>
      <w:pPr>
        <w:pageBreakBefore w:val="false"/>
        <w:spacing w:before="0" w:after="0" w:line="50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residential care.</w:t>
      </w:r>
      <w:r>
        <w:rPr>
          <w:rFonts w:ascii="Arial" w:hAnsi="Arial" w:eastAsia="Arial"/>
          <w:strike w:val="false"/>
          <w:color w:val="000000"/>
          <w:spacing w:val="0"/>
          <w:w w:val="100"/>
          <w:sz w:val="28"/>
          <w:vertAlign w:val="superscript"/>
          <w:lang w:val="en-US"/>
        </w:rPr>
        <w:t xml:space="preserve">22</w:t>
      </w:r>
      <w:r>
        <w:rPr>
          <w:rFonts w:ascii="Arial" w:hAnsi="Arial" w:eastAsia="Arial"/>
          <w:strike w:val="false"/>
          <w:color w:val="000000"/>
          <w:spacing w:val="0"/>
          <w:w w:val="100"/>
          <w:sz w:val="17"/>
          <w:vertAlign w:val="baseline"/>
          <w:lang w:val="en-US"/>
        </w:rPr>
        <w:t xml:space="preserve"></w:t>
        <w:br/>
      </w:r>
      <w:r>
        <w:rPr>
          <w:rFonts w:ascii="Arial" w:hAnsi="Arial" w:eastAsia="Arial"/>
          <w:i w:val="true"/>
          <w:strike w:val="false"/>
          <w:color w:val="000000"/>
          <w:spacing w:val="0"/>
          <w:w w:val="100"/>
          <w:sz w:val="28"/>
          <w:vertAlign w:val="baseline"/>
          <w:lang w:val="en-US"/>
        </w:rPr>
        <w:t xml:space="preserve">or</w:t>
      </w:r>
    </w:p>
    <w:p>
      <w:pPr>
        <w:pageBreakBefore w:val="false"/>
        <w:spacing w:before="296" w:after="0" w:line="324" w:lineRule="exact"/>
        <w:ind w:right="0" w:left="720" w:firstLine="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a client or patient and the actor is a health care provider</w:t>
      </w:r>
      <w:r>
        <w:rPr>
          <w:rFonts w:ascii="Arial" w:hAnsi="Arial" w:eastAsia="Arial"/>
          <w:strike w:val="false"/>
          <w:color w:val="000000"/>
          <w:spacing w:val="-7"/>
          <w:w w:val="100"/>
          <w:sz w:val="28"/>
          <w:vertAlign w:val="superscript"/>
          <w:lang w:val="en-US"/>
        </w:rPr>
        <w:t xml:space="preserve">23</w:t>
      </w:r>
      <w:r>
        <w:rPr>
          <w:rFonts w:ascii="Arial" w:hAnsi="Arial" w:eastAsia="Arial"/>
          <w:strike w:val="false"/>
          <w:color w:val="000000"/>
          <w:spacing w:val="-7"/>
          <w:w w:val="100"/>
          <w:sz w:val="28"/>
          <w:vertAlign w:val="baseline"/>
          <w:lang w:val="en-US"/>
        </w:rPr>
        <w:t xml:space="preserve"> or mental health care provider</w:t>
      </w:r>
      <w:r>
        <w:rPr>
          <w:rFonts w:ascii="Arial" w:hAnsi="Arial" w:eastAsia="Arial"/>
          <w:strike w:val="false"/>
          <w:color w:val="000000"/>
          <w:spacing w:val="-7"/>
          <w:w w:val="100"/>
          <w:sz w:val="28"/>
          <w:vertAlign w:val="superscript"/>
          <w:lang w:val="en-US"/>
        </w:rPr>
        <w:t xml:space="preserve">24</w:t>
      </w:r>
      <w:r>
        <w:rPr>
          <w:rFonts w:ascii="Arial" w:hAnsi="Arial" w:eastAsia="Arial"/>
          <w:strike w:val="false"/>
          <w:color w:val="000000"/>
          <w:spacing w:val="-7"/>
          <w:w w:val="100"/>
          <w:sz w:val="28"/>
          <w:vertAlign w:val="baseline"/>
          <w:lang w:val="en-US"/>
        </w:rPr>
        <w:t xml:space="preserve"> and the act of sexual contact occurs during a treatment session, consultation, interview, or examination,</w:t>
      </w:r>
      <w:r>
        <w:rPr>
          <w:rFonts w:ascii="Arial" w:hAnsi="Arial" w:eastAsia="Arial"/>
          <w:strike w:val="false"/>
          <w:color w:val="000000"/>
          <w:spacing w:val="-7"/>
          <w:w w:val="100"/>
          <w:sz w:val="28"/>
          <w:vertAlign w:val="superscript"/>
          <w:lang w:val="en-US"/>
        </w:rPr>
        <w:t xml:space="preserve">25</w:t>
      </w:r>
      <w:r>
        <w:rPr>
          <w:rFonts w:ascii="Arial" w:hAnsi="Arial" w:eastAsia="Arial"/>
          <w:strike w:val="false"/>
          <w:color w:val="000000"/>
          <w:spacing w:val="-7"/>
          <w:w w:val="100"/>
          <w:sz w:val="28"/>
          <w:vertAlign w:val="baseline"/>
          <w:lang w:val="en-US"/>
        </w:rPr>
        <w:t xml:space="preserve"> and, such conduct was not performed for a valid medical or mental health care purpose.</w:t>
      </w:r>
      <w:r>
        <w:rPr>
          <w:rFonts w:ascii="Arial" w:hAnsi="Arial" w:eastAsia="Arial"/>
          <w:strike w:val="false"/>
          <w:color w:val="000000"/>
          <w:spacing w:val="-7"/>
          <w:w w:val="100"/>
          <w:sz w:val="28"/>
          <w:vertAlign w:val="superscript"/>
          <w:lang w:val="en-US"/>
        </w:rPr>
        <w:t xml:space="preserve">26</w:t>
      </w:r>
      <w:r>
        <w:rPr>
          <w:rFonts w:ascii="Arial" w:hAnsi="Arial" w:eastAsia="Arial"/>
          <w:strike w:val="false"/>
          <w:color w:val="000000"/>
          <w:spacing w:val="-7"/>
          <w:w w:val="100"/>
          <w:sz w:val="17"/>
          <w:vertAlign w:val="baseline"/>
          <w:lang w:val="en-US"/>
        </w:rPr>
        <w:t xml:space="preserve">
</w:t>
      </w:r>
    </w:p>
    <w:p>
      <w:pPr>
        <w:pageBreakBefore w:val="false"/>
        <w:spacing w:before="338" w:after="0" w:line="319" w:lineRule="exact"/>
        <w:ind w:right="0" w:left="720" w:firstLine="0"/>
        <w:jc w:val="left"/>
        <w:textAlignment w:val="baseline"/>
        <w:rPr>
          <w:rFonts w:ascii="Arial" w:hAnsi="Arial" w:eastAsia="Arial"/>
          <w:i w:val="true"/>
          <w:strike w:val="false"/>
          <w:color w:val="000000"/>
          <w:spacing w:val="31"/>
          <w:w w:val="100"/>
          <w:sz w:val="28"/>
          <w:vertAlign w:val="baseline"/>
          <w:lang w:val="en-US"/>
        </w:rPr>
      </w:pPr>
      <w:r>
        <w:rPr>
          <w:rFonts w:ascii="Arial" w:hAnsi="Arial" w:eastAsia="Arial"/>
          <w:i w:val="true"/>
          <w:strike w:val="false"/>
          <w:color w:val="000000"/>
          <w:spacing w:val="31"/>
          <w:w w:val="100"/>
          <w:sz w:val="28"/>
          <w:vertAlign w:val="baseline"/>
          <w:lang w:val="en-US"/>
        </w:rPr>
        <w:t xml:space="preserve">or</w:t>
      </w:r>
    </w:p>
    <w:p>
      <w:pPr>
        <w:pageBreakBefore w:val="false"/>
        <w:spacing w:before="297" w:after="57"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strike w:val="false"/>
          <w:color w:val="000000"/>
          <w:spacing w:val="0"/>
          <w:w w:val="100"/>
          <w:sz w:val="28"/>
          <w:vertAlign w:val="superscript"/>
          <w:lang w:val="en-US"/>
        </w:rPr>
        <w:t xml:space="preserve">27</w:t>
      </w:r>
      <w:r>
        <w:rPr>
          <w:rFonts w:ascii="Arial" w:hAnsi="Arial" w:eastAsia="Arial"/>
          <w:strike w:val="false"/>
          <w:color w:val="000000"/>
          <w:spacing w:val="0"/>
          <w:w w:val="100"/>
          <w:sz w:val="28"/>
          <w:vertAlign w:val="baseline"/>
          <w:lang w:val="en-US"/>
        </w:rPr>
        <w:t xml:space="preserve"> of the facility not married to such resident or inpatient. </w:t>
      </w:r>
      <w:r>
        <w:rPr>
          <w:rFonts w:ascii="Arial" w:hAnsi="Arial" w:eastAsia="Arial"/>
          <w:strike w:val="false"/>
          <w:color w:val="000000"/>
          <w:spacing w:val="0"/>
          <w:w w:val="100"/>
          <w:sz w:val="28"/>
          <w:vertAlign w:val="superscript"/>
          <w:lang w:val="en-US"/>
        </w:rPr>
        <w:t xml:space="preserve">28</w:t>
      </w:r>
      <w:r>
        <w:rPr>
          <w:rFonts w:ascii="Arial" w:hAnsi="Arial" w:eastAsia="Arial"/>
          <w:strike w:val="false"/>
          <w:color w:val="000000"/>
          <w:spacing w:val="0"/>
          <w:w w:val="100"/>
          <w:sz w:val="28"/>
          <w:vertAlign w:val="superscript"/>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0" w:after="0" w:line="251" w:lineRule="exact"/>
        <w:ind w:right="0" w:left="0" w:firstLine="0"/>
        <w:jc w:val="left"/>
        <w:textAlignment w:val="baseline"/>
        <w:rPr>
          <w:rFonts w:ascii="Arial" w:hAnsi="Arial" w:eastAsia="Arial"/>
          <w:i w:val="true"/>
          <w:strike w:val="false"/>
          <w:color w:val="000000"/>
          <w:spacing w:val="31"/>
          <w:w w:val="100"/>
          <w:sz w:val="28"/>
          <w:vertAlign w:val="baseline"/>
          <w:lang w:val="en-US"/>
        </w:rPr>
      </w:pPr>
      <w:r>
        <w:rPr>
          <w:rFonts w:ascii="Arial" w:hAnsi="Arial" w:eastAsia="Arial"/>
          <w:i w:val="true"/>
          <w:strike w:val="false"/>
          <w:color w:val="000000"/>
          <w:spacing w:val="31"/>
          <w:w w:val="100"/>
          <w:sz w:val="28"/>
          <w:vertAlign w:val="baseline"/>
          <w:lang w:val="en-US"/>
        </w:rPr>
        <w:t xml:space="preserve">or</w:t>
      </w:r>
    </w:p>
    <w:p>
      <w:pPr>
        <w:pageBreakBefore w:val="false"/>
        <w:spacing w:before="0" w:after="521"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detained or otherwise in the custody of a police officer, [peace officer, or other law enforcement official] and the actor is a police officer, [peace officer or other law enforcement official] who either: (i) is detaining or maintaining custody of such person; or (ii) knows, or</w:t>
      </w:r>
    </w:p>
    <w:p>
      <w:pPr>
        <w:pageBreakBefore w:val="false"/>
        <w:spacing w:before="85"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7pt" strokecolor="#000000" from="107.85pt,483.1pt" to="252.05pt,483.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22</w:t>
      </w:r>
      <w:r>
        <w:rPr>
          <w:rFonts w:ascii="Arial" w:hAnsi="Arial" w:eastAsia="Arial"/>
          <w:strike w:val="false"/>
          <w:color w:val="000000"/>
          <w:spacing w:val="0"/>
          <w:w w:val="100"/>
          <w:sz w:val="24"/>
          <w:vertAlign w:val="baseline"/>
          <w:lang w:val="en-US"/>
        </w:rPr>
        <w:t xml:space="preserve"> Penal Law §130.05 (3)(g).</w:t>
      </w:r>
    </w:p>
    <w:p>
      <w:pPr>
        <w:pageBreakBefore w:val="false"/>
        <w:spacing w:before="245" w:after="0" w:line="279" w:lineRule="exact"/>
        <w:ind w:right="360"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23</w:t>
      </w:r>
      <w:r>
        <w:rPr>
          <w:rFonts w:ascii="Arial" w:hAnsi="Arial" w:eastAsia="Arial"/>
          <w:strike w:val="false"/>
          <w:color w:val="000000"/>
          <w:spacing w:val="0"/>
          <w:w w:val="100"/>
          <w:sz w:val="24"/>
          <w:vertAlign w:val="baseline"/>
          <w:lang w:val="en-US"/>
        </w:rPr>
        <w:t xml:space="preserve"> If in issue, the definition of “health care provider” is set forth in Penal Law §130.00(12).</w:t>
      </w:r>
    </w:p>
    <w:p>
      <w:pPr>
        <w:pageBreakBefore w:val="false"/>
        <w:spacing w:before="234" w:after="0" w:line="279" w:lineRule="exact"/>
        <w:ind w:right="360"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24</w:t>
      </w:r>
      <w:r>
        <w:rPr>
          <w:rFonts w:ascii="Arial" w:hAnsi="Arial" w:eastAsia="Arial"/>
          <w:strike w:val="false"/>
          <w:color w:val="000000"/>
          <w:spacing w:val="0"/>
          <w:w w:val="100"/>
          <w:sz w:val="24"/>
          <w:vertAlign w:val="baseline"/>
          <w:lang w:val="en-US"/>
        </w:rPr>
        <w:t xml:space="preserve"> If in issue, the definition of “mental health care provider” is set forth in Penal Law §130.00(13).</w:t>
      </w:r>
    </w:p>
    <w:p>
      <w:pPr>
        <w:pageBreakBefore w:val="false"/>
        <w:spacing w:before="228"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25</w:t>
      </w:r>
      <w:r>
        <w:rPr>
          <w:rFonts w:ascii="Arial" w:hAnsi="Arial" w:eastAsia="Arial"/>
          <w:strike w:val="false"/>
          <w:color w:val="000000"/>
          <w:spacing w:val="0"/>
          <w:w w:val="100"/>
          <w:sz w:val="24"/>
          <w:vertAlign w:val="baseline"/>
          <w:lang w:val="en-US"/>
        </w:rPr>
        <w:t xml:space="preserve"> Penal Law §130.05(3)(h).</w:t>
      </w:r>
    </w:p>
    <w:p>
      <w:pPr>
        <w:pageBreakBefore w:val="false"/>
        <w:spacing w:before="239"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26</w:t>
      </w:r>
      <w:r>
        <w:rPr>
          <w:rFonts w:ascii="Arial" w:hAnsi="Arial" w:eastAsia="Arial"/>
          <w:strike w:val="false"/>
          <w:color w:val="000000"/>
          <w:spacing w:val="0"/>
          <w:w w:val="100"/>
          <w:sz w:val="24"/>
          <w:vertAlign w:val="baseline"/>
          <w:lang w:val="en-US"/>
        </w:rPr>
        <w:t xml:space="preserve"> Penal Law §130.10(2).</w:t>
      </w:r>
    </w:p>
    <w:p>
      <w:pPr>
        <w:pageBreakBefore w:val="false"/>
        <w:spacing w:before="274" w:after="0" w:line="279" w:lineRule="exact"/>
        <w:ind w:right="144"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27</w:t>
      </w:r>
      <w:r>
        <w:rPr>
          <w:rFonts w:ascii="Arial" w:hAnsi="Arial" w:eastAsia="Arial"/>
          <w:strike w:val="false"/>
          <w:color w:val="000000"/>
          <w:spacing w:val="0"/>
          <w:w w:val="100"/>
          <w:sz w:val="24"/>
          <w:vertAlign w:val="baseline"/>
          <w:lang w:val="en-US"/>
        </w:rPr>
        <w:t xml:space="preserve"> If in issue, the definition of “employee” is set forth in Penal Law § 130.05(3)(i).</w:t>
      </w:r>
    </w:p>
    <w:p>
      <w:pPr>
        <w:pageBreakBefore w:val="false"/>
        <w:spacing w:before="273" w:after="0" w:line="279" w:lineRule="exact"/>
        <w:ind w:right="144"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28</w:t>
      </w:r>
      <w:r>
        <w:rPr>
          <w:rFonts w:ascii="Arial" w:hAnsi="Arial" w:eastAsia="Arial"/>
          <w:strike w:val="false"/>
          <w:color w:val="000000"/>
          <w:spacing w:val="0"/>
          <w:w w:val="100"/>
          <w:sz w:val="24"/>
          <w:vertAlign w:val="baseline"/>
          <w:lang w:val="en-US"/>
        </w:rPr>
        <w:t xml:space="preserve"> Penal Law § 130.05(3)(i). If in issue, the definition of “married” is set forth in Penal Law § 130.00(4).</w:t>
      </w:r>
    </w:p>
    <w:p>
      <w:pPr>
        <w:sectPr>
          <w:type w:val="nextPage"/>
          <w:pgSz w:w="12240" w:h="15840" w:orient="portrait"/>
          <w:pgMar w:bottom="1124" w:top="1040" w:right="2143" w:left="2157" w:header="720" w:footer="720"/>
          <w:titlePg w:val="false"/>
          <w:textDirection w:val="lrTb"/>
        </w:sectPr>
      </w:pPr>
    </w:p>
    <w:p>
      <w:pPr>
        <w:pageBreakBefore w:val="false"/>
        <w:spacing w:before="2" w:after="0" w:line="323" w:lineRule="exact"/>
        <w:ind w:right="72"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reasonably should know, that at the time of the offense, such person was detained or in custody. </w:t>
      </w:r>
      <w:r>
        <w:rPr>
          <w:rFonts w:ascii="Arial" w:hAnsi="Arial" w:eastAsia="Arial"/>
          <w:strike w:val="false"/>
          <w:color w:val="000000"/>
          <w:spacing w:val="0"/>
          <w:w w:val="100"/>
          <w:sz w:val="28"/>
          <w:vertAlign w:val="superscript"/>
          <w:lang w:val="en-US"/>
        </w:rPr>
        <w:t xml:space="preserve">29</w:t>
      </w:r>
      <w:r>
        <w:rPr>
          <w:rFonts w:ascii="Arial" w:hAnsi="Arial" w:eastAsia="Arial"/>
          <w:strike w:val="false"/>
          <w:color w:val="000000"/>
          <w:spacing w:val="0"/>
          <w:w w:val="100"/>
          <w:sz w:val="17"/>
          <w:vertAlign w:val="baseline"/>
          <w:lang w:val="en-US"/>
        </w:rPr>
        <w:t xml:space="preserve">
</w:t>
      </w:r>
    </w:p>
    <w:p>
      <w:pPr>
        <w:pageBreakBefore w:val="false"/>
        <w:spacing w:before="323" w:after="0" w:line="322" w:lineRule="exact"/>
        <w:ind w:right="72"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detained or otherwise in custody of a law enforcement official, or committed to the care and custody or supervision of the state department of corrections and community supervision or a hospital and the actor is an employee, add if in issue:</w:t>
      </w:r>
    </w:p>
    <w:p>
      <w:pPr>
        <w:pageBreakBefore w:val="false"/>
        <w:spacing w:before="347" w:after="0" w:line="315" w:lineRule="exact"/>
        <w:ind w:right="72" w:left="1440" w:firstLine="72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It is a defense to this charge that the defendant was married to the victim.</w:t>
      </w:r>
      <w:r>
        <w:rPr>
          <w:rFonts w:ascii="Arial" w:hAnsi="Arial" w:eastAsia="Arial"/>
          <w:strike w:val="false"/>
          <w:color w:val="000000"/>
          <w:spacing w:val="-7"/>
          <w:w w:val="100"/>
          <w:sz w:val="28"/>
          <w:vertAlign w:val="superscript"/>
          <w:lang w:val="en-US"/>
        </w:rPr>
        <w:t xml:space="preserve">30</w:t>
      </w:r>
      <w:r>
        <w:rPr>
          <w:rFonts w:ascii="Arial" w:hAnsi="Arial" w:eastAsia="Arial"/>
          <w:strike w:val="false"/>
          <w:color w:val="000000"/>
          <w:spacing w:val="-7"/>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strike w:val="false"/>
          <w:color w:val="000000"/>
          <w:spacing w:val="-7"/>
          <w:w w:val="100"/>
          <w:sz w:val="28"/>
          <w:vertAlign w:val="superscript"/>
          <w:lang w:val="en-US"/>
        </w:rPr>
        <w:t xml:space="preserve">31</w:t>
      </w:r>
      <w:r>
        <w:rPr>
          <w:rFonts w:ascii="Arial" w:hAnsi="Arial" w:eastAsia="Arial"/>
          <w:strike w:val="false"/>
          <w:color w:val="000000"/>
          <w:spacing w:val="-7"/>
          <w:w w:val="100"/>
          <w:sz w:val="28"/>
          <w:vertAlign w:val="baseline"/>
          <w:lang w:val="en-US"/>
        </w:rPr>
        <w:t xml:space="preserve">]</w:t>
      </w:r>
    </w:p>
    <w:p>
      <w:pPr>
        <w:pageBreakBefore w:val="false"/>
        <w:spacing w:before="335" w:after="0" w:line="322" w:lineRule="exact"/>
        <w:ind w:right="72"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This is the end of definitions and the resumption of the charge.</w:t>
      </w:r>
    </w:p>
    <w:p>
      <w:pPr>
        <w:pageBreakBefore w:val="false"/>
        <w:spacing w:before="310" w:after="0" w:line="323"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the law deems sexual contact with such a person to be without that person's consent, even if in fact that person did consent.</w:t>
      </w:r>
    </w:p>
    <w:p>
      <w:pPr>
        <w:pageBreakBefore w:val="false"/>
        <w:spacing w:before="321" w:after="0" w:line="323"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tabs>
          <w:tab w:val="right" w:leader="none" w:pos="7920"/>
        </w:tabs>
        <w:spacing w:before="326" w:after="0" w:line="323" w:lineRule="exact"/>
        <w:ind w:right="72"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0" w:after="452" w:line="321" w:lineRule="exact"/>
        <w:ind w:right="72"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i w:val="true"/>
          <w:strike w:val="false"/>
          <w:color w:val="000000"/>
          <w:spacing w:val="0"/>
          <w:w w:val="100"/>
          <w:sz w:val="28"/>
          <w:u w:val="single"/>
          <w:vertAlign w:val="baseline"/>
          <w:lang w:val="en-US"/>
        </w:rPr>
        <w:t xml:space="preserve">(name of defendant) </w:t>
      </w:r>
      <w:r>
        <w:rPr>
          <w:rFonts w:ascii="Arial" w:hAnsi="Arial" w:eastAsia="Arial"/>
          <w:strike w:val="false"/>
          <w:color w:val="000000"/>
          <w:spacing w:val="0"/>
          <w:w w:val="100"/>
          <w:sz w:val="28"/>
          <w:vertAlign w:val="baseline"/>
          <w:lang w:val="en-US"/>
        </w:rPr>
        <w:t xml:space="preserve"> , subjected </w:t>
      </w:r>
      <w:r>
        <w:rPr>
          <w:rFonts w:ascii="Arial" w:hAnsi="Arial" w:eastAsia="Arial"/>
          <w:i w:val="true"/>
          <w:strike w:val="false"/>
          <w:color w:val="000000"/>
          <w:spacing w:val="0"/>
          <w:w w:val="100"/>
          <w:sz w:val="28"/>
          <w:u w:val="single"/>
          <w:vertAlign w:val="baseline"/>
          <w:lang w:val="en-US"/>
        </w:rPr>
        <w:t xml:space="preserve">(name of complainant) </w:t>
      </w:r>
      <w:r>
        <w:rPr>
          <w:rFonts w:ascii="Arial" w:hAnsi="Arial" w:eastAsia="Arial"/>
          <w:strike w:val="false"/>
          <w:color w:val="000000"/>
          <w:spacing w:val="0"/>
          <w:w w:val="100"/>
          <w:sz w:val="28"/>
          <w:vertAlign w:val="baseline"/>
          <w:lang w:val="en-US"/>
        </w:rPr>
        <w:t xml:space="preserve"> to sexual contact; and</w:t>
      </w:r>
    </w:p>
    <w:p>
      <w:pPr>
        <w:pageBreakBefore w:val="false"/>
        <w:spacing w:before="0" w:after="0" w:line="552" w:lineRule="exact"/>
        <w:ind w:right="72" w:left="720" w:firstLine="0"/>
        <w:jc w:val="left"/>
        <w:textAlignment w:val="baseline"/>
        <w:rPr>
          <w:rFonts w:ascii="Arial" w:hAnsi="Arial" w:eastAsia="Arial"/>
          <w:strike w:val="false"/>
          <w:color w:val="000000"/>
          <w:spacing w:val="0"/>
          <w:w w:val="100"/>
          <w:sz w:val="14"/>
          <w:vertAlign w:val="superscript"/>
          <w:lang w:val="en-US"/>
        </w:rPr>
      </w:pPr>
      <w:r>
        <w:pict>
          <v:line strokeweight="0.7pt" strokecolor="#000000" from="107.45pt,650.4pt" to="252.05pt,650.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29</w:t>
      </w:r>
      <w:r>
        <w:rPr>
          <w:rFonts w:ascii="Arial" w:hAnsi="Arial" w:eastAsia="Arial"/>
          <w:strike w:val="false"/>
          <w:color w:val="000000"/>
          <w:spacing w:val="0"/>
          <w:w w:val="100"/>
          <w:sz w:val="24"/>
          <w:vertAlign w:val="baseline"/>
          <w:lang w:val="en-US"/>
        </w:rPr>
        <w:t xml:space="preserve"> Penal Law § 130.05(3)(j).</w:t>
        <w:br/>
      </w:r>
      <w:r>
        <w:rPr>
          <w:rFonts w:ascii="Arial" w:hAnsi="Arial" w:eastAsia="Arial"/>
          <w:strike w:val="false"/>
          <w:color w:val="000000"/>
          <w:spacing w:val="0"/>
          <w:w w:val="100"/>
          <w:sz w:val="14"/>
          <w:vertAlign w:val="superscript"/>
          <w:lang w:val="en-US"/>
        </w:rPr>
        <w:t xml:space="preserve">30</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130.10(4).</w:t>
      </w:r>
    </w:p>
    <w:p>
      <w:pPr>
        <w:pageBreakBefore w:val="false"/>
        <w:spacing w:before="273" w:after="0" w:line="283" w:lineRule="exact"/>
        <w:ind w:right="21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130.00(4).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Domestic Relations Law §§ 15 and 15-a.</w:t>
      </w:r>
    </w:p>
    <w:p>
      <w:pPr>
        <w:sectPr>
          <w:type w:val="nextPage"/>
          <w:pgSz w:w="12240" w:h="15840" w:orient="portrait"/>
          <w:pgMar w:bottom="684" w:top="1080" w:right="2105" w:left="2149" w:header="720" w:footer="720"/>
          <w:titlePg w:val="false"/>
          <w:textDirection w:val="lrTb"/>
        </w:sectPr>
      </w:pPr>
    </w:p>
    <w:p>
      <w:pPr>
        <w:pageBreakBefore w:val="false"/>
        <w:numPr>
          <w:ilvl w:val="0"/>
          <w:numId w:val="2"/>
        </w:numPr>
        <w:tabs>
          <w:tab w:val="clear" w:pos="720"/>
          <w:tab w:val="left" w:pos="1440"/>
        </w:tabs>
        <w:spacing w:before="15"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the consent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because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incapable of consent [and]</w:t>
      </w:r>
    </w:p>
    <w:p>
      <w:pPr>
        <w:pageBreakBefore w:val="false"/>
        <w:spacing w:before="314" w:after="0" w:line="322"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Add if applicable</w:t>
      </w:r>
      <w:r>
        <w:rPr>
          <w:rFonts w:ascii="Arial" w:hAnsi="Arial" w:eastAsia="Arial"/>
          <w:strike w:val="false"/>
          <w:color w:val="000000"/>
          <w:spacing w:val="-2"/>
          <w:w w:val="100"/>
          <w:sz w:val="28"/>
          <w:vertAlign w:val="baseline"/>
          <w:lang w:val="en-US"/>
        </w:rPr>
        <w:t xml:space="preserve">:</w:t>
      </w:r>
    </w:p>
    <w:p>
      <w:pPr>
        <w:pageBreakBefore w:val="false"/>
        <w:numPr>
          <w:ilvl w:val="0"/>
          <w:numId w:val="3"/>
        </w:numPr>
        <w:tabs>
          <w:tab w:val="clear" w:pos="720"/>
          <w:tab w:val="left" w:pos="1440"/>
        </w:tabs>
        <w:spacing w:before="9"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married to </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p>
    <w:p>
      <w:pPr>
        <w:pageBreakBefore w:val="false"/>
        <w:spacing w:before="31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16" w:after="0" w:line="32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23" w:after="0" w:line="322"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130.10 or Penal Law § 130.55 applies, omit the final two paragraphs of the above charge, and substitute the appropriate charge at the end of this article.]</w:t>
      </w:r>
    </w:p>
    <w:p>
      <w:pPr>
        <w:pageBreakBefore w:val="false"/>
        <w:spacing w:before="315" w:after="0" w:line="322"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lack of consent results solely from incapacity to consent because of the alleged victim's mental disability or mental incapacity, a charge on corroboration is required. Penal Law § 130.16. See charge at the end of this article.]</w:t>
      </w:r>
    </w:p>
    <w:sectPr>
      <w:type w:val="nextPage"/>
      <w:pgSz w:w="12240" w:h="15840" w:orient="portrait"/>
      <w:pgMar w:bottom="5984" w:top="1080" w:right="2108" w:left="21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strike w:val="false"/>
        <w:color w:val="000000"/>
        <w:spacing w:val="-1"/>
        <w:w w:val="100"/>
        <w:sz w:val="24"/>
        <w:vertAlign w:val="baseline"/>
        <w:lang w:val="en-US"/>
      </w:rPr>
    </w:lvl>
  </w:abstractNum>
  <w:abstractNum w:abstractNumId="2">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