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SEXUAL ABUSE IN THE SECOND DEGREE</w:t>
        <w:br/>
      </w:r>
      <w:r>
        <w:rPr>
          <w:rFonts w:ascii="Arial" w:hAnsi="Arial" w:eastAsia="Arial"/>
          <w:b w:val="true"/>
          <w:color w:val="000000"/>
          <w:spacing w:val="0"/>
          <w:w w:val="100"/>
          <w:sz w:val="28"/>
          <w:vertAlign w:val="baseline"/>
          <w:lang w:val="en-US"/>
        </w:rPr>
        <w:t xml:space="preserve">(Insertion of Finger; Complainant Less Than Eleven)</w:t>
        <w:br/>
      </w:r>
      <w:r>
        <w:rPr>
          <w:rFonts w:ascii="Arial" w:hAnsi="Arial" w:eastAsia="Arial"/>
          <w:b w:val="true"/>
          <w:color w:val="000000"/>
          <w:spacing w:val="0"/>
          <w:w w:val="100"/>
          <w:sz w:val="28"/>
          <w:vertAlign w:val="baseline"/>
          <w:lang w:val="en-US"/>
        </w:rPr>
        <w:t xml:space="preserve">Penal Law § 130.67 (1) (c)</w:t>
        <w:br/>
      </w:r>
      <w:r>
        <w:rPr>
          <w:rFonts w:ascii="Arial" w:hAnsi="Arial" w:eastAsia="Arial"/>
          <w:b w:val="true"/>
          <w:color w:val="000000"/>
          <w:spacing w:val="0"/>
          <w:w w:val="100"/>
          <w:sz w:val="28"/>
          <w:vertAlign w:val="baseline"/>
          <w:lang w:val="en-US"/>
        </w:rPr>
        <w:t xml:space="preserve">(Committed on or after Nov. 1, 1988)</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648"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Sexual Abuse in the Second Degree.</w:t>
      </w:r>
    </w:p>
    <w:p>
      <w:pPr>
        <w:pageBreakBefore w:val="false"/>
        <w:spacing w:before="309"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Sexual Abuse in the Second Degree when he or she inserts a finger in the vagina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urethra]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penis]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rectum]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anus] of another person causing physical injury to such person and when the other person is incapable of consent by reason of being less than eleven (11) years old.</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19"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Conduct performed for a valid medical purpose does not violate the provisions of this law.</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4" w:after="292"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is INCAPABLE OF CONSENTING to the insertion of a finger in the vagina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urethra]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penis]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rectum]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anus] when that person is less than eleven (11) years old.</w:t>
      </w:r>
      <w:r>
        <w:rPr>
          <w:rFonts w:ascii="Arial" w:hAnsi="Arial" w:eastAsia="Arial"/>
          <w:color w:val="000000"/>
          <w:spacing w:val="-4"/>
          <w:w w:val="100"/>
          <w:sz w:val="28"/>
          <w:vertAlign w:val="superscript"/>
          <w:lang w:val="en-US"/>
        </w:rPr>
        <w:t xml:space="preserve">4</w:t>
      </w:r>
      <w:r>
        <w:rPr>
          <w:rFonts w:ascii="Arial" w:hAnsi="Arial" w:eastAsia="Arial"/>
          <w:color w:val="000000"/>
          <w:spacing w:val="-4"/>
          <w:w w:val="100"/>
          <w:sz w:val="28"/>
          <w:vertAlign w:val="baseline"/>
          <w:lang w:val="en-US"/>
        </w:rPr>
        <w:t xml:space="preserve"> Thus, the law deems such insertion with such a person to be without that person's consent, even if in fact that person did consent.</w:t>
      </w:r>
    </w:p>
    <w:p>
      <w:pPr>
        <w:pageBreakBefore w:val="false"/>
        <w:spacing w:before="254" w:after="0" w:line="277" w:lineRule="exact"/>
        <w:ind w:right="0" w:left="0" w:firstLine="720"/>
        <w:jc w:val="both"/>
        <w:textAlignment w:val="baseline"/>
        <w:rPr>
          <w:rFonts w:ascii="Arial" w:hAnsi="Arial" w:eastAsia="Arial"/>
          <w:color w:val="000000"/>
          <w:spacing w:val="-2"/>
          <w:w w:val="100"/>
          <w:sz w:val="14"/>
          <w:vertAlign w:val="superscript"/>
          <w:lang w:val="en-US"/>
        </w:rPr>
      </w:pPr>
      <w:r>
        <w:pict>
          <v:line strokeweight="1.2pt" strokecolor="#000000" from="107.75pt,526.55pt" to="252.05pt,526.5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1</w:t>
      </w:r>
      <w:r>
        <w:rPr>
          <w:rFonts w:ascii="Arial" w:hAnsi="Arial" w:eastAsia="Arial"/>
          <w:color w:val="000000"/>
          <w:spacing w:val="-2"/>
          <w:w w:val="100"/>
          <w:sz w:val="24"/>
          <w:vertAlign w:val="baseline"/>
          <w:lang w:val="en-US"/>
        </w:rPr>
        <w:t xml:space="preserve"> The terminology “or anus” was added to the definition of this crime in 2010. Thus, the definition, with that term included, is applicable to a crime committed on or after January 7, 2010, pursuant to the laws of 2009, chapter 45. For crimes committed on or after November 1, 1988 and before January 7, 2010, omit that terminology.</w:t>
      </w:r>
    </w:p>
    <w:p>
      <w:pPr>
        <w:pageBreakBefore w:val="false"/>
        <w:spacing w:before="287" w:after="0" w:line="277" w:lineRule="exact"/>
        <w:ind w:right="0" w:left="0" w:firstLine="720"/>
        <w:jc w:val="both"/>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2 </w:t>
      </w:r>
      <w:r>
        <w:rPr>
          <w:rFonts w:ascii="Arial" w:hAnsi="Arial" w:eastAsia="Arial"/>
          <w:color w:val="000000"/>
          <w:spacing w:val="0"/>
          <w:w w:val="100"/>
          <w:sz w:val="24"/>
          <w:vertAlign w:val="baseline"/>
          <w:lang w:val="en-US"/>
        </w:rPr>
        <w:t xml:space="preserve">The definition of the crime has been modified to incorporate specifically the requirement of incapacity to consent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130.05 [1], [2] [b]).</w:t>
      </w:r>
    </w:p>
    <w:p>
      <w:pPr>
        <w:pageBreakBefore w:val="false"/>
        <w:spacing w:before="272" w:after="0" w:line="277" w:lineRule="exact"/>
        <w:ind w:right="0"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3 </w:t>
      </w:r>
      <w:r>
        <w:rPr>
          <w:rFonts w:ascii="Arial" w:hAnsi="Arial" w:eastAsia="Arial"/>
          <w:color w:val="000000"/>
          <w:spacing w:val="0"/>
          <w:w w:val="100"/>
          <w:sz w:val="24"/>
          <w:vertAlign w:val="baseline"/>
          <w:lang w:val="en-US"/>
        </w:rPr>
        <w:t xml:space="preserve">Penal Law § 130.67(2).</w:t>
      </w:r>
    </w:p>
    <w:p>
      <w:pPr>
        <w:pageBreakBefore w:val="false"/>
        <w:spacing w:before="291" w:after="0" w:line="277" w:lineRule="exact"/>
        <w:ind w:right="0"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4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130.05 (3) (a).</w:t>
      </w:r>
    </w:p>
    <w:p>
      <w:pPr>
        <w:sectPr>
          <w:type w:val="nextPage"/>
          <w:pgSz w:w="12240" w:h="15840" w:orient="portrait"/>
          <w:pgMar w:bottom="984" w:top="1440" w:right="2125" w:left="2155" w:header="720" w:footer="720"/>
          <w:titlePg w:val="false"/>
          <w:textDirection w:val="lrTb"/>
        </w:sectPr>
      </w:pPr>
    </w:p>
    <w:p>
      <w:pPr>
        <w:pageBreakBefore w:val="false"/>
        <w:spacing w:before="15" w:after="0" w:line="317" w:lineRule="exact"/>
        <w:ind w:right="0" w:left="720" w:firstLine="0"/>
        <w:jc w:val="both"/>
        <w:textAlignment w:val="baseline"/>
        <w:rPr>
          <w:rFonts w:ascii="Arial" w:hAnsi="Arial" w:eastAsia="Arial"/>
          <w:i w:val="true"/>
          <w:color w:val="000000"/>
          <w:spacing w:val="6"/>
          <w:w w:val="100"/>
          <w:sz w:val="28"/>
          <w:vertAlign w:val="baseline"/>
          <w:lang w:val="en-US"/>
        </w:rPr>
      </w:pPr>
      <w:r>
        <w:rPr>
          <w:rFonts w:ascii="Arial" w:hAnsi="Arial" w:eastAsia="Arial"/>
          <w:i w:val="true"/>
          <w:color w:val="000000"/>
          <w:spacing w:val="6"/>
          <w:w w:val="100"/>
          <w:sz w:val="28"/>
          <w:vertAlign w:val="baseline"/>
          <w:lang w:val="en-US"/>
        </w:rPr>
        <w:t xml:space="preserve">[NOTE: Add where appropriate:</w:t>
      </w:r>
    </w:p>
    <w:p>
      <w:pPr>
        <w:pageBreakBefore w:val="false"/>
        <w:spacing w:before="4" w:after="0" w:line="321"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not a defense to a charge of Aggravated Sexual Abuse in the Second Degree that the actor did not know that the person with whom the actor had contact was less than eleven (11) years old, or that the actor believed that such person was eleven (11) years old or more on the date of the crime.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48" w:after="0" w:line="31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28" w:after="0" w:line="324"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on or about </w:t>
      </w:r>
      <w:r>
        <w:rPr>
          <w:rFonts w:ascii="Arial" w:hAnsi="Arial" w:eastAsia="Arial"/>
          <w:i w:val="true"/>
          <w:color w:val="000000"/>
          <w:spacing w:val="-2"/>
          <w:w w:val="100"/>
          <w:sz w:val="28"/>
          <w:u w:val="single"/>
          <w:vertAlign w:val="baseline"/>
          <w:lang w:val="en-US"/>
        </w:rPr>
        <w:t xml:space="preserve"> (date) </w:t>
      </w:r>
      <w:r>
        <w:rPr>
          <w:rFonts w:ascii="Arial" w:hAnsi="Arial" w:eastAsia="Arial"/>
          <w:color w:val="000000"/>
          <w:spacing w:val="-2"/>
          <w:w w:val="100"/>
          <w:sz w:val="28"/>
          <w:vertAlign w:val="baseline"/>
          <w:lang w:val="en-US"/>
        </w:rPr>
        <w:t xml:space="preserve"> , in the county of </w:t>
      </w:r>
      <w:r>
        <w:rPr>
          <w:rFonts w:ascii="Arial" w:hAnsi="Arial" w:eastAsia="Arial"/>
          <w:i w:val="true"/>
          <w:color w:val="000000"/>
          <w:spacing w:val="-2"/>
          <w:w w:val="100"/>
          <w:sz w:val="23"/>
          <w:u w:val="single"/>
          <w:vertAlign w:val="baseline"/>
          <w:lang w:val="en-US"/>
        </w:rPr>
        <w:t xml:space="preserve"> (</w:t>
      </w:r>
      <w:r>
        <w:rPr>
          <w:rFonts w:ascii="Arial" w:hAnsi="Arial" w:eastAsia="Arial"/>
          <w:i w:val="true"/>
          <w:color w:val="000000"/>
          <w:spacing w:val="-2"/>
          <w:w w:val="100"/>
          <w:sz w:val="28"/>
          <w:u w:val="single"/>
          <w:vertAlign w:val="baseline"/>
          <w:lang w:val="en-US"/>
        </w:rPr>
        <w:t xml:space="preserve">County</w:t>
      </w:r>
      <w:r>
        <w:rPr>
          <w:rFonts w:ascii="Arial" w:hAnsi="Arial" w:eastAsia="Arial"/>
          <w:i w:val="true"/>
          <w:color w:val="000000"/>
          <w:spacing w:val="-2"/>
          <w:w w:val="100"/>
          <w:sz w:val="23"/>
          <w:u w:val="single"/>
          <w:vertAlign w:val="baseline"/>
          <w:lang w:val="en-US"/>
        </w:rPr>
        <w:t xml:space="preserve">) </w:t>
      </w:r>
      <w:r>
        <w:rPr>
          <w:rFonts w:ascii="Arial" w:hAnsi="Arial" w:eastAsia="Arial"/>
          <w:color w:val="000000"/>
          <w:spacing w:val="-2"/>
          <w:w w:val="100"/>
          <w:sz w:val="28"/>
          <w:vertAlign w:val="baseline"/>
          <w:lang w:val="en-US"/>
        </w:rPr>
        <w:t xml:space="preserve"> , the defendant, </w:t>
      </w:r>
      <w:r>
        <w:rPr>
          <w:rFonts w:ascii="Arial" w:hAnsi="Arial" w:eastAsia="Arial"/>
          <w:i w:val="true"/>
          <w:color w:val="000000"/>
          <w:spacing w:val="-2"/>
          <w:w w:val="100"/>
          <w:sz w:val="28"/>
          <w:u w:val="single"/>
          <w:vertAlign w:val="baseline"/>
          <w:lang w:val="en-US"/>
        </w:rPr>
        <w:t xml:space="preserve"> (name of defendant) </w:t>
      </w:r>
      <w:r>
        <w:rPr>
          <w:rFonts w:ascii="Arial" w:hAnsi="Arial" w:eastAsia="Arial"/>
          <w:color w:val="000000"/>
          <w:spacing w:val="-2"/>
          <w:w w:val="100"/>
          <w:sz w:val="28"/>
          <w:vertAlign w:val="baseline"/>
          <w:lang w:val="en-US"/>
        </w:rPr>
        <w:t xml:space="preserve"> , without a valid medical purpose, inserted a finger in the vagina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urethra]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penis]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rectum]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anus] of </w:t>
      </w:r>
      <w:r>
        <w:rPr>
          <w:rFonts w:ascii="Arial" w:hAnsi="Arial" w:eastAsia="Arial"/>
          <w:i w:val="true"/>
          <w:color w:val="000000"/>
          <w:spacing w:val="-2"/>
          <w:w w:val="100"/>
          <w:sz w:val="28"/>
          <w:u w:val="single"/>
          <w:vertAlign w:val="baseline"/>
          <w:lang w:val="en-US"/>
        </w:rPr>
        <w:t xml:space="preserve">(name of complainant)</w:t>
      </w:r>
      <w:r>
        <w:rPr>
          <w:rFonts w:ascii="Arial" w:hAnsi="Arial" w:eastAsia="Arial"/>
          <w:color w:val="000000"/>
          <w:spacing w:val="-2"/>
          <w:w w:val="100"/>
          <w:sz w:val="28"/>
          <w:vertAlign w:val="baseline"/>
          <w:lang w:val="en-US"/>
        </w:rPr>
        <w:t xml:space="preserve">, causing him/her physical injury; and</w:t>
      </w:r>
    </w:p>
    <w:p>
      <w:pPr>
        <w:pageBreakBefore w:val="false"/>
        <w:numPr>
          <w:ilvl w:val="0"/>
          <w:numId w:val="1"/>
        </w:numPr>
        <w:tabs>
          <w:tab w:val="clear" w:pos="720"/>
          <w:tab w:val="left" w:pos="1440"/>
        </w:tabs>
        <w:spacing w:before="322" w:after="0" w:line="322" w:lineRule="exact"/>
        <w:ind w:right="0" w:left="1440" w:hanging="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w:t>
      </w:r>
      <w:r>
        <w:rPr>
          <w:rFonts w:ascii="Arial" w:hAnsi="Arial" w:eastAsia="Arial"/>
          <w:i w:val="true"/>
          <w:color w:val="000000"/>
          <w:spacing w:val="-3"/>
          <w:w w:val="100"/>
          <w:sz w:val="23"/>
          <w:u w:val="single"/>
          <w:vertAlign w:val="baseline"/>
          <w:lang w:val="en-US"/>
        </w:rPr>
        <w:t xml:space="preserve">(</w:t>
      </w:r>
      <w:r>
        <w:rPr>
          <w:rFonts w:ascii="Arial" w:hAnsi="Arial" w:eastAsia="Arial"/>
          <w:i w:val="true"/>
          <w:color w:val="000000"/>
          <w:spacing w:val="-3"/>
          <w:w w:val="100"/>
          <w:sz w:val="28"/>
          <w:u w:val="single"/>
          <w:vertAlign w:val="baseline"/>
          <w:lang w:val="en-US"/>
        </w:rPr>
        <w:t xml:space="preserve">name of complainant</w:t>
      </w:r>
      <w:r>
        <w:rPr>
          <w:rFonts w:ascii="Arial" w:hAnsi="Arial" w:eastAsia="Arial"/>
          <w:i w:val="true"/>
          <w:color w:val="000000"/>
          <w:spacing w:val="-3"/>
          <w:w w:val="100"/>
          <w:sz w:val="23"/>
          <w:u w:val="single"/>
          <w:vertAlign w:val="baseline"/>
          <w:lang w:val="en-US"/>
        </w:rPr>
        <w:t xml:space="preserve">)</w:t>
      </w:r>
      <w:r>
        <w:rPr>
          <w:rFonts w:ascii="Arial" w:hAnsi="Arial" w:eastAsia="Arial"/>
          <w:color w:val="000000"/>
          <w:spacing w:val="-3"/>
          <w:w w:val="100"/>
          <w:sz w:val="28"/>
          <w:vertAlign w:val="baseline"/>
          <w:lang w:val="en-US"/>
        </w:rPr>
        <w:t xml:space="preserve"> was incapable of consent because he/she was less than eleven (11) years old.</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9" w:after="975"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81" w:after="0" w:line="288" w:lineRule="exact"/>
        <w:ind w:right="0" w:left="288" w:firstLine="0"/>
        <w:jc w:val="left"/>
        <w:textAlignment w:val="baseline"/>
        <w:rPr>
          <w:rFonts w:ascii="Arial" w:hAnsi="Arial" w:eastAsia="Arial"/>
          <w:color w:val="000000"/>
          <w:spacing w:val="0"/>
          <w:w w:val="100"/>
          <w:sz w:val="17"/>
          <w:vertAlign w:val="superscript"/>
          <w:lang w:val="en-US"/>
        </w:rPr>
      </w:pPr>
      <w:r>
        <w:pict>
          <v:line strokeweight="1.2pt" strokecolor="#000000" from="107.95pt,640.1pt" to="252.05pt,640.1pt" style="position:absolute;mso-position-horizontal-relative:page;mso-position-vertical-relative:page;">
            <v:stroke dashstyle="solid"/>
          </v:line>
        </w:pict>
      </w:r>
      <w:r>
        <w:rPr>
          <w:rFonts w:ascii="Arial" w:hAnsi="Arial" w:eastAsia="Arial"/>
          <w:color w:val="000000"/>
          <w:spacing w:val="0"/>
          <w:w w:val="100"/>
          <w:sz w:val="17"/>
          <w:vertAlign w:val="superscript"/>
          <w:lang w:val="en-US"/>
        </w:rPr>
        <w:t xml:space="preserve">5</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15.20 (3).</w:t>
      </w:r>
    </w:p>
    <w:p>
      <w:pPr>
        <w:pageBreakBefore w:val="false"/>
        <w:spacing w:before="269" w:after="0" w:line="299" w:lineRule="exact"/>
        <w:ind w:right="0" w:left="288"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6 </w:t>
      </w:r>
      <w:r>
        <w:rPr>
          <w:rFonts w:ascii="Arial" w:hAnsi="Arial" w:eastAsia="Arial"/>
          <w:color w:val="000000"/>
          <w:spacing w:val="0"/>
          <w:w w:val="100"/>
          <w:sz w:val="24"/>
          <w:vertAlign w:val="baseline"/>
          <w:lang w:val="en-US"/>
        </w:rPr>
        <w:t xml:space="preserve">Penal Law § 10.00 (9); </w:t>
      </w:r>
      <w:r>
        <w:rPr>
          <w:rFonts w:ascii="Arial" w:hAnsi="Arial" w:eastAsia="Arial"/>
          <w:i w:val="true"/>
          <w:color w:val="000000"/>
          <w:spacing w:val="0"/>
          <w:w w:val="100"/>
          <w:sz w:val="24"/>
          <w:vertAlign w:val="baseline"/>
          <w:lang w:val="en-US"/>
        </w:rPr>
        <w:t xml:space="preserve">See People v Chiddick</w:t>
      </w:r>
      <w:r>
        <w:rPr>
          <w:rFonts w:ascii="Arial" w:hAnsi="Arial" w:eastAsia="Arial"/>
          <w:color w:val="000000"/>
          <w:spacing w:val="0"/>
          <w:w w:val="100"/>
          <w:sz w:val="24"/>
          <w:vertAlign w:val="baseline"/>
          <w:lang w:val="en-US"/>
        </w:rPr>
        <w:t xml:space="preserve">, 8 NY3d 445 (2007).</w:t>
      </w:r>
    </w:p>
    <w:p>
      <w:pPr>
        <w:pageBreakBefore w:val="false"/>
        <w:spacing w:before="251"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sectPr>
      <w:type w:val="nextPage"/>
      <w:pgSz w:w="12240" w:h="15840" w:orient="portrait"/>
      <w:pgMar w:bottom="1024" w:top="1760" w:right="2115" w:left="215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