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COURSE OF SEXUAL CONDUCT AGAINST A CHILD</w:t>
        <w:br/>
      </w:r>
      <w:r>
        <w:rPr>
          <w:rFonts w:ascii="Arial" w:hAnsi="Arial" w:eastAsia="Arial"/>
          <w:b w:val="true"/>
          <w:color w:val="000000"/>
          <w:spacing w:val="0"/>
          <w:w w:val="100"/>
          <w:sz w:val="28"/>
          <w:vertAlign w:val="baseline"/>
          <w:lang w:val="en-US"/>
        </w:rPr>
        <w:t xml:space="preserve">IN THE SECOND DEGREE</w:t>
        <w:br/>
      </w:r>
      <w:r>
        <w:rPr>
          <w:rFonts w:ascii="Arial" w:hAnsi="Arial" w:eastAsia="Arial"/>
          <w:b w:val="true"/>
          <w:color w:val="000000"/>
          <w:spacing w:val="0"/>
          <w:w w:val="100"/>
          <w:sz w:val="28"/>
          <w:vertAlign w:val="baseline"/>
          <w:lang w:val="en-US"/>
        </w:rPr>
        <w:t xml:space="preserve">Penal Law § 130.80 (1) (a)</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6"/>
          <w:vertAlign w:val="baseline"/>
          <w:lang w:val="en-US"/>
        </w:rPr>
        <w:t xml:space="preserve"></w:t>
        <w:br/>
      </w:r>
      <w:r>
        <w:rPr>
          <w:rFonts w:ascii="Arial" w:hAnsi="Arial" w:eastAsia="Arial"/>
          <w:b w:val="true"/>
          <w:color w:val="000000"/>
          <w:spacing w:val="0"/>
          <w:w w:val="100"/>
          <w:sz w:val="28"/>
          <w:vertAlign w:val="baseline"/>
          <w:lang w:val="en-US"/>
        </w:rPr>
        <w:t xml:space="preserve">(Committed on or after Nov. 1, 2003)</w:t>
        <w:br/>
      </w:r>
      <w:r>
        <w:rPr>
          <w:rFonts w:ascii="Arial" w:hAnsi="Arial" w:eastAsia="Arial"/>
          <w:b w:val="true"/>
          <w:color w:val="000000"/>
          <w:spacing w:val="0"/>
          <w:w w:val="100"/>
          <w:sz w:val="28"/>
          <w:vertAlign w:val="baseline"/>
          <w:lang w:val="en-US"/>
        </w:rPr>
        <w:t xml:space="preserve">(Revised May 2018)</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6"/>
          <w:vertAlign w:val="baseline"/>
          <w:lang w:val="en-US"/>
        </w:rPr>
        <w:t xml:space="preserve">
</w:t>
      </w:r>
    </w:p>
    <w:p>
      <w:pPr>
        <w:pageBreakBefore w:val="false"/>
        <w:spacing w:before="65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Course of Sexual Conduct Against a Child in the Second Degree.</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Course of Sexual Conduct Against a Child in the Second Degree when, over a period of time not less than three months in duration, he or she engages in two or more acts of sexual conduct with a child less than eleven (11) years old.</w:t>
      </w:r>
    </w:p>
    <w:p>
      <w:pPr>
        <w:pageBreakBefore w:val="false"/>
        <w:spacing w:before="318" w:after="605"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it is also an element of this offense that the sexual conduct was committed without the consent of such child.</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16"/>
          <w:vertAlign w:val="baseline"/>
          <w:lang w:val="en-US"/>
        </w:rPr>
        <w:t xml:space="preserve"> </w:t>
      </w:r>
      <w:r>
        <w:rPr>
          <w:rFonts w:ascii="Arial" w:hAnsi="Arial" w:eastAsia="Arial"/>
          <w:color w:val="000000"/>
          <w:spacing w:val="-3"/>
          <w:w w:val="100"/>
          <w:sz w:val="28"/>
          <w:vertAlign w:val="baseline"/>
          <w:lang w:val="en-US"/>
        </w:rPr>
        <w:t xml:space="preserve">Sexual conduct takes place without a child’s consent when that child is deemed by law to be incapable of consent. Under our law, a child is deemed incapable of consenting to sexual conduct when he or she is less than eleven (11) years old.</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28"/>
          <w:vertAlign w:val="baseline"/>
          <w:lang w:val="en-US"/>
        </w:rPr>
        <w:t xml:space="preserve"> Thus, the law deems sexual conduct with such child to be without that child’s consent, even if in fact that child did consent.</w:t>
      </w:r>
    </w:p>
    <w:p>
      <w:pPr>
        <w:pageBreakBefore w:val="false"/>
        <w:spacing w:before="270" w:after="0" w:line="281" w:lineRule="exact"/>
        <w:ind w:right="0" w:left="0" w:firstLine="720"/>
        <w:jc w:val="both"/>
        <w:textAlignment w:val="baseline"/>
        <w:rPr>
          <w:rFonts w:ascii="Arial" w:hAnsi="Arial" w:eastAsia="Arial"/>
          <w:color w:val="000000"/>
          <w:spacing w:val="0"/>
          <w:w w:val="100"/>
          <w:sz w:val="16"/>
          <w:vertAlign w:val="baseline"/>
          <w:lang w:val="en-US"/>
        </w:rPr>
      </w:pPr>
      <w:r>
        <w:pict>
          <v:line strokeweight="0.95pt" strokecolor="#000000" from="108pt,494.4pt" to="252.05pt,494.4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1 </w:t>
      </w:r>
      <w:r>
        <w:rPr>
          <w:rFonts w:ascii="Arial" w:hAnsi="Arial" w:eastAsia="Arial"/>
          <w:color w:val="000000"/>
          <w:spacing w:val="0"/>
          <w:w w:val="100"/>
          <w:sz w:val="24"/>
          <w:vertAlign w:val="baseline"/>
          <w:lang w:val="en-US"/>
        </w:rPr>
        <w:t xml:space="preserve">The statute, formerly Penal Law § 130.80 (a), was renumbered, effective February 1, 2001.</w:t>
      </w:r>
    </w:p>
    <w:p>
      <w:pPr>
        <w:pageBreakBefore w:val="false"/>
        <w:spacing w:before="234" w:after="0" w:line="298"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6"/>
          <w:vertAlign w:val="baseline"/>
          <w:lang w:val="en-US"/>
        </w:rPr>
        <w:t xml:space="preserve"> The 2018 revision was to amend the definition of “sexual contact” as it was amended by L. 2010, c. 193, § 1, eff. Oct. 13, 2010 to delete element of the victim being "not married to the actor", and inserted the phrase “as well as the emission of ejaculate by the actor upon any part of the victim, clothed or unclothed." The revised definition is effective for violations occurring on or after the effective date of October 13, 2010.</w:t>
      </w:r>
    </w:p>
    <w:p>
      <w:pPr>
        <w:pageBreakBefore w:val="false"/>
        <w:spacing w:before="555" w:after="0" w:line="275"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3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130.05 (1).</w:t>
      </w:r>
    </w:p>
    <w:p>
      <w:pPr>
        <w:pageBreakBefore w:val="false"/>
        <w:spacing w:before="263" w:after="0" w:line="274"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130.05 (3) (a).</w:t>
      </w:r>
    </w:p>
    <w:p>
      <w:pPr>
        <w:sectPr>
          <w:type w:val="nextPage"/>
          <w:pgSz w:w="12240" w:h="15840" w:orient="portrait"/>
          <w:pgMar w:bottom="984" w:top="1440" w:right="2140" w:left="2160" w:header="720" w:footer="720"/>
          <w:titlePg w:val="false"/>
          <w:textDirection w:val="lrTb"/>
        </w:sectPr>
      </w:pPr>
    </w:p>
    <w:p>
      <w:pPr>
        <w:pageBreakBefore w:val="false"/>
        <w:spacing w:before="0" w:after="0" w:line="321"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It is not a defense to this charge that the actor did not know that the person with whom the actor engaged in sexual conduct was less than eleven (11) years old, or that the actor believed that such person was eleven (11) years old or more on the date of the crime. </w:t>
      </w:r>
      <w:r>
        <w:rPr>
          <w:rFonts w:ascii="Arial" w:hAnsi="Arial" w:eastAsia="Arial"/>
          <w:color w:val="000000"/>
          <w:spacing w:val="-5"/>
          <w:w w:val="100"/>
          <w:sz w:val="28"/>
          <w:vertAlign w:val="superscript"/>
          <w:lang w:val="en-US"/>
        </w:rPr>
        <w:t xml:space="preserve">5</w:t>
      </w:r>
      <w:r>
        <w:rPr>
          <w:rFonts w:ascii="Arial" w:hAnsi="Arial" w:eastAsia="Arial"/>
          <w:color w:val="000000"/>
          <w:spacing w:val="-5"/>
          <w:w w:val="100"/>
          <w:sz w:val="16"/>
          <w:vertAlign w:val="baseline"/>
          <w:lang w:val="en-US"/>
        </w:rPr>
        <w:t xml:space="preserve">
</w:t>
      </w:r>
    </w:p>
    <w:p>
      <w:pPr>
        <w:pageBreakBefore w:val="false"/>
        <w:spacing w:before="66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the definition of the crime has a special meaning:</w:t>
      </w:r>
    </w:p>
    <w:p>
      <w:pPr>
        <w:pageBreakBefore w:val="false"/>
        <w:spacing w:before="31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CONDUCT means sexual intercourse, oral sexual conduct, anal sexual conduct, aggravated sexual contact, or sexual contact.</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6"/>
          <w:vertAlign w:val="baseline"/>
          <w:lang w:val="en-US"/>
        </w:rPr>
        <w:t xml:space="preserve">
</w:t>
      </w:r>
    </w:p>
    <w:p>
      <w:pPr>
        <w:pageBreakBefore w:val="false"/>
        <w:spacing w:before="328" w:after="0" w:line="324" w:lineRule="exact"/>
        <w:ind w:right="0" w:left="72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w:t>
      </w:r>
      <w:r>
        <w:rPr>
          <w:rFonts w:ascii="Arial" w:hAnsi="Arial" w:eastAsia="Arial"/>
          <w:color w:val="000000"/>
          <w:spacing w:val="-4"/>
          <w:w w:val="100"/>
          <w:sz w:val="28"/>
          <w:vertAlign w:val="superscript"/>
          <w:lang w:val="en-US"/>
        </w:rPr>
        <w:t xml:space="preserve">7</w:t>
      </w:r>
      <w:r>
        <w:rPr>
          <w:rFonts w:ascii="Arial" w:hAnsi="Arial" w:eastAsia="Arial"/>
          <w:color w:val="000000"/>
          <w:spacing w:val="-4"/>
          <w:w w:val="100"/>
          <w:sz w:val="16"/>
          <w:vertAlign w:val="baseline"/>
          <w:lang w:val="en-US"/>
        </w:rPr>
        <w:t xml:space="preserve">
</w:t>
      </w:r>
    </w:p>
    <w:p>
      <w:pPr>
        <w:pageBreakBefore w:val="false"/>
        <w:spacing w:before="326" w:after="806" w:line="324"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6"/>
          <w:vertAlign w:val="baseline"/>
          <w:lang w:val="en-US"/>
        </w:rPr>
        <w:t xml:space="preserve">
</w:t>
      </w:r>
    </w:p>
    <w:p>
      <w:pPr>
        <w:pageBreakBefore w:val="false"/>
        <w:spacing w:before="267" w:after="0" w:line="276" w:lineRule="exact"/>
        <w:ind w:right="0" w:left="720" w:firstLine="0"/>
        <w:jc w:val="left"/>
        <w:textAlignment w:val="baseline"/>
        <w:rPr>
          <w:rFonts w:ascii="Arial" w:hAnsi="Arial" w:eastAsia="Arial"/>
          <w:color w:val="000000"/>
          <w:spacing w:val="0"/>
          <w:w w:val="100"/>
          <w:sz w:val="16"/>
          <w:vertAlign w:val="baseline"/>
          <w:lang w:val="en-US"/>
        </w:rPr>
      </w:pPr>
      <w:r>
        <w:pict>
          <v:line strokeweight="0.95pt" strokecolor="#000000" from="107.65pt,534.5pt" to="252.05pt,534.5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5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15.20 (3).</w:t>
      </w:r>
    </w:p>
    <w:p>
      <w:pPr>
        <w:pageBreakBefore w:val="false"/>
        <w:spacing w:before="267" w:after="0" w:line="276"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6 </w:t>
      </w:r>
      <w:r>
        <w:rPr>
          <w:rFonts w:ascii="Arial" w:hAnsi="Arial" w:eastAsia="Arial"/>
          <w:color w:val="000000"/>
          <w:spacing w:val="0"/>
          <w:w w:val="100"/>
          <w:sz w:val="24"/>
          <w:vertAlign w:val="baseline"/>
          <w:lang w:val="en-US"/>
        </w:rPr>
        <w:t xml:space="preserve">Penal Law § 130.00 (10).</w:t>
      </w:r>
    </w:p>
    <w:p>
      <w:pPr>
        <w:pageBreakBefore w:val="false"/>
        <w:spacing w:before="250" w:after="0" w:line="276" w:lineRule="exact"/>
        <w:ind w:right="0" w:left="0" w:firstLine="72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7 </w:t>
      </w:r>
      <w:r>
        <w:rPr>
          <w:rFonts w:ascii="Arial" w:hAnsi="Arial" w:eastAsia="Arial"/>
          <w:color w:val="000000"/>
          <w:spacing w:val="0"/>
          <w:w w:val="100"/>
          <w:sz w:val="24"/>
          <w:vertAlign w:val="baseline"/>
          <w:lang w:val="en-US"/>
        </w:rPr>
        <w:t xml:space="preserve">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p>
    <w:p>
      <w:pPr>
        <w:pageBreakBefore w:val="false"/>
        <w:spacing w:before="259" w:after="254" w:line="276"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8 </w:t>
      </w:r>
      <w:r>
        <w:rPr>
          <w:rFonts w:ascii="Arial" w:hAnsi="Arial" w:eastAsia="Arial"/>
          <w:color w:val="000000"/>
          <w:spacing w:val="0"/>
          <w:w w:val="100"/>
          <w:sz w:val="24"/>
          <w:vertAlign w:val="baseline"/>
          <w:lang w:val="en-US"/>
        </w:rPr>
        <w:t xml:space="preserve">Penal Law § 130.00 (2) (a).</w:t>
      </w:r>
    </w:p>
    <w:p>
      <w:pPr>
        <w:pageBreakBefore w:val="false"/>
        <w:spacing w:before="0" w:after="0" w:line="218"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p>
      <w:pPr>
        <w:sectPr>
          <w:type w:val="nextPage"/>
          <w:pgSz w:w="12240" w:h="15840" w:orient="portrait"/>
          <w:pgMar w:bottom="1024" w:top="1440" w:right="2147" w:left="2153" w:header="720" w:footer="720"/>
          <w:titlePg w:val="false"/>
          <w:textDirection w:val="lrTb"/>
        </w:sectPr>
      </w:pPr>
    </w:p>
    <w:p>
      <w:pPr>
        <w:pageBreakBefore w:val="false"/>
        <w:spacing w:before="0" w:after="0" w:line="324" w:lineRule="exact"/>
        <w:ind w:right="72" w:left="72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ANAL SEXUAL CONDUCT means conduct between persons consisting of contact between the penis and anus.</w:t>
      </w:r>
      <w:r>
        <w:rPr>
          <w:rFonts w:ascii="Arial" w:hAnsi="Arial" w:eastAsia="Arial"/>
          <w:color w:val="000000"/>
          <w:spacing w:val="-5"/>
          <w:w w:val="100"/>
          <w:sz w:val="28"/>
          <w:vertAlign w:val="superscript"/>
          <w:lang w:val="en-US"/>
        </w:rPr>
        <w:t xml:space="preserve">9</w:t>
      </w:r>
      <w:r>
        <w:rPr>
          <w:rFonts w:ascii="Arial" w:hAnsi="Arial" w:eastAsia="Arial"/>
          <w:color w:val="000000"/>
          <w:spacing w:val="-5"/>
          <w:w w:val="100"/>
          <w:sz w:val="16"/>
          <w:vertAlign w:val="baseline"/>
          <w:lang w:val="en-US"/>
        </w:rPr>
        <w:t xml:space="preserve">
</w:t>
      </w:r>
    </w:p>
    <w:p>
      <w:pPr>
        <w:pageBreakBefore w:val="false"/>
        <w:spacing w:before="364" w:after="0" w:line="316" w:lineRule="exact"/>
        <w:ind w:right="72" w:left="72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AGGRAVATED SEXUAL CONTACT means inserting, other than for a valid medical purpose, a foreign object in the vagina, urethra, penis, rectum or anus of a child, thereby causing physical injury to such child.</w:t>
      </w:r>
      <w:r>
        <w:rPr>
          <w:rFonts w:ascii="Arial" w:hAnsi="Arial" w:eastAsia="Arial"/>
          <w:color w:val="000000"/>
          <w:spacing w:val="-5"/>
          <w:w w:val="100"/>
          <w:sz w:val="28"/>
          <w:vertAlign w:val="superscript"/>
          <w:lang w:val="en-US"/>
        </w:rPr>
        <w:t xml:space="preserve">10</w:t>
      </w:r>
      <w:r>
        <w:rPr>
          <w:rFonts w:ascii="Arial" w:hAnsi="Arial" w:eastAsia="Arial"/>
          <w:color w:val="000000"/>
          <w:spacing w:val="-5"/>
          <w:w w:val="100"/>
          <w:sz w:val="28"/>
          <w:vertAlign w:val="baseline"/>
          <w:lang w:val="en-US"/>
        </w:rPr>
        <w:t xml:space="preserve"> Physical injury means impairment of physical condition or substantial pain.</w:t>
      </w:r>
      <w:r>
        <w:rPr>
          <w:rFonts w:ascii="Arial" w:hAnsi="Arial" w:eastAsia="Arial"/>
          <w:color w:val="000000"/>
          <w:spacing w:val="-5"/>
          <w:w w:val="100"/>
          <w:sz w:val="28"/>
          <w:vertAlign w:val="superscript"/>
          <w:lang w:val="en-US"/>
        </w:rPr>
        <w:t xml:space="preserve">11</w:t>
      </w:r>
      <w:r>
        <w:rPr>
          <w:rFonts w:ascii="Arial" w:hAnsi="Arial" w:eastAsia="Arial"/>
          <w:color w:val="000000"/>
          <w:spacing w:val="-5"/>
          <w:w w:val="100"/>
          <w:sz w:val="16"/>
          <w:vertAlign w:val="baseline"/>
          <w:lang w:val="en-US"/>
        </w:rPr>
        <w:t xml:space="preserve">
</w:t>
      </w:r>
    </w:p>
    <w:p>
      <w:pPr>
        <w:pageBreakBefore w:val="false"/>
        <w:spacing w:before="326" w:after="0" w:line="325" w:lineRule="exact"/>
        <w:ind w:right="72" w:left="72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SEXUAL CONTACT means any touching of the sexual or other intimate parts of a person for the purpose of gratifying sexual desire of either party. It includes the touching of the actor by the victim, as well as the touching of the victim by the actor, whether directly or through clothing, [as well as the emission of ejaculate by the actor upon any part of the victim, clothed or unclothed] </w:t>
      </w:r>
      <w:r>
        <w:rPr>
          <w:rFonts w:ascii="Arial" w:hAnsi="Arial" w:eastAsia="Arial"/>
          <w:color w:val="000000"/>
          <w:spacing w:val="-2"/>
          <w:w w:val="100"/>
          <w:sz w:val="28"/>
          <w:vertAlign w:val="superscript"/>
          <w:lang w:val="en-US"/>
        </w:rPr>
        <w:t xml:space="preserve">12</w:t>
      </w:r>
      <w:r>
        <w:rPr>
          <w:rFonts w:ascii="Arial" w:hAnsi="Arial" w:eastAsia="Arial"/>
          <w:color w:val="000000"/>
          <w:spacing w:val="-2"/>
          <w:w w:val="100"/>
          <w:sz w:val="16"/>
          <w:vertAlign w:val="baseline"/>
          <w:lang w:val="en-US"/>
        </w:rPr>
        <w:t xml:space="preserve">
</w:t>
      </w:r>
    </w:p>
    <w:p>
      <w:pPr>
        <w:pageBreakBefore w:val="false"/>
        <w:spacing w:before="320" w:after="0" w:line="325"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9" w:after="0" w:line="325" w:lineRule="exact"/>
        <w:ind w:right="0" w:left="1440" w:hanging="72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over a period of time not less than three months in duration, namely, on or about and between </w:t>
      </w:r>
      <w:r>
        <w:rPr>
          <w:rFonts w:ascii="Arial" w:hAnsi="Arial" w:eastAsia="Arial"/>
          <w:i w:val="true"/>
          <w:color w:val="000000"/>
          <w:spacing w:val="-2"/>
          <w:w w:val="100"/>
          <w:sz w:val="28"/>
          <w:u w:val="single"/>
          <w:vertAlign w:val="baseline"/>
          <w:lang w:val="en-US"/>
        </w:rPr>
        <w:t xml:space="preserve">(dates)</w:t>
      </w:r>
      <w:r>
        <w:rPr>
          <w:rFonts w:ascii="Arial" w:hAnsi="Arial" w:eastAsia="Arial"/>
          <w:color w:val="000000"/>
          <w:spacing w:val="-2"/>
          <w:w w:val="100"/>
          <w:sz w:val="28"/>
          <w:vertAlign w:val="baseline"/>
          <w:lang w:val="en-US"/>
        </w:rPr>
        <w:t xml:space="preserve">, in the county of </w:t>
      </w:r>
      <w:r>
        <w:rPr>
          <w:rFonts w:ascii="Arial" w:hAnsi="Arial" w:eastAsia="Arial"/>
          <w:i w:val="true"/>
          <w:color w:val="000000"/>
          <w:spacing w:val="-2"/>
          <w:w w:val="100"/>
          <w:sz w:val="28"/>
          <w:u w:val="single"/>
          <w:vertAlign w:val="baseline"/>
          <w:lang w:val="en-US"/>
        </w:rPr>
        <w:t xml:space="preserve"> (County) </w:t>
      </w:r>
      <w:r>
        <w:rPr>
          <w:rFonts w:ascii="Arial" w:hAnsi="Arial" w:eastAsia="Arial"/>
          <w:color w:val="000000"/>
          <w:spacing w:val="-2"/>
          <w:w w:val="100"/>
          <w:sz w:val="28"/>
          <w:vertAlign w:val="baseline"/>
          <w:lang w:val="en-US"/>
        </w:rPr>
        <w:t xml:space="preserve"> , the defendant, </w:t>
      </w:r>
      <w:r>
        <w:rPr>
          <w:rFonts w:ascii="Arial" w:hAnsi="Arial" w:eastAsia="Arial"/>
          <w:i w:val="true"/>
          <w:color w:val="000000"/>
          <w:spacing w:val="-2"/>
          <w:w w:val="100"/>
          <w:sz w:val="28"/>
          <w:u w:val="single"/>
          <w:vertAlign w:val="baseline"/>
          <w:lang w:val="en-US"/>
        </w:rPr>
        <w:t xml:space="preserve"> (name of defendant) </w:t>
      </w:r>
      <w:r>
        <w:rPr>
          <w:rFonts w:ascii="Arial" w:hAnsi="Arial" w:eastAsia="Arial"/>
          <w:color w:val="000000"/>
          <w:spacing w:val="-2"/>
          <w:w w:val="100"/>
          <w:sz w:val="28"/>
          <w:vertAlign w:val="baseline"/>
          <w:lang w:val="en-US"/>
        </w:rPr>
        <w:t xml:space="preserve"> , engaged in two or more acts of sexual conduct with </w:t>
      </w:r>
      <w:r>
        <w:rPr>
          <w:rFonts w:ascii="Arial" w:hAnsi="Arial" w:eastAsia="Arial"/>
          <w:i w:val="true"/>
          <w:color w:val="000000"/>
          <w:spacing w:val="-2"/>
          <w:w w:val="100"/>
          <w:sz w:val="28"/>
          <w:u w:val="single"/>
          <w:vertAlign w:val="baseline"/>
          <w:lang w:val="en-US"/>
        </w:rPr>
        <w:t xml:space="preserve">(name of complainant)</w:t>
      </w:r>
      <w:r>
        <w:rPr>
          <w:rFonts w:ascii="Arial" w:hAnsi="Arial" w:eastAsia="Arial"/>
          <w:color w:val="000000"/>
          <w:spacing w:val="-2"/>
          <w:w w:val="100"/>
          <w:sz w:val="28"/>
          <w:vertAlign w:val="baseline"/>
          <w:lang w:val="en-US"/>
        </w:rPr>
        <w:t xml:space="preserve"> ; and</w:t>
      </w:r>
    </w:p>
    <w:p>
      <w:pPr>
        <w:pageBreakBefore w:val="false"/>
        <w:numPr>
          <w:ilvl w:val="0"/>
          <w:numId w:val="1"/>
        </w:numPr>
        <w:tabs>
          <w:tab w:val="clear" w:pos="720"/>
          <w:tab w:val="left" w:pos="1440"/>
        </w:tabs>
        <w:spacing w:before="315" w:after="600" w:line="325" w:lineRule="exact"/>
        <w:ind w:right="72"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was less than eleven (11) years old.</w:t>
      </w:r>
    </w:p>
    <w:p>
      <w:pPr>
        <w:pageBreakBefore w:val="false"/>
        <w:spacing w:before="275" w:after="0" w:line="276" w:lineRule="exact"/>
        <w:ind w:right="0" w:left="720" w:firstLine="0"/>
        <w:jc w:val="left"/>
        <w:textAlignment w:val="baseline"/>
        <w:rPr>
          <w:rFonts w:ascii="Arial" w:hAnsi="Arial" w:eastAsia="Arial"/>
          <w:color w:val="000000"/>
          <w:spacing w:val="0"/>
          <w:w w:val="100"/>
          <w:sz w:val="16"/>
          <w:vertAlign w:val="baseline"/>
          <w:lang w:val="en-US"/>
        </w:rPr>
      </w:pPr>
      <w:r>
        <w:pict>
          <v:line strokeweight="0.95pt" strokecolor="#000000" from="107.55pt,588.95pt" to="252.05pt,588.95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9 </w:t>
      </w:r>
      <w:r>
        <w:rPr>
          <w:rFonts w:ascii="Arial" w:hAnsi="Arial" w:eastAsia="Arial"/>
          <w:color w:val="000000"/>
          <w:spacing w:val="0"/>
          <w:w w:val="100"/>
          <w:sz w:val="24"/>
          <w:vertAlign w:val="baseline"/>
          <w:lang w:val="en-US"/>
        </w:rPr>
        <w:t xml:space="preserve">Penal Law § 130.00 (2) (b).</w:t>
      </w:r>
    </w:p>
    <w:p>
      <w:pPr>
        <w:pageBreakBefore w:val="false"/>
        <w:spacing w:before="257" w:after="0" w:line="278"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10 </w:t>
      </w:r>
      <w:r>
        <w:rPr>
          <w:rFonts w:ascii="Arial" w:hAnsi="Arial" w:eastAsia="Arial"/>
          <w:color w:val="000000"/>
          <w:spacing w:val="0"/>
          <w:w w:val="100"/>
          <w:sz w:val="24"/>
          <w:vertAlign w:val="baseline"/>
          <w:lang w:val="en-US"/>
        </w:rPr>
        <w:t xml:space="preserve">Penal Law § 130.00 (11).</w:t>
      </w:r>
    </w:p>
    <w:p>
      <w:pPr>
        <w:pageBreakBefore w:val="false"/>
        <w:spacing w:before="259" w:after="0" w:line="279"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11 </w:t>
      </w:r>
      <w:r>
        <w:rPr>
          <w:rFonts w:ascii="Arial" w:hAnsi="Arial" w:eastAsia="Arial"/>
          <w:color w:val="000000"/>
          <w:spacing w:val="0"/>
          <w:w w:val="100"/>
          <w:sz w:val="24"/>
          <w:vertAlign w:val="baseline"/>
          <w:lang w:val="en-US"/>
        </w:rPr>
        <w:t xml:space="preserve">Penal Law § 10.00 (9).</w:t>
      </w:r>
    </w:p>
    <w:p>
      <w:pPr>
        <w:pageBreakBefore w:val="false"/>
        <w:spacing w:before="264" w:after="0" w:line="275" w:lineRule="exact"/>
        <w:ind w:right="0" w:left="720"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12 </w:t>
      </w:r>
      <w:r>
        <w:rPr>
          <w:rFonts w:ascii="Arial" w:hAnsi="Arial" w:eastAsia="Arial"/>
          <w:color w:val="000000"/>
          <w:spacing w:val="0"/>
          <w:w w:val="100"/>
          <w:sz w:val="24"/>
          <w:vertAlign w:val="baseline"/>
          <w:lang w:val="en-US"/>
        </w:rPr>
        <w:t xml:space="preserve">Penal Law § 130.00 (3). See footnote one.</w:t>
      </w:r>
    </w:p>
    <w:p>
      <w:pPr>
        <w:pageBreakBefore w:val="false"/>
        <w:spacing w:before="246"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40" w:right="2113" w:left="2151"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6" w:after="10453"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6" w:after="10453" w:line="325" w:lineRule="exact"/>
        <w:sectPr>
          <w:type w:val="nextPage"/>
          <w:pgSz w:w="12240" w:h="15840" w:orient="portrait"/>
          <w:pgMar w:bottom="1024" w:top="1440" w:right="2127" w:left="2137"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1024" w:top="1440" w:right="2134" w:left="2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