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PREDATORY SEXUAL ASSAULT AGAINST A CHILD</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130.96</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June 23, 2006)</w:t>
      </w:r>
    </w:p>
    <w:p>
      <w:pPr>
        <w:pageBreakBefore w:val="false"/>
        <w:spacing w:before="654"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Predatory Sexual Assault Against a Child.</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Predatory Sexual Assault Against a Child when, being eighteen years old or more, he or she commits the crime of</w:t>
      </w:r>
    </w:p>
    <w:p>
      <w:pPr>
        <w:pageBreakBefore w:val="false"/>
        <w:spacing w:before="328"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4"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Rape in the first degree</w:t>
      </w:r>
    </w:p>
    <w:p>
      <w:pPr>
        <w:pageBreakBefore w:val="false"/>
        <w:spacing w:before="1"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Criminal sexual act in the first degree</w:t>
      </w:r>
    </w:p>
    <w:p>
      <w:pPr>
        <w:pageBreakBefore w:val="false"/>
        <w:spacing w:before="7"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Aggravated sexual abuse in the first degree</w:t>
      </w:r>
    </w:p>
    <w:p>
      <w:pPr>
        <w:pageBreakBefore w:val="false"/>
        <w:spacing w:before="1"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Course of sexual conduct against a child in the first degree,</w:t>
      </w:r>
    </w:p>
    <w:p>
      <w:pPr>
        <w:pageBreakBefore w:val="false"/>
        <w:spacing w:before="333" w:after="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 victim is less than thirteen years old.</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5"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w:t>
      </w:r>
      <w:r>
        <w:rPr>
          <w:rFonts w:ascii="Arial" w:hAnsi="Arial" w:eastAsia="Arial"/>
          <w:i w:val="true"/>
          <w:color w:val="000000"/>
          <w:spacing w:val="0"/>
          <w:w w:val="100"/>
          <w:sz w:val="28"/>
          <w:u w:val="single"/>
          <w:vertAlign w:val="baseline"/>
          <w:lang w:val="en-US"/>
        </w:rPr>
        <w:t xml:space="preserve">specify name of crime) when (specify definition of crime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u w:val="single"/>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actor did not know that the child was less than thirteen (13) years old, or that the actor believed that such person was thirteen (13) years old or more on the date of the crime.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9" w:after="521"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286" w:after="0" w:line="287" w:lineRule="exact"/>
        <w:ind w:right="0" w:left="0" w:firstLine="720"/>
        <w:jc w:val="both"/>
        <w:textAlignment w:val="baseline"/>
        <w:rPr>
          <w:rFonts w:ascii="Arial" w:hAnsi="Arial" w:eastAsia="Arial"/>
          <w:color w:val="000000"/>
          <w:spacing w:val="0"/>
          <w:w w:val="100"/>
          <w:sz w:val="17"/>
          <w:vertAlign w:val="baseline"/>
          <w:lang w:val="en-US"/>
        </w:rPr>
      </w:pPr>
      <w:r>
        <w:pict>
          <v:line strokeweight="1.2pt" strokecolor="#000000" from="107.75pt,651.1pt" to="252.05pt,651.1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With respect to defining the crime, if the crime is a separate count within the indictment, reference to the crime or count is sufficient.</w:t>
      </w:r>
    </w:p>
    <w:p>
      <w:pPr>
        <w:pageBreakBefore w:val="false"/>
        <w:spacing w:before="233" w:after="0" w:line="305" w:lineRule="exact"/>
        <w:ind w:right="0" w:left="720" w:firstLine="0"/>
        <w:jc w:val="left"/>
        <w:textAlignment w:val="baseline"/>
        <w:rPr>
          <w:rFonts w:ascii="Arial" w:hAnsi="Arial" w:eastAsia="Arial"/>
          <w:color w:val="000000"/>
          <w:spacing w:val="-1"/>
          <w:w w:val="100"/>
          <w:sz w:val="17"/>
          <w:vertAlign w:val="superscript"/>
          <w:lang w:val="en-US"/>
        </w:rPr>
      </w:pPr>
      <w:r>
        <w:rPr>
          <w:rFonts w:ascii="Arial" w:hAnsi="Arial" w:eastAsia="Arial"/>
          <w:color w:val="000000"/>
          <w:spacing w:val="-1"/>
          <w:w w:val="100"/>
          <w:sz w:val="17"/>
          <w:vertAlign w:val="superscript"/>
          <w:lang w:val="en-US"/>
        </w:rPr>
        <w:t xml:space="preserve">2</w:t>
      </w:r>
      <w:r>
        <w:rPr>
          <w:rFonts w:ascii="Arial" w:hAnsi="Arial" w:eastAsia="Arial"/>
          <w:color w:val="000000"/>
          <w:spacing w:val="-1"/>
          <w:w w:val="100"/>
          <w:sz w:val="26"/>
          <w:vertAlign w:val="baseline"/>
          <w:lang w:val="en-US"/>
        </w:rPr>
        <w:t xml:space="preserve"> Penal Law § 15.20 (3).</w:t>
      </w:r>
    </w:p>
    <w:p>
      <w:pPr>
        <w:sectPr>
          <w:type w:val="nextPage"/>
          <w:pgSz w:w="12240" w:h="15840" w:orient="portrait"/>
          <w:pgMar w:bottom="984" w:top="1440" w:right="2125" w:left="2155" w:header="720" w:footer="720"/>
          <w:titlePg w:val="false"/>
          <w:textDirection w:val="lrTb"/>
        </w:sectPr>
      </w:pPr>
    </w:p>
    <w:p>
      <w:pPr>
        <w:pageBreakBefore w:val="false"/>
        <w:numPr>
          <w:ilvl w:val="0"/>
          <w:numId w:val="1"/>
        </w:numPr>
        <w:tabs>
          <w:tab w:val="clear" w:pos="648"/>
          <w:tab w:val="left" w:pos="1440"/>
        </w:tabs>
        <w:spacing w:before="0" w:after="0" w:line="327" w:lineRule="exact"/>
        <w:ind w:right="0" w:left="1440" w:hanging="648"/>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That on or about </w:t>
      </w:r>
      <w:r>
        <w:rPr>
          <w:rFonts w:ascii="Arial" w:hAnsi="Arial" w:eastAsia="Arial"/>
          <w:i w:val="true"/>
          <w:color w:val="000000"/>
          <w:spacing w:val="-6"/>
          <w:w w:val="100"/>
          <w:sz w:val="23"/>
          <w:u w:val="single"/>
          <w:vertAlign w:val="baseline"/>
          <w:lang w:val="en-US"/>
        </w:rPr>
        <w:t xml:space="preserve"> (date) </w:t>
      </w:r>
      <w:r>
        <w:rPr>
          <w:rFonts w:ascii="Arial" w:hAnsi="Arial" w:eastAsia="Arial"/>
          <w:color w:val="000000"/>
          <w:spacing w:val="-6"/>
          <w:w w:val="100"/>
          <w:sz w:val="28"/>
          <w:vertAlign w:val="baseline"/>
          <w:lang w:val="en-US"/>
        </w:rPr>
        <w:t xml:space="preserve"> , in the county of </w:t>
      </w:r>
      <w:r>
        <w:rPr>
          <w:rFonts w:ascii="Arial" w:hAnsi="Arial" w:eastAsia="Arial"/>
          <w:i w:val="true"/>
          <w:color w:val="000000"/>
          <w:spacing w:val="-6"/>
          <w:w w:val="100"/>
          <w:sz w:val="23"/>
          <w:u w:val="single"/>
          <w:vertAlign w:val="baseline"/>
          <w:lang w:val="en-US"/>
        </w:rPr>
        <w:t xml:space="preserve"> (county) </w:t>
      </w:r>
      <w:r>
        <w:rPr>
          <w:rFonts w:ascii="Arial" w:hAnsi="Arial" w:eastAsia="Arial"/>
          <w:color w:val="000000"/>
          <w:spacing w:val="-6"/>
          <w:w w:val="100"/>
          <w:sz w:val="28"/>
          <w:vertAlign w:val="baseline"/>
          <w:lang w:val="en-US"/>
        </w:rPr>
        <w:t xml:space="preserve"> , the defendant, </w:t>
      </w:r>
      <w:r>
        <w:rPr>
          <w:rFonts w:ascii="Arial" w:hAnsi="Arial" w:eastAsia="Arial"/>
          <w:i w:val="true"/>
          <w:color w:val="000000"/>
          <w:spacing w:val="-6"/>
          <w:w w:val="100"/>
          <w:sz w:val="23"/>
          <w:u w:val="single"/>
          <w:vertAlign w:val="baseline"/>
          <w:lang w:val="en-US"/>
        </w:rPr>
        <w:t xml:space="preserve"> (defendant's name) </w:t>
      </w:r>
      <w:r>
        <w:rPr>
          <w:rFonts w:ascii="Arial" w:hAnsi="Arial" w:eastAsia="Arial"/>
          <w:color w:val="000000"/>
          <w:spacing w:val="-6"/>
          <w:w w:val="100"/>
          <w:sz w:val="28"/>
          <w:vertAlign w:val="baseline"/>
          <w:lang w:val="en-US"/>
        </w:rPr>
        <w:t xml:space="preserve"> , committed </w:t>
      </w:r>
      <w:r>
        <w:rPr>
          <w:rFonts w:ascii="Arial" w:hAnsi="Arial" w:eastAsia="Arial"/>
          <w:i w:val="true"/>
          <w:color w:val="000000"/>
          <w:spacing w:val="-6"/>
          <w:w w:val="100"/>
          <w:sz w:val="23"/>
          <w:u w:val="single"/>
          <w:vertAlign w:val="baseline"/>
          <w:lang w:val="en-US"/>
        </w:rPr>
        <w:t xml:space="preserve">(name of crime)</w:t>
      </w:r>
      <w:r>
        <w:rPr>
          <w:rFonts w:ascii="Arial" w:hAnsi="Arial" w:eastAsia="Arial"/>
          <w:color w:val="000000"/>
          <w:spacing w:val="-6"/>
          <w:w w:val="100"/>
          <w:sz w:val="28"/>
          <w:vertAlign w:val="baseline"/>
          <w:lang w:val="en-US"/>
        </w:rPr>
        <w:t xml:space="preserve">;</w:t>
      </w:r>
      <w:r>
        <w:rPr>
          <w:rFonts w:ascii="Arial" w:hAnsi="Arial" w:eastAsia="Arial"/>
          <w:color w:val="000000"/>
          <w:spacing w:val="-6"/>
          <w:w w:val="100"/>
          <w:sz w:val="28"/>
          <w:u w:val="single"/>
          <w:vertAlign w:val="baseline"/>
          <w:lang w:val="en-US"/>
        </w:rPr>
        <w:t xml:space="preserve">
</w:t>
      </w:r>
    </w:p>
    <w:p>
      <w:pPr>
        <w:pageBreakBefore w:val="false"/>
        <w:numPr>
          <w:ilvl w:val="0"/>
          <w:numId w:val="1"/>
        </w:numPr>
        <w:tabs>
          <w:tab w:val="clear" w:pos="648"/>
          <w:tab w:val="left" w:pos="1440"/>
        </w:tabs>
        <w:spacing w:before="322" w:after="0" w:line="326"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victim of such </w:t>
      </w:r>
      <w:r>
        <w:rPr>
          <w:rFonts w:ascii="Arial" w:hAnsi="Arial" w:eastAsia="Arial"/>
          <w:i w:val="true"/>
          <w:color w:val="000000"/>
          <w:spacing w:val="0"/>
          <w:w w:val="100"/>
          <w:sz w:val="23"/>
          <w:u w:val="single"/>
          <w:vertAlign w:val="baseline"/>
          <w:lang w:val="en-US"/>
        </w:rPr>
        <w:t xml:space="preserve">(name of crime)</w:t>
      </w:r>
      <w:r>
        <w:rPr>
          <w:rFonts w:ascii="Arial" w:hAnsi="Arial" w:eastAsia="Arial"/>
          <w:color w:val="000000"/>
          <w:spacing w:val="0"/>
          <w:w w:val="100"/>
          <w:sz w:val="28"/>
          <w:vertAlign w:val="baseline"/>
          <w:lang w:val="en-US"/>
        </w:rPr>
        <w:t xml:space="preserve"> was less than thirteen (13) years old; and</w:t>
      </w:r>
    </w:p>
    <w:p>
      <w:pPr>
        <w:pageBreakBefore w:val="false"/>
        <w:numPr>
          <w:ilvl w:val="0"/>
          <w:numId w:val="1"/>
        </w:numPr>
        <w:tabs>
          <w:tab w:val="clear" w:pos="648"/>
          <w:tab w:val="left" w:pos="1440"/>
        </w:tabs>
        <w:spacing w:before="326" w:after="0" w:line="322"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eighteen (18) years old or more.</w:t>
      </w:r>
    </w:p>
    <w:p>
      <w:pPr>
        <w:pageBreakBefore w:val="false"/>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7482" w:line="324"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7482" w:line="324" w:lineRule="exact"/>
        <w:sectPr>
          <w:type w:val="nextPage"/>
          <w:pgSz w:w="12240" w:h="15840" w:orient="portrait"/>
          <w:pgMar w:bottom="1024" w:top="1440" w:right="2130" w:left="215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6"/>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