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KIDNAPPING IN THE SECOND DEGREE</w:t>
        <w:br/>
      </w:r>
      <w:r>
        <w:rPr>
          <w:rFonts w:ascii="Arial" w:hAnsi="Arial" w:eastAsia="Arial"/>
          <w:b w:val="true"/>
          <w:color w:val="000000"/>
          <w:spacing w:val="0"/>
          <w:w w:val="100"/>
          <w:sz w:val="28"/>
          <w:vertAlign w:val="baseline"/>
          <w:lang w:val="en-US"/>
        </w:rPr>
        <w:t xml:space="preserve">Penal Law § 135.20</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Kidnapping in the Second Degree.</w:t>
      </w:r>
    </w:p>
    <w:p>
      <w:pPr>
        <w:pageBreakBefore w:val="false"/>
        <w:spacing w:before="320"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Kidnapping in the Second Degree when he or she abducts another person.</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ABDUCT means to restrain a person with intent to prevent that person's liberation either by secreting or holding him or her in a place where he or she is not likely to be found, or by using or threatening to use deadly physical force.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of “abduct’ have a special meaning:</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4"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 person's movements.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344"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256"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135.00(2).</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Select appropriate alternative:</w:t>
      </w:r>
    </w:p>
    <w:p>
      <w:pPr>
        <w:pageBreakBefore w:val="false"/>
        <w:spacing w:before="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1"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7"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1"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1"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 person or institution having lawful control or custody of him or her has not acquiesced in the movement or confinement.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4" w:after="287" w:line="324"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Intent means conscious objective or purpose.</w:t>
      </w:r>
      <w:r>
        <w:rPr>
          <w:rFonts w:ascii="Arial" w:hAnsi="Arial" w:eastAsia="Arial"/>
          <w:color w:val="000000"/>
          <w:spacing w:val="5"/>
          <w:w w:val="100"/>
          <w:sz w:val="28"/>
          <w:vertAlign w:val="superscript"/>
          <w:lang w:val="en-US"/>
        </w:rPr>
        <w:t xml:space="preserve">7</w:t>
      </w:r>
      <w:r>
        <w:rPr>
          <w:rFonts w:ascii="Arial" w:hAnsi="Arial" w:eastAsia="Arial"/>
          <w:color w:val="000000"/>
          <w:spacing w:val="5"/>
          <w:w w:val="100"/>
          <w:sz w:val="28"/>
          <w:vertAlign w:val="baseline"/>
          <w:lang w:val="en-US"/>
        </w:rPr>
        <w:t xml:space="preserve"> Thus, a</w:t>
      </w:r>
    </w:p>
    <w:p>
      <w:pPr>
        <w:pageBreakBefore w:val="false"/>
        <w:spacing w:before="261"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39" w:after="0" w:line="275"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5" w:after="0" w:line="275"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44"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9"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1"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acts with intent to prevent another’s liberation either by secreting or holding him or her in a place where he or she is not likely to be found, or by using or threatening to use deadly physical force, when that person’s conscious objective or purpose is to do so.</w:t>
      </w:r>
    </w:p>
    <w:p>
      <w:pPr>
        <w:pageBreakBefore w:val="false"/>
        <w:spacing w:before="31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physical force means physical force which, under the circumstances in which it is used, is readily capable of causing death or other serious physical injury.</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five elements:</w:t>
      </w:r>
    </w:p>
    <w:p>
      <w:pPr>
        <w:pageBreakBefore w:val="false"/>
        <w:numPr>
          <w:ilvl w:val="0"/>
          <w:numId w:val="1"/>
        </w:numPr>
        <w:tabs>
          <w:tab w:val="clear" w:pos="720"/>
          <w:tab w:val="left" w:pos="1440"/>
        </w:tabs>
        <w:spacing w:before="322" w:after="0" w:line="325" w:lineRule="exact"/>
        <w:ind w:right="0" w:left="1440" w:hanging="720"/>
        <w:jc w:val="left"/>
        <w:textAlignment w:val="baseline"/>
        <w:rPr>
          <w:rFonts w:ascii="Arial" w:hAnsi="Arial" w:eastAsia="Arial"/>
          <w:color w:val="000000"/>
          <w:spacing w:val="21"/>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6.35pt;height:34.35pt;z-index:-1000;margin-left:491.75pt;margin-top:364.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96" w:after="72" w:line="19" w:lineRule="exact"/>
                    <w:ind w:right="0" w:left="111"/>
                    <w:jc w:val="left"/>
                    <w:textAlignment w:val="baseline"/>
                  </w:pPr>
                  <w:r>
                    <w:drawing>
                      <wp:inline>
                        <wp:extent cx="137160" cy="1206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37160" cy="12065"/>
                                </a:xfrm>
                                <a:prstGeom prst="rect"/>
                              </pic:spPr>
                            </pic:pic>
                          </a:graphicData>
                        </a:graphic>
                      </wp:inline>
                    </w:drawing>
                  </w:r>
                </w:p>
              </w:txbxContent>
            </v:textbox>
          </v:shape>
        </w:pict>
      </w:r>
      <w:r>
        <w:rPr>
          <w:rFonts w:ascii="Arial" w:hAnsi="Arial" w:eastAsia="Arial"/>
          <w:color w:val="000000"/>
          <w:spacing w:val="21"/>
          <w:w w:val="100"/>
          <w:sz w:val="28"/>
          <w:vertAlign w:val="baseline"/>
          <w:lang w:val="en-US"/>
        </w:rPr>
        <w:t xml:space="preserve">That on or about </w:t>
      </w:r>
      <w:r>
        <w:rPr>
          <w:rFonts w:ascii="Arial" w:hAnsi="Arial" w:eastAsia="Arial"/>
          <w:i w:val="true"/>
          <w:color w:val="000000"/>
          <w:spacing w:val="21"/>
          <w:w w:val="100"/>
          <w:sz w:val="28"/>
          <w:u w:val="single"/>
          <w:vertAlign w:val="baseline"/>
          <w:lang w:val="en-US"/>
        </w:rPr>
        <w:tab/>
      </w:r>
      <w:r>
        <w:rPr>
          <w:rFonts w:ascii="Arial" w:hAnsi="Arial" w:eastAsia="Arial"/>
          <w:i w:val="true"/>
          <w:color w:val="000000"/>
          <w:spacing w:val="21"/>
          <w:w w:val="100"/>
          <w:sz w:val="28"/>
          <w:u w:val="single"/>
          <w:vertAlign w:val="baseline"/>
          <w:lang w:val="en-US"/>
        </w:rPr>
        <w:t xml:space="preserve">(date) </w:t>
      </w:r>
      <w:r>
        <w:rPr>
          <w:rFonts w:ascii="Arial" w:hAnsi="Arial" w:eastAsia="Arial"/>
          <w:color w:val="000000"/>
          <w:spacing w:val="21"/>
          <w:w w:val="100"/>
          <w:sz w:val="28"/>
          <w:vertAlign w:val="baseline"/>
          <w:lang w:val="en-US"/>
        </w:rPr>
        <w:t xml:space="preserve"> , in the County of</w:t>
      </w:r>
    </w:p>
    <w:p>
      <w:pPr>
        <w:pageBreakBefore w:val="false"/>
        <w:tabs>
          <w:tab w:val="left" w:leader="none" w:pos="2952"/>
        </w:tabs>
        <w:spacing w:before="0" w:after="0" w:line="323" w:lineRule="exact"/>
        <w:ind w:right="0" w:left="144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restricted </w:t>
      </w:r>
      <w:r>
        <w:rPr>
          <w:rFonts w:ascii="Arial" w:hAnsi="Arial" w:eastAsia="Arial"/>
          <w:i w:val="true"/>
          <w:color w:val="000000"/>
          <w:spacing w:val="0"/>
          <w:w w:val="100"/>
          <w:sz w:val="28"/>
          <w:u w:val="single"/>
          <w:vertAlign w:val="baseline"/>
          <w:lang w:val="en-US"/>
        </w:rPr>
        <w:t xml:space="preserve"> (specify)'s</w:t>
      </w:r>
      <w:r>
        <w:rPr>
          <w:rFonts w:ascii="Arial" w:hAnsi="Arial" w:eastAsia="Arial"/>
          <w:color w:val="000000"/>
          <w:spacing w:val="0"/>
          <w:w w:val="100"/>
          <w:sz w:val="28"/>
          <w:vertAlign w:val="baseline"/>
          <w:lang w:val="en-US"/>
        </w:rPr>
        <w:t xml:space="preserve"> movements in such manner as to interfere substantially with his/her liberty by moving him/her from one place to another, or by confining him/her either in the place where the restriction commenced or in a place to which he/she had been moved;</w:t>
      </w:r>
    </w:p>
    <w:p>
      <w:pPr>
        <w:pageBreakBefore w:val="false"/>
        <w:numPr>
          <w:ilvl w:val="0"/>
          <w:numId w:val="1"/>
        </w:numPr>
        <w:tabs>
          <w:tab w:val="clear" w:pos="720"/>
          <w:tab w:val="left" w:pos="1440"/>
        </w:tabs>
        <w:spacing w:before="324" w:after="0" w:line="325" w:lineRule="exact"/>
        <w:ind w:right="36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720"/>
          <w:tab w:val="left" w:pos="1440"/>
        </w:tabs>
        <w:spacing w:before="314" w:after="0" w:line="325"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27" w:after="342" w:line="325" w:lineRule="exact"/>
        <w:ind w:right="0" w:left="1440" w:hanging="72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That the restriction of (</w:t>
      </w:r>
      <w:r>
        <w:rPr>
          <w:rFonts w:ascii="Arial" w:hAnsi="Arial" w:eastAsia="Arial"/>
          <w:i w:val="true"/>
          <w:color w:val="000000"/>
          <w:spacing w:val="5"/>
          <w:w w:val="100"/>
          <w:sz w:val="28"/>
          <w:u w:val="single"/>
          <w:vertAlign w:val="baseline"/>
          <w:lang w:val="en-US"/>
        </w:rPr>
        <w:t xml:space="preserve">specify</w:t>
      </w:r>
      <w:r>
        <w:rPr>
          <w:rFonts w:ascii="Arial" w:hAnsi="Arial" w:eastAsia="Arial"/>
          <w:color w:val="000000"/>
          <w:spacing w:val="5"/>
          <w:w w:val="100"/>
          <w:sz w:val="28"/>
          <w:vertAlign w:val="baseline"/>
          <w:lang w:val="en-US"/>
        </w:rPr>
        <w:t xml:space="preserve">)'s movements was</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41.3pt" to="252.05pt,641.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10.00(11).</w:t>
      </w:r>
    </w:p>
    <w:p>
      <w:pPr>
        <w:pageBreakBefore w:val="false"/>
        <w:spacing w:before="244"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unlawful, and the defendant knew that the restriction was unlawful.</w:t>
      </w:r>
    </w:p>
    <w:p>
      <w:pPr>
        <w:pageBreakBefore w:val="false"/>
        <w:tabs>
          <w:tab w:val="left" w:leader="none"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5.	</w:t>
      </w: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prevent </w:t>
      </w:r>
      <w:r>
        <w:rPr>
          <w:rFonts w:ascii="Arial" w:hAnsi="Arial" w:eastAsia="Arial"/>
          <w:i w:val="true"/>
          <w:color w:val="000000"/>
          <w:spacing w:val="0"/>
          <w:w w:val="100"/>
          <w:sz w:val="28"/>
          <w:u w:val="single"/>
          <w:vertAlign w:val="baseline"/>
          <w:lang w:val="en-US"/>
        </w:rPr>
        <w:t xml:space="preserve">(specify)'s</w:t>
      </w:r>
      <w:r>
        <w:rPr>
          <w:rFonts w:ascii="Arial" w:hAnsi="Arial" w:eastAsia="Arial"/>
          <w:color w:val="000000"/>
          <w:spacing w:val="0"/>
          <w:w w:val="100"/>
          <w:sz w:val="28"/>
          <w:vertAlign w:val="baseline"/>
          <w:lang w:val="en-US"/>
        </w:rPr>
        <w:t xml:space="preserve"> liberation either by secreting or holding him/her in a place where he/she was not likely to be found, or by using or threatening to use deadly physical force.</w:t>
      </w:r>
    </w:p>
    <w:p>
      <w:pPr>
        <w:pageBreakBefore w:val="false"/>
        <w:spacing w:before="326" w:after="0" w:line="324"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does not apply, conclude as follows: </w:t>
      </w: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5"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applies, continue as follows:</w:t>
      </w:r>
    </w:p>
    <w:p>
      <w:pPr>
        <w:pageBreakBefore w:val="false"/>
        <w:spacing w:before="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that the People have not proven any one or more of those elements beyond a reasonable doubt, you must find the defendant not guilty of Kidnapping in the Second Degree as</w:t>
      </w:r>
    </w:p>
    <w:p>
      <w:pPr>
        <w:pageBreakBefore w:val="false"/>
        <w:tabs>
          <w:tab w:val="left" w:leader="underscore" w:pos="2880"/>
        </w:tabs>
        <w:spacing w:before="8"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each of those elements beyond a reasonable doubt, you must consider an affirmative defense the defendant has raised. Remember, if you have already found the defendant not guilty of Kidnapping in the Second Degree, you will not consider the affirmative defense.</w:t>
      </w:r>
    </w:p>
    <w:p>
      <w:pPr>
        <w:pageBreakBefore w:val="false"/>
        <w:spacing w:before="326" w:after="533" w:line="324" w:lineRule="exact"/>
        <w:ind w:right="0" w:left="0" w:firstLine="720"/>
        <w:jc w:val="both"/>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Under our law, it is an affirmative defense to this charge that the defendant was a relative of the person abducted, and the defendant's sole purpose was to assume control of such person.</w:t>
      </w:r>
      <w:r>
        <w:rPr>
          <w:rFonts w:ascii="Arial" w:hAnsi="Arial" w:eastAsia="Arial"/>
          <w:color w:val="000000"/>
          <w:spacing w:val="-7"/>
          <w:w w:val="100"/>
          <w:sz w:val="28"/>
          <w:vertAlign w:val="superscript"/>
          <w:lang w:val="en-US"/>
        </w:rPr>
        <w:t xml:space="preserve">10</w:t>
      </w:r>
      <w:r>
        <w:rPr>
          <w:rFonts w:ascii="Arial" w:hAnsi="Arial" w:eastAsia="Arial"/>
          <w:color w:val="000000"/>
          <w:spacing w:val="-7"/>
          <w:w w:val="100"/>
          <w:sz w:val="17"/>
          <w:vertAlign w:val="baseline"/>
          <w:lang w:val="en-US"/>
        </w:rPr>
        <w:t xml:space="preserve"> </w:t>
      </w:r>
      <w:r>
        <w:rPr>
          <w:rFonts w:ascii="Arial" w:hAnsi="Arial" w:eastAsia="Arial"/>
          <w:color w:val="000000"/>
          <w:spacing w:val="-7"/>
          <w:w w:val="100"/>
          <w:sz w:val="28"/>
          <w:vertAlign w:val="baseline"/>
          <w:lang w:val="en-US"/>
        </w:rPr>
        <w:t xml:space="preserve">The term "relative" includes a parent [</w:t>
      </w:r>
      <w:r>
        <w:rPr>
          <w:rFonts w:ascii="Arial" w:hAnsi="Arial" w:eastAsia="Arial"/>
          <w:i w:val="true"/>
          <w:color w:val="000000"/>
          <w:spacing w:val="-7"/>
          <w:w w:val="100"/>
          <w:sz w:val="28"/>
          <w:vertAlign w:val="baseline"/>
          <w:lang w:val="en-US"/>
        </w:rPr>
        <w:t xml:space="preserve">or </w:t>
      </w:r>
      <w:r>
        <w:rPr>
          <w:rFonts w:ascii="Arial" w:hAnsi="Arial" w:eastAsia="Arial"/>
          <w:color w:val="000000"/>
          <w:spacing w:val="-7"/>
          <w:w w:val="100"/>
          <w:sz w:val="28"/>
          <w:vertAlign w:val="baseline"/>
          <w:lang w:val="en-US"/>
        </w:rPr>
        <w:t xml:space="preserve">an ancestor] [a brother]</w:t>
      </w:r>
    </w:p>
    <w:p>
      <w:pPr>
        <w:pageBreakBefore w:val="false"/>
        <w:spacing w:before="252" w:after="25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135.30.</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1024" w:top="1440" w:right="2143" w:left="2157" w:header="720" w:footer="720"/>
          <w:titlePg w:val="false"/>
          <w:textDirection w:val="lrTb"/>
        </w:sectPr>
      </w:pPr>
    </w:p>
    <w:p>
      <w:pPr>
        <w:pageBreakBefore w:val="false"/>
        <w:spacing w:before="33" w:after="0" w:line="324"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 a sister] [ an uncle] [ an aunt].</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17"/>
          <w:vertAlign w:val="baseline"/>
          <w:lang w:val="en-US"/>
        </w:rPr>
        <w:t xml:space="preserve">
</w:t>
      </w:r>
    </w:p>
    <w:p>
      <w:pPr>
        <w:pageBreakBefore w:val="false"/>
        <w:spacing w:before="33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left" w:leader="none" w:pos="936"/>
        </w:tabs>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Therefore, if you find that the defendant has not proven the affirmative defense by a preponderance of the evidence, then, based upon your initial determination that the People had proven each of the elements of Kidnapping in the Second Degree beyond a reasonable doubt, you must find the defendant guilty of that</w:t>
      </w:r>
    </w:p>
    <w:p>
      <w:pPr>
        <w:pageBreakBefore w:val="false"/>
        <w:tabs>
          <w:tab w:val="left" w:leader="underscore" w:pos="3672"/>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crime as charge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Kidnapping in the</w:t>
      </w:r>
    </w:p>
    <w:p>
      <w:pPr>
        <w:pageBreakBefore w:val="false"/>
        <w:tabs>
          <w:tab w:val="left" w:leader="underscore" w:pos="5112"/>
        </w:tabs>
        <w:spacing w:before="0" w:after="2483"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Second Degree as charged in the	</w:t>
      </w:r>
      <w:r>
        <w:rPr>
          <w:rFonts w:ascii="Arial" w:hAnsi="Arial" w:eastAsia="Arial"/>
          <w:color w:val="000000"/>
          <w:spacing w:val="0"/>
          <w:w w:val="100"/>
          <w:sz w:val="28"/>
          <w:vertAlign w:val="baseline"/>
          <w:lang w:val="en-US"/>
        </w:rPr>
        <w:t xml:space="preserve">count.]</w:t>
      </w:r>
    </w:p>
    <w:p>
      <w:pPr>
        <w:pageBreakBefore w:val="false"/>
        <w:spacing w:before="253" w:after="25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135.00(3).</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