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FIRST DEGREE</w:t>
        <w:br/>
      </w:r>
      <w:r>
        <w:rPr>
          <w:rFonts w:ascii="Arial" w:hAnsi="Arial" w:eastAsia="Arial"/>
          <w:b w:val="true"/>
          <w:color w:val="000000"/>
          <w:spacing w:val="0"/>
          <w:w w:val="100"/>
          <w:sz w:val="28"/>
          <w:vertAlign w:val="baseline"/>
          <w:lang w:val="en-US"/>
        </w:rPr>
        <w:t xml:space="preserve">(Weapon and Ammunition)</w:t>
        <w:br/>
      </w:r>
      <w:r>
        <w:rPr>
          <w:rFonts w:ascii="Arial" w:hAnsi="Arial" w:eastAsia="Arial"/>
          <w:b w:val="true"/>
          <w:color w:val="000000"/>
          <w:spacing w:val="0"/>
          <w:w w:val="100"/>
          <w:sz w:val="28"/>
          <w:vertAlign w:val="baseline"/>
          <w:lang w:val="en-US"/>
        </w:rPr>
        <w:t xml:space="preserve">Penal Law § 140.17(2)</w:t>
        <w:br/>
      </w:r>
      <w:r>
        <w:rPr>
          <w:rFonts w:ascii="Arial" w:hAnsi="Arial" w:eastAsia="Arial"/>
          <w:b w:val="true"/>
          <w:color w:val="000000"/>
          <w:spacing w:val="0"/>
          <w:w w:val="100"/>
          <w:sz w:val="28"/>
          <w:vertAlign w:val="baseline"/>
          <w:lang w:val="en-US"/>
        </w:rPr>
        <w:t xml:space="preserve">(Committed on or after Sept. 1,1969)</w:t>
      </w:r>
    </w:p>
    <w:p>
      <w:pPr>
        <w:pageBreakBefore w:val="false"/>
        <w:spacing w:before="0" w:after="0" w:line="326" w:lineRule="exact"/>
        <w:ind w:right="0" w:left="0" w:firstLine="0"/>
        <w:jc w:val="center"/>
        <w:textAlignment w:val="baseline"/>
        <w:rPr>
          <w:rFonts w:ascii="Arial" w:hAnsi="Arial" w:eastAsia="Arial"/>
          <w:b w:val="true"/>
          <w:color w:val="000000"/>
          <w:spacing w:val="-4"/>
          <w:w w:val="100"/>
          <w:sz w:val="28"/>
          <w:vertAlign w:val="baseline"/>
          <w:lang w:val="en-US"/>
        </w:rPr>
      </w:pPr>
      <w:r>
        <w:rPr>
          <w:rFonts w:ascii="Arial" w:hAnsi="Arial" w:eastAsia="Arial"/>
          <w:b w:val="true"/>
          <w:color w:val="000000"/>
          <w:spacing w:val="-4"/>
          <w:w w:val="100"/>
          <w:sz w:val="28"/>
          <w:vertAlign w:val="baseline"/>
          <w:lang w:val="en-US"/>
        </w:rPr>
        <w:t xml:space="preserve">(Revised January 2013</w:t>
      </w:r>
      <w:r>
        <w:rPr>
          <w:rFonts w:ascii="Arial" w:hAnsi="Arial" w:eastAsia="Arial"/>
          <w:color w:val="000000"/>
          <w:spacing w:val="-4"/>
          <w:w w:val="100"/>
          <w:sz w:val="28"/>
          <w:vertAlign w:val="baseline"/>
          <w:lang w:val="en-US"/>
        </w:rPr>
        <w:t xml:space="preserve">)</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9" w:after="0" w:line="324" w:lineRule="exact"/>
        <w:ind w:right="0" w:left="72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The (</w:t>
      </w:r>
      <w:r>
        <w:rPr>
          <w:rFonts w:ascii="Arial" w:hAnsi="Arial" w:eastAsia="Arial"/>
          <w:i w:val="true"/>
          <w:color w:val="000000"/>
          <w:spacing w:val="-6"/>
          <w:w w:val="100"/>
          <w:sz w:val="28"/>
          <w:u w:val="single"/>
          <w:vertAlign w:val="baseline"/>
          <w:lang w:val="en-US"/>
        </w:rPr>
        <w:t xml:space="preserve">specify</w:t>
      </w:r>
      <w:r>
        <w:rPr>
          <w:rFonts w:ascii="Arial" w:hAnsi="Arial" w:eastAsia="Arial"/>
          <w:color w:val="000000"/>
          <w:spacing w:val="-6"/>
          <w:w w:val="100"/>
          <w:sz w:val="28"/>
          <w:vertAlign w:val="baseline"/>
          <w:lang w:val="en-US"/>
        </w:rPr>
        <w:t xml:space="preserve">) count is Criminal Trespass in the First Degree.</w:t>
      </w:r>
    </w:p>
    <w:p>
      <w:pPr>
        <w:pageBreakBefore w:val="false"/>
        <w:spacing w:before="32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Trespass in the First Degree when he or she knowingly enters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unlawfully in a building, and when, in the course of committing such crime, that person knowingly possesses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and also knowingly possesses or has readily accessible a quantity of ammunition which is capable of being discharged from such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5"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6" w:after="34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w:t>
      </w:r>
    </w:p>
    <w:p>
      <w:pPr>
        <w:pageBreakBefore w:val="false"/>
        <w:spacing w:before="257"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464.4pt" to="252.05pt,464.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36"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evidence is that the defendant entered lawfully upon the premises but remained unlawfully after license and privilege to be on the premises terminated, substitute the word “remains” for the word “enters.”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43"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“as those terms are defined in section 265.00 [of the Penal Law].”</w:t>
      </w:r>
    </w:p>
    <w:p>
      <w:pPr>
        <w:pageBreakBefore w:val="false"/>
        <w:spacing w:before="237"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The word "knowingly" has been added in two places in this definition to modify “possesses” in order to comport with statutory and case law. Penal Law §§ 15.00(2); 15.05(2); </w:t>
      </w:r>
      <w:r>
        <w:rPr>
          <w:rFonts w:ascii="Arial" w:hAnsi="Arial" w:eastAsia="Arial"/>
          <w:i w:val="true"/>
          <w:color w:val="000000"/>
          <w:spacing w:val="0"/>
          <w:w w:val="100"/>
          <w:sz w:val="24"/>
          <w:vertAlign w:val="baseline"/>
          <w:lang w:val="en-US"/>
        </w:rPr>
        <w:t xml:space="preserve">People v Ford, </w:t>
      </w:r>
      <w:r>
        <w:rPr>
          <w:rFonts w:ascii="Arial" w:hAnsi="Arial" w:eastAsia="Arial"/>
          <w:color w:val="000000"/>
          <w:spacing w:val="0"/>
          <w:w w:val="100"/>
          <w:sz w:val="24"/>
          <w:vertAlign w:val="baseline"/>
          <w:lang w:val="en-US"/>
        </w:rPr>
        <w:t xml:space="preserve">66 NY2d 428, 440 (1985); </w:t>
      </w:r>
      <w:r>
        <w:rPr>
          <w:rFonts w:ascii="Arial" w:hAnsi="Arial" w:eastAsia="Arial"/>
          <w:i w:val="true"/>
          <w:color w:val="000000"/>
          <w:spacing w:val="0"/>
          <w:w w:val="100"/>
          <w:sz w:val="24"/>
          <w:vertAlign w:val="baseline"/>
          <w:lang w:val="en-US"/>
        </w:rPr>
        <w:t xml:space="preserve">People v Marino, </w:t>
      </w:r>
      <w:r>
        <w:rPr>
          <w:rFonts w:ascii="Arial" w:hAnsi="Arial" w:eastAsia="Arial"/>
          <w:color w:val="000000"/>
          <w:spacing w:val="0"/>
          <w:w w:val="100"/>
          <w:sz w:val="24"/>
          <w:vertAlign w:val="baseline"/>
          <w:lang w:val="en-US"/>
        </w:rPr>
        <w:t xml:space="preserve">212 AD2d 735, 736 (2d Dept. 1995). </w:t>
      </w:r>
      <w:r>
        <w:rPr>
          <w:rFonts w:ascii="Arial" w:hAnsi="Arial" w:eastAsia="Arial"/>
          <w:i w:val="true"/>
          <w:color w:val="000000"/>
          <w:spacing w:val="0"/>
          <w:w w:val="100"/>
          <w:sz w:val="24"/>
          <w:vertAlign w:val="baseline"/>
          <w:lang w:val="en-US"/>
        </w:rPr>
        <w:t xml:space="preserve">People v Cohen, </w:t>
      </w:r>
      <w:r>
        <w:rPr>
          <w:rFonts w:ascii="Arial" w:hAnsi="Arial" w:eastAsia="Arial"/>
          <w:color w:val="000000"/>
          <w:spacing w:val="0"/>
          <w:w w:val="100"/>
          <w:sz w:val="24"/>
          <w:vertAlign w:val="baseline"/>
          <w:lang w:val="en-US"/>
        </w:rPr>
        <w:t xml:space="preserve">57 AD2d 790 (1st Dept. 1977).</w:t>
      </w:r>
    </w:p>
    <w:p>
      <w:pPr>
        <w:sectPr>
          <w:type w:val="nextPage"/>
          <w:pgSz w:w="12240" w:h="15840" w:orient="portrait"/>
          <w:pgMar w:bottom="1024" w:top="1440" w:right="2140" w:left="2160" w:header="720" w:footer="720"/>
          <w:titlePg w:val="false"/>
          <w:textDirection w:val="lrTb"/>
        </w:sectPr>
      </w:pP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3"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29"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661" w:after="421"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8" w:after="0" w:line="519" w:lineRule="exact"/>
        <w:ind w:right="4824"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563.5pt" to="252.05pt,56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140.00(2). </w:t>
      </w: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140.00(2). </w:t>
      </w: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140.00(5). </w:t>
      </w: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47" w:after="247" w:line="275"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27" w:after="0" w:line="31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29" w:after="0" w:line="325"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5"/>
          <w:w w:val="100"/>
          <w:sz w:val="28"/>
          <w:vertAlign w:val="superscript"/>
          <w:lang w:val="en-US"/>
        </w:rPr>
        <w:t xml:space="preserve">11</w:t>
      </w:r>
      <w:r>
        <w:rPr>
          <w:rFonts w:ascii="Arial" w:hAnsi="Arial" w:eastAsia="Arial"/>
          <w:color w:val="000000"/>
          <w:spacing w:val="-5"/>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4"/>
          <w:w w:val="100"/>
          <w:sz w:val="28"/>
          <w:vertAlign w:val="superscript"/>
          <w:lang w:val="en-US"/>
        </w:rPr>
        <w:t xml:space="preserve">12</w:t>
      </w:r>
      <w:r>
        <w:rPr>
          <w:rFonts w:ascii="Arial" w:hAnsi="Arial" w:eastAsia="Arial"/>
          <w:color w:val="000000"/>
          <w:spacing w:val="-4"/>
          <w:w w:val="100"/>
          <w:sz w:val="17"/>
          <w:vertAlign w:val="baseline"/>
          <w:lang w:val="en-US"/>
        </w:rPr>
        <w:t xml:space="preserve"> </w:t>
      </w:r>
      <w:r>
        <w:rPr>
          <w:rFonts w:ascii="Arial" w:hAnsi="Arial" w:eastAsia="Arial"/>
          <w:color w:val="000000"/>
          <w:spacing w:val="-4"/>
          <w:w w:val="100"/>
          <w:sz w:val="28"/>
          <w:vertAlign w:val="baseline"/>
          <w:lang w:val="en-US"/>
        </w:rPr>
        <w:t xml:space="preserve">A person knowingly possesses a firearm, [rifle] [or shotgun], when that person is aware that he or she is in possession of a firearm, [rifle] [or shotgun].</w:t>
      </w:r>
    </w:p>
    <w:p>
      <w:pPr>
        <w:pageBreakBefore w:val="false"/>
        <w:spacing w:before="318" w:after="0" w:line="325"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FIREARM means any pistol or revolver.</w:t>
      </w:r>
      <w:r>
        <w:rPr>
          <w:rFonts w:ascii="Arial" w:hAnsi="Arial" w:eastAsia="Arial"/>
          <w:color w:val="000000"/>
          <w:spacing w:val="-3"/>
          <w:w w:val="100"/>
          <w:sz w:val="28"/>
          <w:vertAlign w:val="superscript"/>
          <w:lang w:val="en-US"/>
        </w:rPr>
        <w:t xml:space="preserve">13</w:t>
      </w:r>
      <w:r>
        <w:rPr>
          <w:rFonts w:ascii="Arial" w:hAnsi="Arial" w:eastAsia="Arial"/>
          <w:color w:val="000000"/>
          <w:spacing w:val="-3"/>
          <w:w w:val="100"/>
          <w:sz w:val="17"/>
          <w:vertAlign w:val="baseline"/>
          <w:lang w:val="en-US"/>
        </w:rPr>
        <w:t xml:space="preserve">
</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r>
        <w:rPr>
          <w:rFonts w:ascii="Arial" w:hAnsi="Arial" w:eastAsia="Arial"/>
          <w:color w:val="000000"/>
          <w:spacing w:val="-4"/>
          <w:w w:val="100"/>
          <w:sz w:val="28"/>
          <w:vertAlign w:val="superscript"/>
          <w:lang w:val="en-US"/>
        </w:rPr>
        <w:t xml:space="preserve">14</w:t>
      </w:r>
      <w:r>
        <w:rPr>
          <w:rFonts w:ascii="Arial" w:hAnsi="Arial" w:eastAsia="Arial"/>
          <w:color w:val="000000"/>
          <w:spacing w:val="-4"/>
          <w:w w:val="100"/>
          <w:sz w:val="28"/>
          <w:vertAlign w:val="baseline"/>
          <w:lang w:val="en-US"/>
        </w:rPr>
        <w:t xml:space="preserve">]</w:t>
      </w:r>
    </w:p>
    <w:p>
      <w:pPr>
        <w:pageBreakBefore w:val="false"/>
        <w:spacing w:before="327" w:after="504" w:line="325"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[SHOTGUN means a weapon designed or redesigned, made or remade, and intended to be fired from the shoulder and designed or redesigned and made or remade to use the energy of the explosive in a fixed shotgun shell to fire through a smooth</w:t>
      </w:r>
    </w:p>
    <w:p>
      <w:pPr>
        <w:pageBreakBefore w:val="false"/>
        <w:spacing w:before="254"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75pt,535.9pt" to="252.05pt,535.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8"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10.00(8). Where constructive possession is alleged, insert the appropriate instruction as found in the “Additional Charges” section at the end of this chapter.</w:t>
      </w:r>
    </w:p>
    <w:p>
      <w:pPr>
        <w:pageBreakBefore w:val="false"/>
        <w:spacing w:before="23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w:t>
      </w:r>
    </w:p>
    <w:p>
      <w:pPr>
        <w:pageBreakBefore w:val="false"/>
        <w:spacing w:before="247"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140.17 and 265.00(3).</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140.17 and 265.00(11).</w:t>
      </w:r>
    </w:p>
    <w:p>
      <w:pPr>
        <w:pageBreakBefore w:val="false"/>
        <w:spacing w:before="251"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5" w:left="2155" w:header="720" w:footer="720"/>
          <w:titlePg w:val="false"/>
          <w:textDirection w:val="lrTb"/>
        </w:sectPr>
      </w:pPr>
    </w:p>
    <w:p>
      <w:pPr>
        <w:pageBreakBefore w:val="false"/>
        <w:spacing w:before="14" w:after="0" w:line="31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bore either a number of ball shot or a single projectile for each single pull of the trigger.</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28"/>
          <w:vertAlign w:val="baseline"/>
          <w:lang w:val="en-US"/>
        </w:rPr>
        <w:t xml:space="preserve">]</w:t>
      </w:r>
    </w:p>
    <w:p>
      <w:pPr>
        <w:pageBreakBefore w:val="false"/>
        <w:spacing w:before="328"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w:t>
      </w:r>
    </w:p>
    <w:p>
      <w:pPr>
        <w:pageBreakBefore w:val="false"/>
        <w:numPr>
          <w:ilvl w:val="0"/>
          <w:numId w:val="1"/>
        </w:numPr>
        <w:tabs>
          <w:tab w:val="clear" w:pos="720"/>
          <w:tab w:val="left" w:pos="1440"/>
        </w:tabs>
        <w:spacing w:before="329"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course of committing that crime, the defendant knowingly possessed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shotgun] and also knowingly possessed or had readily accessible a quantity of ammunition which was capable of being discharged from such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3126"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8" w:after="3126" w:line="326" w:lineRule="exact"/>
        <w:sectPr>
          <w:type w:val="nextPage"/>
          <w:pgSz w:w="12240" w:h="15840" w:orient="portrait"/>
          <w:pgMar w:bottom="1024" w:top="1440" w:right="2129" w:left="2163" w:header="720" w:footer="720"/>
          <w:titlePg w:val="false"/>
          <w:textDirection w:val="lrTb"/>
        </w:sectPr>
      </w:pPr>
    </w:p>
    <w:p>
      <w:pPr>
        <w:pageBreakBefore w:val="false"/>
        <w:spacing w:before="256" w:after="0" w:line="275" w:lineRule="exact"/>
        <w:ind w:right="0" w:left="0" w:firstLine="0"/>
        <w:jc w:val="left"/>
        <w:textAlignment w:val="baseline"/>
        <w:rPr>
          <w:rFonts w:ascii="Arial" w:hAnsi="Arial" w:eastAsia="Arial"/>
          <w:color w:val="000000"/>
          <w:spacing w:val="-2"/>
          <w:w w:val="100"/>
          <w:sz w:val="14"/>
          <w:vertAlign w:val="superscript"/>
          <w:lang w:val="en-US"/>
        </w:rPr>
      </w:pPr>
      <w:r>
        <w:pict>
          <v:line strokeweight="0.95pt" strokecolor="#000000" from="108pt,667.2pt" to="252.05pt,667.2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15</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140.17 and 265.00(12).</w:t>
      </w:r>
    </w:p>
    <w:p>
      <w:pPr>
        <w:pageBreakBefore w:val="false"/>
        <w:spacing w:before="250"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532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