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FIRST DEGREE</w:t>
        <w:br/>
      </w:r>
      <w:r>
        <w:rPr>
          <w:rFonts w:ascii="Arial" w:hAnsi="Arial" w:eastAsia="Arial"/>
          <w:b w:val="true"/>
          <w:color w:val="000000"/>
          <w:spacing w:val="0"/>
          <w:w w:val="100"/>
          <w:sz w:val="28"/>
          <w:vertAlign w:val="baseline"/>
          <w:lang w:val="en-US"/>
        </w:rPr>
        <w:t xml:space="preserve">(Dangerous Instrument)</w:t>
        <w:br/>
      </w:r>
      <w:r>
        <w:rPr>
          <w:rFonts w:ascii="Arial" w:hAnsi="Arial" w:eastAsia="Arial"/>
          <w:b w:val="true"/>
          <w:color w:val="000000"/>
          <w:spacing w:val="0"/>
          <w:w w:val="100"/>
          <w:sz w:val="28"/>
          <w:vertAlign w:val="baseline"/>
          <w:lang w:val="en-US"/>
        </w:rPr>
        <w:t xml:space="preserve">Penal Law § 140.30(3)</w:t>
        <w:br/>
      </w:r>
      <w:r>
        <w:rPr>
          <w:rFonts w:ascii="Arial" w:hAnsi="Arial" w:eastAsia="Arial"/>
          <w:b w:val="true"/>
          <w:color w:val="000000"/>
          <w:spacing w:val="0"/>
          <w:w w:val="100"/>
          <w:sz w:val="28"/>
          <w:vertAlign w:val="baseline"/>
          <w:lang w:val="en-US"/>
        </w:rPr>
        <w:t xml:space="preserve">(Committed on or after Sept. 1, 1981)</w:t>
        <w:br/>
      </w:r>
      <w:r>
        <w:rPr>
          <w:rFonts w:ascii="Arial" w:hAnsi="Arial" w:eastAsia="Arial"/>
          <w:b w:val="true"/>
          <w:color w:val="000000"/>
          <w:spacing w:val="0"/>
          <w:w w:val="100"/>
          <w:sz w:val="28"/>
          <w:vertAlign w:val="baseline"/>
          <w:lang w:val="en-US"/>
        </w:rPr>
        <w:t xml:space="preserve">(Revised January, 2009 and January, 2011)</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2"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First Degree.</w:t>
      </w:r>
    </w:p>
    <w:p>
      <w:pPr>
        <w:pageBreakBefore w:val="false"/>
        <w:spacing w:before="326"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Burglary in the First Degree when that person knowingly enters [remains]</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unlawfully in a dwelling with the intent to commit a crime therein, and when, in effecting entry or while in the dwelling or in immediate flight therefrom, that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uses or threatens the immediate use of a dangerous instrument.</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1" w:after="64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DWELLING is a building which is usually occupied by a person lodging therein at night.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00" w:after="0" w:line="277" w:lineRule="exact"/>
        <w:ind w:right="0" w:left="0" w:firstLine="576"/>
        <w:jc w:val="both"/>
        <w:textAlignment w:val="baseline"/>
        <w:rPr>
          <w:rFonts w:ascii="Arial" w:hAnsi="Arial" w:eastAsia="Arial"/>
          <w:color w:val="000000"/>
          <w:spacing w:val="-2"/>
          <w:w w:val="100"/>
          <w:sz w:val="16"/>
          <w:vertAlign w:val="superscript"/>
          <w:lang w:val="en-US"/>
        </w:rPr>
      </w:pPr>
      <w:r>
        <w:pict>
          <v:line strokeweight="1.2pt" strokecolor="#000000" from="108pt,430.8pt" to="252.05pt,430.8pt" style="position:absolute;mso-position-horizontal-relative:page;mso-position-vertical-relative:page;">
            <v:stroke dashstyle="solid"/>
          </v:line>
        </w:pict>
      </w:r>
      <w:r>
        <w:rPr>
          <w:rFonts w:ascii="Arial" w:hAnsi="Arial" w:eastAsia="Arial"/>
          <w:color w:val="000000"/>
          <w:spacing w:val="-2"/>
          <w:w w:val="100"/>
          <w:sz w:val="16"/>
          <w:vertAlign w:val="superscript"/>
          <w:lang w:val="en-US"/>
        </w:rPr>
        <w:t xml:space="preserve">1</w:t>
      </w:r>
      <w:r>
        <w:rPr>
          <w:rFonts w:ascii="Arial" w:hAnsi="Arial" w:eastAsia="Arial"/>
          <w:color w:val="000000"/>
          <w:spacing w:val="-2"/>
          <w:w w:val="100"/>
          <w:sz w:val="24"/>
          <w:vertAlign w:val="baseline"/>
          <w:lang w:val="en-US"/>
        </w:rPr>
        <w:t xml:space="preserve"> The January, 2009,revision was for the purpose of updating the elements to accord with decisional law. That law requires that where the defendant “threatens” the immediate use of a dangerous instrument, the People must prove that the defendant possessed that dangerous instrument at the time of the crime. </w:t>
      </w:r>
      <w:r>
        <w:rPr>
          <w:rFonts w:ascii="Arial" w:hAnsi="Arial" w:eastAsia="Arial"/>
          <w:i w:val="true"/>
          <w:color w:val="000000"/>
          <w:spacing w:val="-2"/>
          <w:w w:val="100"/>
          <w:sz w:val="24"/>
          <w:vertAlign w:val="baseline"/>
          <w:lang w:val="en-US"/>
        </w:rPr>
        <w:t xml:space="preserve">People v Ford</w:t>
      </w:r>
      <w:r>
        <w:rPr>
          <w:rFonts w:ascii="Arial" w:hAnsi="Arial" w:eastAsia="Arial"/>
          <w:color w:val="000000"/>
          <w:spacing w:val="-2"/>
          <w:w w:val="100"/>
          <w:sz w:val="24"/>
          <w:vertAlign w:val="baseline"/>
          <w:lang w:val="en-US"/>
        </w:rPr>
        <w:t xml:space="preserve">, 11 NY3d 875, 878 (2008); </w:t>
      </w:r>
      <w:r>
        <w:rPr>
          <w:rFonts w:ascii="Arial" w:hAnsi="Arial" w:eastAsia="Arial"/>
          <w:i w:val="true"/>
          <w:color w:val="000000"/>
          <w:spacing w:val="-2"/>
          <w:w w:val="100"/>
          <w:sz w:val="24"/>
          <w:vertAlign w:val="baseline"/>
          <w:lang w:val="en-US"/>
        </w:rPr>
        <w:t xml:space="preserve">People v Pena</w:t>
      </w:r>
      <w:r>
        <w:rPr>
          <w:rFonts w:ascii="Arial" w:hAnsi="Arial" w:eastAsia="Arial"/>
          <w:color w:val="000000"/>
          <w:spacing w:val="-2"/>
          <w:w w:val="100"/>
          <w:sz w:val="24"/>
          <w:vertAlign w:val="baseline"/>
          <w:lang w:val="en-US"/>
        </w:rPr>
        <w:t xml:space="preserve">, 50 NY2d 400, 407 (1980)</w:t>
      </w:r>
      <w:r>
        <w:rPr>
          <w:rFonts w:ascii="Arial" w:hAnsi="Arial" w:eastAsia="Arial"/>
          <w:color w:val="000000"/>
          <w:spacing w:val="-2"/>
          <w:w w:val="100"/>
          <w:sz w:val="26"/>
          <w:vertAlign w:val="baseline"/>
          <w:lang w:val="en-US"/>
        </w:rPr>
        <w:t xml:space="preserve">. </w:t>
      </w:r>
      <w:r>
        <w:rPr>
          <w:rFonts w:ascii="Arial" w:hAnsi="Arial" w:eastAsia="Arial"/>
          <w:i w:val="true"/>
          <w:color w:val="000000"/>
          <w:spacing w:val="-2"/>
          <w:w w:val="100"/>
          <w:sz w:val="24"/>
          <w:vertAlign w:val="baseline"/>
          <w:lang w:val="en-US"/>
        </w:rPr>
        <w:t xml:space="preserve">See also People v Grant</w:t>
      </w:r>
      <w:r>
        <w:rPr>
          <w:rFonts w:ascii="Arial" w:hAnsi="Arial" w:eastAsia="Arial"/>
          <w:color w:val="000000"/>
          <w:spacing w:val="-2"/>
          <w:w w:val="100"/>
          <w:sz w:val="24"/>
          <w:vertAlign w:val="baseline"/>
          <w:lang w:val="en-US"/>
        </w:rPr>
        <w:t xml:space="preserve">, 17 NY3d 613, 617-618 (2011) decided after the revision of this charge.</w:t>
      </w:r>
    </w:p>
    <w:p>
      <w:pPr>
        <w:pageBreakBefore w:val="false"/>
        <w:spacing w:before="0"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57" w:after="0" w:line="277" w:lineRule="exact"/>
        <w:ind w:right="0" w:left="0" w:firstLine="36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57" w:after="0" w:line="277"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140.00(3).</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8"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dwelling when that person has no license or privilege to enter [remain] in that dwelling.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1229"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w:t>
      </w:r>
    </w:p>
    <w:p>
      <w:pPr>
        <w:pageBreakBefore w:val="false"/>
        <w:spacing w:before="270" w:after="0" w:line="281" w:lineRule="exact"/>
        <w:ind w:right="0" w:left="360" w:firstLine="0"/>
        <w:jc w:val="left"/>
        <w:textAlignment w:val="baseline"/>
        <w:rPr>
          <w:rFonts w:ascii="Arial" w:hAnsi="Arial" w:eastAsia="Arial"/>
          <w:color w:val="000000"/>
          <w:spacing w:val="0"/>
          <w:w w:val="100"/>
          <w:sz w:val="16"/>
          <w:vertAlign w:val="superscript"/>
          <w:lang w:val="en-US"/>
        </w:rPr>
      </w:pPr>
      <w:r>
        <w:pict>
          <v:line strokeweight="0.95pt" strokecolor="#000000" from="108pt,587.75pt" to="252.05pt,587.7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62" w:after="0" w:line="276"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140.00(2).</w:t>
      </w:r>
    </w:p>
    <w:p>
      <w:pPr>
        <w:pageBreakBefore w:val="false"/>
        <w:spacing w:before="257" w:after="0" w:line="280"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55" w:after="240" w:line="275"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 w:after="0" w:line="251"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17" w:after="0" w:line="31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him or her by the owner of such premises or other authorized person.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58" w:after="0" w:line="30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a dwelling when that person is aware that he or she is entering [remaining] in such dwelling without license or privilege to do so.</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6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Thus, a person has the intent to commit a crime in a dwelling when that person's conscious objective or purpose is to commit a crime in that dwelling,</w:t>
      </w:r>
    </w:p>
    <w:p>
      <w:pPr>
        <w:pageBreakBefore w:val="false"/>
        <w:spacing w:before="335"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12</w:t>
      </w:r>
      <w:r>
        <w:rPr>
          <w:rFonts w:ascii="Arial" w:hAnsi="Arial" w:eastAsia="Arial"/>
          <w:color w:val="000000"/>
          <w:spacing w:val="-3"/>
          <w:w w:val="100"/>
          <w:sz w:val="28"/>
          <w:vertAlign w:val="baseline"/>
          <w:lang w:val="en-US"/>
        </w:rPr>
        <w:t xml:space="preserve">]</w:t>
      </w:r>
    </w:p>
    <w:p>
      <w:pPr>
        <w:pageBreakBefore w:val="false"/>
        <w:spacing w:before="329" w:after="365"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dwelling. The crime of burglary is complete when a person knowingly enters [remains]</w:t>
      </w:r>
    </w:p>
    <w:p>
      <w:pPr>
        <w:pageBreakBefore w:val="false"/>
        <w:spacing w:before="270" w:after="0" w:line="280" w:lineRule="exact"/>
        <w:ind w:right="0" w:left="360" w:firstLine="0"/>
        <w:jc w:val="left"/>
        <w:textAlignment w:val="baseline"/>
        <w:rPr>
          <w:rFonts w:ascii="Arial" w:hAnsi="Arial" w:eastAsia="Arial"/>
          <w:color w:val="000000"/>
          <w:spacing w:val="-1"/>
          <w:w w:val="100"/>
          <w:sz w:val="16"/>
          <w:vertAlign w:val="superscript"/>
          <w:lang w:val="en-US"/>
        </w:rPr>
      </w:pPr>
      <w:r>
        <w:pict>
          <v:line strokeweight="0.95pt" strokecolor="#000000" from="107.75pt,560.9pt" to="252.05pt,560.9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8</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57" w:after="0" w:line="281"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57"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60"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50" w:after="247" w:line="275"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 w:after="0" w:line="251"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3</w:t>
      </w:r>
    </w:p>
    <w:p>
      <w:pPr>
        <w:sectPr>
          <w:type w:val="nextPage"/>
          <w:pgSz w:w="12240" w:h="15840" w:orient="portrait"/>
          <w:pgMar w:bottom="1024" w:top="1440" w:right="2145" w:left="2155"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 dwelling unlawfully and does so with the intent to commit a crime in the dwelling, regardless of whether that person ever commits, or even attempts to commit, any crime in the dwelling.</w:t>
      </w:r>
    </w:p>
    <w:p>
      <w:pPr>
        <w:pageBreakBefore w:val="false"/>
        <w:spacing w:before="330" w:after="0" w:line="323" w:lineRule="exact"/>
        <w:ind w:right="0" w:left="0" w:firstLine="72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DANGEROUS INSTRUMENT means any instrument, article or substance (including a vehicle) which, under the circumstances in which it is used, attempted to be used, or threatened to be used, is readily capable of causing death or other serious physical injury,</w:t>
      </w:r>
      <w:r>
        <w:rPr>
          <w:rFonts w:ascii="Arial" w:hAnsi="Arial" w:eastAsia="Arial"/>
          <w:color w:val="000000"/>
          <w:spacing w:val="-6"/>
          <w:w w:val="100"/>
          <w:sz w:val="28"/>
          <w:vertAlign w:val="superscript"/>
          <w:lang w:val="en-US"/>
        </w:rPr>
        <w:t xml:space="preserve">13</w:t>
      </w:r>
      <w:r>
        <w:rPr>
          <w:rFonts w:ascii="Arial" w:hAnsi="Arial" w:eastAsia="Arial"/>
          <w:color w:val="000000"/>
          <w:spacing w:val="-6"/>
          <w:w w:val="100"/>
          <w:sz w:val="28"/>
          <w:vertAlign w:val="baseline"/>
          <w:lang w:val="en-US"/>
        </w:rPr>
        <w:t xml:space="preserve"> that is, serious and protracted disfigurement, protracted impairment of health or protracted loss or impairment of the function of any bodily organ. </w:t>
      </w:r>
      <w:r>
        <w:rPr>
          <w:rFonts w:ascii="Arial" w:hAnsi="Arial" w:eastAsia="Arial"/>
          <w:color w:val="000000"/>
          <w:spacing w:val="-6"/>
          <w:w w:val="100"/>
          <w:sz w:val="28"/>
          <w:vertAlign w:val="superscript"/>
          <w:lang w:val="en-US"/>
        </w:rPr>
        <w:t xml:space="preserve">14</w:t>
      </w:r>
      <w:r>
        <w:rPr>
          <w:rFonts w:ascii="Arial" w:hAnsi="Arial" w:eastAsia="Arial"/>
          <w:color w:val="000000"/>
          <w:spacing w:val="-6"/>
          <w:w w:val="100"/>
          <w:sz w:val="28"/>
          <w:vertAlign w:val="baseline"/>
          <w:lang w:val="en-US"/>
        </w:rPr>
        <w:t xml:space="preserve"> Under that definition, death or other serious physical injury need not in fact be caused.</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dwelling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6" w:after="2678" w:line="320"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did so knowingly</w:t>
      </w:r>
      <w:r>
        <w:rPr>
          <w:rFonts w:ascii="Arial" w:hAnsi="Arial" w:eastAsia="Arial"/>
          <w:color w:val="000000"/>
          <w:spacing w:val="-2"/>
          <w:w w:val="100"/>
          <w:sz w:val="28"/>
          <w:vertAlign w:val="superscript"/>
          <w:lang w:val="en-US"/>
        </w:rPr>
        <w:t xml:space="preserve">15</w:t>
      </w:r>
      <w:r>
        <w:rPr>
          <w:rFonts w:ascii="Arial" w:hAnsi="Arial" w:eastAsia="Arial"/>
          <w:color w:val="000000"/>
          <w:spacing w:val="-2"/>
          <w:w w:val="100"/>
          <w:sz w:val="28"/>
          <w:vertAlign w:val="baseline"/>
          <w:lang w:val="en-US"/>
        </w:rPr>
        <w:t xml:space="preserve">;</w:t>
      </w:r>
    </w:p>
    <w:p>
      <w:pPr>
        <w:pageBreakBefore w:val="false"/>
        <w:spacing w:before="271" w:after="0" w:line="279" w:lineRule="exact"/>
        <w:ind w:right="0" w:left="360" w:firstLine="0"/>
        <w:jc w:val="left"/>
        <w:textAlignment w:val="baseline"/>
        <w:rPr>
          <w:rFonts w:ascii="Arial" w:hAnsi="Arial" w:eastAsia="Arial"/>
          <w:color w:val="000000"/>
          <w:spacing w:val="-1"/>
          <w:w w:val="100"/>
          <w:sz w:val="16"/>
          <w:vertAlign w:val="superscript"/>
          <w:lang w:val="en-US"/>
        </w:rPr>
      </w:pPr>
      <w:r>
        <w:pict>
          <v:line strokeweight="1.2pt" strokecolor="#000000" from="107.85pt,563.05pt" to="252.05pt,563.05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13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10.00(13).</w:t>
      </w:r>
    </w:p>
    <w:p>
      <w:pPr>
        <w:pageBreakBefore w:val="false"/>
        <w:spacing w:before="259" w:after="0" w:line="279"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10.00(10).</w:t>
      </w:r>
    </w:p>
    <w:p>
      <w:pPr>
        <w:pageBreakBefore w:val="false"/>
        <w:spacing w:before="251" w:after="0" w:line="279" w:lineRule="exact"/>
        <w:ind w:right="0" w:left="0" w:firstLine="36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15</w:t>
      </w:r>
      <w:r>
        <w:rPr>
          <w:rFonts w:ascii="Arial" w:hAnsi="Arial" w:eastAsia="Arial"/>
          <w:color w:val="000000"/>
          <w:spacing w:val="0"/>
          <w:w w:val="100"/>
          <w:sz w:val="24"/>
          <w:vertAlign w:val="baseline"/>
          <w:lang w:val="en-US"/>
        </w:rPr>
        <w:t xml:space="preserve"> “Knowingly” modifies “dwelling” for this crime because the requirement that the building be a dwelling follows and is modified by the mens rea term “knowingly.” See </w:t>
      </w:r>
      <w:r>
        <w:rPr>
          <w:rFonts w:ascii="Arial" w:hAnsi="Arial" w:eastAsia="Arial"/>
          <w:i w:val="true"/>
          <w:color w:val="000000"/>
          <w:spacing w:val="0"/>
          <w:w w:val="100"/>
          <w:sz w:val="24"/>
          <w:vertAlign w:val="baseline"/>
          <w:lang w:val="en-US"/>
        </w:rPr>
        <w:t xml:space="preserve">People v. Ryan, </w:t>
      </w:r>
      <w:r>
        <w:rPr>
          <w:rFonts w:ascii="Arial" w:hAnsi="Arial" w:eastAsia="Arial"/>
          <w:color w:val="000000"/>
          <w:spacing w:val="0"/>
          <w:w w:val="100"/>
          <w:sz w:val="24"/>
          <w:vertAlign w:val="baseline"/>
          <w:lang w:val="en-US"/>
        </w:rPr>
        <w:t xml:space="preserve">82 N.Y.2d 497 (1993). </w:t>
      </w:r>
      <w:r>
        <w:rPr>
          <w:rFonts w:ascii="Arial" w:hAnsi="Arial" w:eastAsia="Arial"/>
          <w:i w:val="true"/>
          <w:color w:val="000000"/>
          <w:spacing w:val="0"/>
          <w:w w:val="100"/>
          <w:sz w:val="24"/>
          <w:vertAlign w:val="baseline"/>
          <w:lang w:val="en-US"/>
        </w:rPr>
        <w:t xml:space="preserve">Cf. People </w:t>
      </w:r>
      <w:r>
        <w:rPr>
          <w:rFonts w:ascii="Arial" w:hAnsi="Arial" w:eastAsia="Arial"/>
          <w:color w:val="000000"/>
          <w:spacing w:val="0"/>
          <w:w w:val="100"/>
          <w:sz w:val="24"/>
          <w:vertAlign w:val="baseline"/>
          <w:lang w:val="en-US"/>
        </w:rPr>
        <w:t xml:space="preserve">v. </w:t>
      </w:r>
      <w:r>
        <w:rPr>
          <w:rFonts w:ascii="Arial" w:hAnsi="Arial" w:eastAsia="Arial"/>
          <w:i w:val="true"/>
          <w:color w:val="000000"/>
          <w:spacing w:val="0"/>
          <w:w w:val="100"/>
          <w:sz w:val="24"/>
          <w:vertAlign w:val="baseline"/>
          <w:lang w:val="en-US"/>
        </w:rPr>
        <w:t xml:space="preserve">Mitchell</w:t>
      </w:r>
      <w:r>
        <w:rPr>
          <w:rFonts w:ascii="Arial" w:hAnsi="Arial" w:eastAsia="Arial"/>
          <w:color w:val="000000"/>
          <w:spacing w:val="0"/>
          <w:w w:val="100"/>
          <w:sz w:val="24"/>
          <w:vertAlign w:val="baseline"/>
          <w:lang w:val="en-US"/>
        </w:rPr>
        <w:t xml:space="preserve">, 77 N.Y.2d 624 (1991); </w:t>
      </w:r>
      <w:r>
        <w:rPr>
          <w:rFonts w:ascii="Arial" w:hAnsi="Arial" w:eastAsia="Arial"/>
          <w:i w:val="true"/>
          <w:color w:val="000000"/>
          <w:spacing w:val="0"/>
          <w:w w:val="100"/>
          <w:sz w:val="24"/>
          <w:vertAlign w:val="baseline"/>
          <w:lang w:val="en-US"/>
        </w:rPr>
        <w:t xml:space="preserve">People v. Gonzalez</w:t>
      </w:r>
      <w:r>
        <w:rPr>
          <w:rFonts w:ascii="Arial" w:hAnsi="Arial" w:eastAsia="Arial"/>
          <w:color w:val="000000"/>
          <w:spacing w:val="0"/>
          <w:w w:val="100"/>
          <w:sz w:val="24"/>
          <w:vertAlign w:val="baseline"/>
          <w:lang w:val="en-US"/>
        </w:rPr>
        <w:t xml:space="preserve">, 240 A.D.2d 255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1997); </w:t>
      </w:r>
      <w:r>
        <w:rPr>
          <w:rFonts w:ascii="Arial" w:hAnsi="Arial" w:eastAsia="Arial"/>
          <w:i w:val="true"/>
          <w:color w:val="000000"/>
          <w:spacing w:val="0"/>
          <w:w w:val="100"/>
          <w:sz w:val="24"/>
          <w:vertAlign w:val="baseline"/>
          <w:lang w:val="en-US"/>
        </w:rPr>
        <w:t xml:space="preserve">People v. Wilson</w:t>
      </w:r>
      <w:r>
        <w:rPr>
          <w:rFonts w:ascii="Arial" w:hAnsi="Arial" w:eastAsia="Arial"/>
          <w:color w:val="000000"/>
          <w:spacing w:val="0"/>
          <w:w w:val="100"/>
          <w:sz w:val="24"/>
          <w:vertAlign w:val="baseline"/>
          <w:lang w:val="en-US"/>
        </w:rPr>
        <w:t xml:space="preserve">, 245 A.D.2d 402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Dept.1997); </w:t>
      </w:r>
      <w:r>
        <w:rPr>
          <w:rFonts w:ascii="Arial" w:hAnsi="Arial" w:eastAsia="Arial"/>
          <w:i w:val="true"/>
          <w:color w:val="000000"/>
          <w:spacing w:val="0"/>
          <w:w w:val="100"/>
          <w:sz w:val="24"/>
          <w:vertAlign w:val="baseline"/>
          <w:lang w:val="en-US"/>
        </w:rPr>
        <w:t xml:space="preserve">People v. Davis</w:t>
      </w:r>
      <w:r>
        <w:rPr>
          <w:rFonts w:ascii="Arial" w:hAnsi="Arial" w:eastAsia="Arial"/>
          <w:color w:val="000000"/>
          <w:spacing w:val="0"/>
          <w:w w:val="100"/>
          <w:sz w:val="24"/>
          <w:vertAlign w:val="baseline"/>
          <w:lang w:val="en-US"/>
        </w:rPr>
        <w:t xml:space="preserve">, 244 A.D.2d 1003, 1004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1997).</w:t>
      </w:r>
    </w:p>
    <w:p>
      <w:pPr>
        <w:pageBreakBefore w:val="false"/>
        <w:spacing w:before="254" w:after="0" w:line="251"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4</w:t>
      </w:r>
    </w:p>
    <w:p>
      <w:pPr>
        <w:sectPr>
          <w:type w:val="nextPage"/>
          <w:pgSz w:w="12240" w:h="15840" w:orient="portrait"/>
          <w:pgMar w:bottom="664" w:top="1440" w:right="2143" w:left="2157" w:header="720" w:footer="720"/>
          <w:titlePg w:val="false"/>
          <w:textDirection w:val="lrTb"/>
        </w:sectPr>
      </w:pPr>
    </w:p>
    <w:p>
      <w:pPr>
        <w:pageBreakBefore w:val="false"/>
        <w:numPr>
          <w:ilvl w:val="0"/>
          <w:numId w:val="2"/>
        </w:numPr>
        <w:tabs>
          <w:tab w:val="clear" w:pos="720"/>
          <w:tab w:val="left" w:pos="1440"/>
        </w:tabs>
        <w:spacing w:before="12" w:after="0" w:line="31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dwelling</w:t>
      </w:r>
      <w:r>
        <w:rPr>
          <w:rFonts w:ascii="Arial" w:hAnsi="Arial" w:eastAsia="Arial"/>
          <w:color w:val="000000"/>
          <w:spacing w:val="0"/>
          <w:w w:val="100"/>
          <w:sz w:val="28"/>
          <w:vertAlign w:val="superscript"/>
          <w:lang w:val="en-US"/>
        </w:rPr>
        <w:t xml:space="preserve">16</w:t>
      </w:r>
      <w:r>
        <w:rPr>
          <w:rFonts w:ascii="Arial" w:hAnsi="Arial" w:eastAsia="Arial"/>
          <w:color w:val="000000"/>
          <w:spacing w:val="0"/>
          <w:w w:val="100"/>
          <w:sz w:val="28"/>
          <w:vertAlign w:val="baseline"/>
          <w:lang w:val="en-US"/>
        </w:rPr>
        <w:t xml:space="preserve">; and</w:t>
      </w:r>
    </w:p>
    <w:p>
      <w:pPr>
        <w:pageBreakBefore w:val="false"/>
        <w:numPr>
          <w:ilvl w:val="0"/>
          <w:numId w:val="2"/>
        </w:numPr>
        <w:tabs>
          <w:tab w:val="clear" w:pos="720"/>
          <w:tab w:val="left" w:pos="1440"/>
        </w:tabs>
        <w:spacing w:before="330" w:after="0" w:line="324"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in effecting entry or while in the dwelling or in immediate flight therefrom, the defendant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another participant in the crime] possessed a dangerous instrument and used or threatened the immediate use of that dangerous instrument.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682"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5682" w:line="324" w:lineRule="exact"/>
        <w:sectPr>
          <w:type w:val="nextPage"/>
          <w:pgSz w:w="12240" w:h="15840" w:orient="portrait"/>
          <w:pgMar w:bottom="664" w:top="1440" w:right="2140" w:left="2160" w:header="720" w:footer="720"/>
          <w:titlePg w:val="false"/>
          <w:textDirection w:val="lrTb"/>
        </w:sectPr>
      </w:pPr>
    </w:p>
    <w:p>
      <w:pPr>
        <w:pageBreakBefore w:val="false"/>
        <w:spacing w:before="274" w:after="0" w:line="280" w:lineRule="exact"/>
        <w:ind w:right="0" w:left="0" w:firstLine="432"/>
        <w:jc w:val="both"/>
        <w:textAlignment w:val="baseline"/>
        <w:rPr>
          <w:rFonts w:ascii="Arial" w:hAnsi="Arial" w:eastAsia="Arial"/>
          <w:color w:val="000000"/>
          <w:spacing w:val="-3"/>
          <w:w w:val="100"/>
          <w:sz w:val="16"/>
          <w:vertAlign w:val="superscript"/>
          <w:lang w:val="en-US"/>
        </w:rPr>
      </w:pPr>
      <w:r>
        <w:pict>
          <v:line strokeweight="1.2pt" strokecolor="#000000" from="108pt,616.3pt" to="252.05pt,616.3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16</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81" w:after="0" w:line="283" w:lineRule="exact"/>
        <w:ind w:right="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41" w:after="0" w:line="251"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sectPr>
      <w:type w:val="continuous"/>
      <w:pgSz w:w="12240" w:h="15840" w:orient="portrait"/>
      <w:pgMar w:bottom="66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