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JOSTLING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(Placing Hand in Proximity of Pocket or Handbag)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165.25(1)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649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Jostling.</w:t>
      </w:r>
    </w:p>
    <w:p>
      <w:pPr>
        <w:pageBreakBefore w:val="false"/>
        <w:spacing w:before="326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Jostling when, in a public place, that person intentionally and unnecessarily places his or her hand in the proximity of another person’s pocket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handbag].</w:t>
      </w:r>
    </w:p>
    <w:p>
      <w:pPr>
        <w:pageBreakBefore w:val="false"/>
        <w:spacing w:before="327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INTENTIONALLY places his or her hand in the proximity of another person's pocket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handbag] when his or her conscious objective or purpose is to place his or her hand in the proximity of such pocket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handbag].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6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  <w:tab w:val="right" w:leader="none" w:pos="7920"/>
        </w:tabs>
        <w:spacing w:before="331" w:after="0" w:line="323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 , in a</w:t>
        <w:br/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public place, the defendant, 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 , placed his/her hand in the proximity of 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3"/>
          <w:u w:val="single"/>
          <w:vertAlign w:val="baseline"/>
          <w:lang w:val="en-US"/>
        </w:rPr>
        <w:t xml:space="preserve"> (name of victim)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 ’s pocket [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handbag];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0" w:after="0" w:line="327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intentionally and unnecessarily.</w:t>
      </w:r>
    </w:p>
    <w:p>
      <w:pPr>
        <w:pageBreakBefore w:val="false"/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8" w:after="408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pageBreakBefore w:val="false"/>
        <w:spacing w:before="272" w:after="0" w:line="250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4"/>
          <w:vertAlign w:val="superscript"/>
          <w:lang w:val="en-US"/>
        </w:rPr>
      </w:pPr>
      <w:r>
        <w:pict>
          <v:line strokeweight="1.2pt" strokecolor="#000000" from="108pt,694.1pt" to="252.05pt,694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9"/>
          <w:vertAlign w:val="baseline"/>
          <w:lang w:val="en-US"/>
        </w:rPr>
        <w:t xml:space="preserve">Penal Law § 15.05(1).</w:t>
      </w:r>
    </w:p>
    <w:p>
      <w:pPr>
        <w:sectPr>
          <w:type w:val="nextPage"/>
          <w:pgSz w:w="12240" w:h="15840" w:orient="portrait"/>
          <w:pgMar w:bottom="1004" w:top="1440" w:right="212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3.4pt;height:13.25pt;z-index:-1000;margin-left:299.05pt;margin-top:706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63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2</w:t>
                  </w:r>
                </w:p>
              </w:txbxContent>
            </v:textbox>
          </v:shape>
        </w:pict>
      </w:r>
    </w:p>
    <w:sectPr>
      <w:type w:val="nextPage"/>
      <w:pgSz w:w="12240" w:h="15840" w:orient="portrait"/>
      <w:pgMar w:bottom="1097" w:top="13891" w:right="6067" w:left="606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-5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