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POSSESSION OF STOLEN PROPERTY</w:t>
        <w:br/>
      </w:r>
      <w:r>
        <w:rPr>
          <w:rFonts w:ascii="Arial" w:hAnsi="Arial" w:eastAsia="Arial"/>
          <w:b w:val="true"/>
          <w:strike w:val="false"/>
          <w:color w:val="000000"/>
          <w:spacing w:val="0"/>
          <w:w w:val="100"/>
          <w:sz w:val="28"/>
          <w:vertAlign w:val="baseline"/>
          <w:lang w:val="en-US"/>
        </w:rPr>
        <w:t xml:space="preserve">IN THE FOURTH DEGREE</w:t>
        <w:br/>
      </w:r>
      <w:r>
        <w:rPr>
          <w:rFonts w:ascii="Arial" w:hAnsi="Arial" w:eastAsia="Arial"/>
          <w:b w:val="true"/>
          <w:strike w:val="false"/>
          <w:color w:val="000000"/>
          <w:spacing w:val="0"/>
          <w:w w:val="100"/>
          <w:sz w:val="28"/>
          <w:vertAlign w:val="baseline"/>
          <w:lang w:val="en-US"/>
        </w:rPr>
        <w:t xml:space="preserve">(Anhydrous ammonia or liquified ammonia gas)</w:t>
        <w:br/>
      </w:r>
      <w:r>
        <w:rPr>
          <w:rFonts w:ascii="Arial" w:hAnsi="Arial" w:eastAsia="Arial"/>
          <w:b w:val="true"/>
          <w:strike w:val="false"/>
          <w:color w:val="000000"/>
          <w:spacing w:val="0"/>
          <w:w w:val="100"/>
          <w:sz w:val="28"/>
          <w:vertAlign w:val="baseline"/>
          <w:lang w:val="en-US"/>
        </w:rPr>
        <w:t xml:space="preserve">Penal Law § 165.45(7)</w:t>
        <w:br/>
      </w:r>
      <w:r>
        <w:rPr>
          <w:rFonts w:ascii="Arial" w:hAnsi="Arial" w:eastAsia="Arial"/>
          <w:b w:val="true"/>
          <w:strike w:val="false"/>
          <w:color w:val="000000"/>
          <w:spacing w:val="0"/>
          <w:w w:val="100"/>
          <w:sz w:val="28"/>
          <w:vertAlign w:val="baseline"/>
          <w:lang w:val="en-US"/>
        </w:rPr>
        <w:t xml:space="preserve">(Committed on or after Oct. 1, 2005)</w:t>
      </w:r>
    </w:p>
    <w:p>
      <w:pPr>
        <w:pageBreakBefore w:val="false"/>
        <w:spacing w:before="648"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Possession of Stolen Property in the Fourth Degree.</w:t>
      </w:r>
    </w:p>
    <w:p>
      <w:pPr>
        <w:pageBreakBefore w:val="false"/>
        <w:spacing w:before="324" w:after="0" w:line="323"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Criminal Possession of Stolen Property in the Fourth Degree when that person knowingly possesses stolen property, with intent to benefit himself or herself or a person other than an owner thereof or to impede the recovery by an owner thereof, and when the property consists of anhydrous ammonia or liquified ammonia gas and the actor intends to use, or knows another person intends to use, such anhydrous ammonia or liquified ammonia gas to manufacture amphetamine.</w:t>
      </w:r>
      <w:r>
        <w:rPr>
          <w:rFonts w:ascii="Arial" w:hAnsi="Arial" w:eastAsia="Arial"/>
          <w:strike w:val="false"/>
          <w:color w:val="000000"/>
          <w:spacing w:val="-2"/>
          <w:w w:val="100"/>
          <w:sz w:val="28"/>
          <w:vertAlign w:val="superscript"/>
          <w:lang w:val="en-US"/>
        </w:rPr>
        <w:t xml:space="preserve">1</w:t>
      </w:r>
      <w:r>
        <w:rPr>
          <w:rFonts w:ascii="Arial" w:hAnsi="Arial" w:eastAsia="Arial"/>
          <w:strike w:val="false"/>
          <w:color w:val="000000"/>
          <w:spacing w:val="-2"/>
          <w:w w:val="100"/>
          <w:sz w:val="17"/>
          <w:vertAlign w:val="baseline"/>
          <w:lang w:val="en-US"/>
        </w:rPr>
        <w:t xml:space="preserve">
</w:t>
      </w:r>
    </w:p>
    <w:p>
      <w:pPr>
        <w:pageBreakBefore w:val="false"/>
        <w:spacing w:before="332"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3"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possesses stolen property when that person is aware that he or she is in possession of property and is aware that such property is stolen.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0" w:after="0" w:line="323"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POSSESS means to have physical possession or otherwise to exercise dominion and control over tangible property.</w:t>
      </w:r>
      <w:r>
        <w:rPr>
          <w:rFonts w:ascii="Arial" w:hAnsi="Arial" w:eastAsia="Arial"/>
          <w:strike w:val="false"/>
          <w:color w:val="000000"/>
          <w:spacing w:val="-5"/>
          <w:w w:val="100"/>
          <w:sz w:val="28"/>
          <w:vertAlign w:val="superscript"/>
          <w:lang w:val="en-US"/>
        </w:rPr>
        <w:t xml:space="preserve">3</w:t>
      </w:r>
      <w:r>
        <w:rPr>
          <w:rFonts w:ascii="Arial" w:hAnsi="Arial" w:eastAsia="Arial"/>
          <w:strike w:val="false"/>
          <w:color w:val="000000"/>
          <w:spacing w:val="-5"/>
          <w:w w:val="100"/>
          <w:sz w:val="17"/>
          <w:vertAlign w:val="baseline"/>
          <w:lang w:val="en-US"/>
        </w:rPr>
        <w:t xml:space="preserve">
</w:t>
      </w:r>
    </w:p>
    <w:p>
      <w:pPr>
        <w:pageBreakBefore w:val="false"/>
        <w:spacing w:before="328" w:after="470" w:line="323" w:lineRule="exact"/>
        <w:ind w:right="0" w:left="72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PROPERTY means any money, personal property or thing</w:t>
      </w:r>
    </w:p>
    <w:p>
      <w:pPr>
        <w:pageBreakBefore w:val="false"/>
        <w:spacing w:before="265" w:after="0" w:line="276" w:lineRule="exact"/>
        <w:ind w:right="216" w:left="0" w:firstLine="720"/>
        <w:jc w:val="left"/>
        <w:textAlignment w:val="baseline"/>
        <w:rPr>
          <w:rFonts w:ascii="Arial" w:hAnsi="Arial" w:eastAsia="Arial"/>
          <w:strike w:val="false"/>
          <w:color w:val="000000"/>
          <w:spacing w:val="0"/>
          <w:w w:val="100"/>
          <w:sz w:val="14"/>
          <w:vertAlign w:val="superscript"/>
          <w:lang w:val="en-US"/>
        </w:rPr>
      </w:pPr>
      <w:r>
        <w:pict>
          <v:line strokeweight="1.2pt" strokecolor="#000000" from="108pt,600.7pt" to="252.05pt,600.7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155.30(11) for the definition of larceny of such materials.</w:t>
      </w:r>
    </w:p>
    <w:p>
      <w:pPr>
        <w:pageBreakBefore w:val="false"/>
        <w:spacing w:before="238"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15.05(2).</w:t>
      </w:r>
    </w:p>
    <w:p>
      <w:pPr>
        <w:pageBreakBefore w:val="false"/>
        <w:spacing w:before="247" w:after="0" w:line="276" w:lineRule="exact"/>
        <w:ind w:right="576"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§10.00(8). Where constructive possession is alleged, insert the appropriate instruction as found in the "Additional Charges" section at the end of this article.</w:t>
      </w:r>
    </w:p>
    <w:p>
      <w:pPr>
        <w:sectPr>
          <w:type w:val="nextPage"/>
          <w:pgSz w:w="12240" w:h="15840" w:orient="portrait"/>
          <w:pgMar w:bottom="1024" w:top="1440" w:right="2140" w:left="2160" w:header="720" w:footer="0"/>
          <w:titlePg w:val="false"/>
          <w:textDirection w:val="lrTb"/>
        </w:sectPr>
      </w:pPr>
    </w:p>
    <w:p>
      <w:pPr>
        <w:pageBreakBefore w:val="false"/>
        <w:spacing w:before="28" w:after="0" w:line="325" w:lineRule="exact"/>
        <w:ind w:right="0" w:left="0" w:firstLine="0"/>
        <w:jc w:val="left"/>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of value.</w:t>
      </w:r>
      <w:r>
        <w:rPr>
          <w:rFonts w:ascii="Arial" w:hAnsi="Arial" w:eastAsia="Arial"/>
          <w:strike w:val="false"/>
          <w:color w:val="000000"/>
          <w:spacing w:val="-6"/>
          <w:w w:val="100"/>
          <w:sz w:val="28"/>
          <w:vertAlign w:val="superscript"/>
          <w:lang w:val="en-US"/>
        </w:rPr>
        <w:t xml:space="preserve">4</w:t>
      </w:r>
      <w:r>
        <w:rPr>
          <w:rFonts w:ascii="Arial" w:hAnsi="Arial" w:eastAsia="Arial"/>
          <w:strike w:val="false"/>
          <w:color w:val="000000"/>
          <w:spacing w:val="-6"/>
          <w:w w:val="100"/>
          <w:sz w:val="17"/>
          <w:vertAlign w:val="baseline"/>
          <w:lang w:val="en-US"/>
        </w:rPr>
        <w:t xml:space="preserve">
</w:t>
      </w:r>
    </w:p>
    <w:p>
      <w:pPr>
        <w:pageBreakBefore w:val="false"/>
        <w:spacing w:before="333"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STOLEN PROPERTY is property that has been wrongfully taken, obtained, or withheld from an owner by a person who did so with the intent to deprive another of such property or to appropriate such property to himself or herself or a third person.</w:t>
      </w:r>
      <w:r>
        <w:rPr>
          <w:rFonts w:ascii="Arial" w:hAnsi="Arial" w:eastAsia="Arial"/>
          <w:strike w:val="false"/>
          <w:color w:val="000000"/>
          <w:spacing w:val="-3"/>
          <w:w w:val="100"/>
          <w:sz w:val="28"/>
          <w:vertAlign w:val="superscript"/>
          <w:lang w:val="en-US"/>
        </w:rPr>
        <w:t xml:space="preserve">5</w:t>
      </w:r>
      <w:r>
        <w:rPr>
          <w:rFonts w:ascii="Arial" w:hAnsi="Arial" w:eastAsia="Arial"/>
          <w:strike w:val="false"/>
          <w:color w:val="000000"/>
          <w:spacing w:val="-3"/>
          <w:w w:val="100"/>
          <w:sz w:val="17"/>
          <w:vertAlign w:val="baseline"/>
          <w:lang w:val="en-US"/>
        </w:rPr>
        <w:t xml:space="preserve">
</w:t>
      </w:r>
    </w:p>
    <w:p>
      <w:pPr>
        <w:pageBreakBefore w:val="false"/>
        <w:spacing w:before="32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28"/>
          <w:vertAlign w:val="baseline"/>
          <w:lang w:val="en-US"/>
        </w:rPr>
        <w:t xml:space="preserve"> Thus, a person acts with intent to benefit himself or herself or a person other than an owner of property or to impede the recovery of property by an owner when that person's conscious objective or purpose is to do so.</w:t>
      </w:r>
    </w:p>
    <w:p>
      <w:pPr>
        <w:pageBreakBefore w:val="false"/>
        <w:spacing w:before="315" w:after="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who knowingly possesses stolen property is presumed to possess it with intent to benefit himself or herself or a person other than an owner thereof or to impede its recovery by an owner thereof.</w:t>
      </w:r>
      <w:r>
        <w:rPr>
          <w:rFonts w:ascii="Arial" w:hAnsi="Arial" w:eastAsia="Arial"/>
          <w:strike w:val="false"/>
          <w:color w:val="000000"/>
          <w:spacing w:val="-2"/>
          <w:w w:val="100"/>
          <w:sz w:val="28"/>
          <w:vertAlign w:val="superscript"/>
          <w:lang w:val="en-US"/>
        </w:rPr>
        <w:t xml:space="preserve">7</w:t>
      </w:r>
      <w:r>
        <w:rPr>
          <w:rFonts w:ascii="Arial" w:hAnsi="Arial" w:eastAsia="Arial"/>
          <w:strike w:val="false"/>
          <w:color w:val="000000"/>
          <w:spacing w:val="-2"/>
          <w:w w:val="100"/>
          <w:sz w:val="28"/>
          <w:vertAlign w:val="baseline"/>
          <w:lang w:val="en-US"/>
        </w:rPr>
        <w:t xml:space="preserve"> This means that, if the People have proven beyond a reasonable doubt that the defendant knowingly possessed stolen property, you may, but you are not required to, infer from that fact that the defendant possessed it with the intent to benefit himself/herself or a person other than an owner thereof or to impede its recovery by an owner thereof.</w:t>
      </w:r>
    </w:p>
    <w:p>
      <w:pPr>
        <w:pageBreakBefore w:val="false"/>
        <w:spacing w:before="323" w:after="1737" w:line="325" w:lineRule="exact"/>
        <w:ind w:right="0" w:left="720" w:firstLine="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An OWNER means a person having a right to possession</w:t>
      </w:r>
    </w:p>
    <w:p>
      <w:pPr>
        <w:pageBreakBefore w:val="false"/>
        <w:spacing w:before="264" w:after="0" w:line="276" w:lineRule="exact"/>
        <w:ind w:right="144" w:left="0" w:firstLine="720"/>
        <w:jc w:val="left"/>
        <w:textAlignment w:val="baseline"/>
        <w:rPr>
          <w:rFonts w:ascii="Arial" w:hAnsi="Arial" w:eastAsia="Arial"/>
          <w:strike w:val="false"/>
          <w:color w:val="000000"/>
          <w:spacing w:val="0"/>
          <w:w w:val="100"/>
          <w:sz w:val="14"/>
          <w:vertAlign w:val="superscript"/>
          <w:lang w:val="en-US"/>
        </w:rPr>
      </w:pPr>
      <w:r>
        <w:pict>
          <v:line strokeweight="1.2pt" strokecolor="#000000" from="107.85pt,549.1pt" to="252.05pt,549.1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155.00(1), for the full definition of "property." If the property in issue is "computer data" or a "computer program," and those terms need to be defined for the jury, see Penal Law § 156.00(2) and (3).</w:t>
      </w:r>
    </w:p>
    <w:p>
      <w:pPr>
        <w:pageBreakBefore w:val="false"/>
        <w:spacing w:before="233"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See Penal Law § 155.05(1).</w:t>
      </w:r>
    </w:p>
    <w:p>
      <w:pPr>
        <w:pageBreakBefore w:val="false"/>
        <w:spacing w:before="242"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See Penal Law § 15.05(1).</w:t>
      </w:r>
    </w:p>
    <w:p>
      <w:pPr>
        <w:pageBreakBefore w:val="false"/>
        <w:spacing w:before="238"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7</w:t>
      </w:r>
      <w:r>
        <w:rPr>
          <w:rFonts w:ascii="Arial" w:hAnsi="Arial" w:eastAsia="Arial"/>
          <w:strike w:val="false"/>
          <w:color w:val="000000"/>
          <w:spacing w:val="0"/>
          <w:w w:val="100"/>
          <w:sz w:val="24"/>
          <w:vertAlign w:val="baseline"/>
          <w:lang w:val="en-US"/>
        </w:rPr>
        <w:t xml:space="preserve"> See Penal Law § 165.55(1).</w:t>
      </w:r>
    </w:p>
    <w:p>
      <w:pPr>
        <w:sectPr>
          <w:footerReference w:type="default" r:id="fId0"/>
          <w:type w:val="nextPage"/>
          <w:pgSz w:w="12240" w:h="15840" w:orient="portrait"/>
          <w:pgMar w:bottom="1307" w:top="1400" w:right="2143" w:left="2157" w:header="720" w:footer="1493"/>
          <w:titlePg w:val="false"/>
          <w:textDirection w:val="lrTb"/>
        </w:sectPr>
      </w:pPr>
    </w:p>
    <w:p>
      <w:pPr>
        <w:pageBreakBefore w:val="false"/>
        <w:spacing w:before="37" w:after="0" w:line="325" w:lineRule="exact"/>
        <w:ind w:right="0" w:left="0" w:firstLine="0"/>
        <w:jc w:val="center"/>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of the property superior to that of the person who possesses it.</w:t>
      </w:r>
      <w:r>
        <w:rPr>
          <w:rFonts w:ascii="Arial" w:hAnsi="Arial" w:eastAsia="Arial"/>
          <w:strike w:val="false"/>
          <w:color w:val="000000"/>
          <w:spacing w:val="-2"/>
          <w:w w:val="100"/>
          <w:sz w:val="28"/>
          <w:vertAlign w:val="superscript"/>
          <w:lang w:val="en-US"/>
        </w:rPr>
        <w:t xml:space="preserve">8</w:t>
      </w:r>
      <w:r>
        <w:rPr>
          <w:rFonts w:ascii="Arial" w:hAnsi="Arial" w:eastAsia="Arial"/>
          <w:strike w:val="false"/>
          <w:color w:val="000000"/>
          <w:spacing w:val="-2"/>
          <w:w w:val="100"/>
          <w:sz w:val="17"/>
          <w:vertAlign w:val="baseline"/>
          <w:lang w:val="en-US"/>
        </w:rPr>
        <w:t xml:space="preserve">
</w:t>
      </w:r>
    </w:p>
    <w:p>
      <w:pPr>
        <w:pageBreakBefore w:val="false"/>
        <w:spacing w:before="661" w:after="0" w:line="317" w:lineRule="exact"/>
        <w:ind w:right="0" w:left="0" w:firstLine="0"/>
        <w:jc w:val="left"/>
        <w:textAlignment w:val="baseline"/>
        <w:rPr>
          <w:rFonts w:ascii="Arial" w:hAnsi="Arial" w:eastAsia="Arial"/>
          <w:i w:val="true"/>
          <w:strike w:val="false"/>
          <w:color w:val="000000"/>
          <w:spacing w:val="3"/>
          <w:w w:val="100"/>
          <w:sz w:val="28"/>
          <w:vertAlign w:val="baseline"/>
          <w:lang w:val="en-US"/>
        </w:rPr>
      </w:pPr>
      <w:r>
        <w:rPr>
          <w:rFonts w:ascii="Arial" w:hAnsi="Arial" w:eastAsia="Arial"/>
          <w:i w:val="true"/>
          <w:strike w:val="false"/>
          <w:color w:val="000000"/>
          <w:spacing w:val="3"/>
          <w:w w:val="100"/>
          <w:sz w:val="28"/>
          <w:vertAlign w:val="baseline"/>
          <w:lang w:val="en-US"/>
        </w:rPr>
        <w:t xml:space="preserve">[NOTE: Add if appropriate:</w:t>
      </w:r>
    </w:p>
    <w:p>
      <w:pPr>
        <w:pageBreakBefore w:val="false"/>
        <w:spacing w:before="0" w:after="0" w:line="321"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not a defense to this charge:</w:t>
      </w:r>
    </w:p>
    <w:p>
      <w:pPr>
        <w:pageBreakBefore w:val="false"/>
        <w:spacing w:before="331" w:after="0" w:line="317"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0" w:after="0" w:line="322"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person who stole the property has not been</w:t>
      </w:r>
    </w:p>
    <w:p>
      <w:pPr>
        <w:pageBreakBefore w:val="false"/>
        <w:spacing w:before="0" w:after="0" w:line="322" w:lineRule="exact"/>
        <w:ind w:right="0" w:left="72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convicted, apprehended, or identified.</w:t>
      </w:r>
      <w:r>
        <w:rPr>
          <w:rFonts w:ascii="Arial" w:hAnsi="Arial" w:eastAsia="Arial"/>
          <w:strike w:val="false"/>
          <w:color w:val="000000"/>
          <w:spacing w:val="-1"/>
          <w:w w:val="100"/>
          <w:sz w:val="28"/>
          <w:vertAlign w:val="superscript"/>
          <w:lang w:val="en-US"/>
        </w:rPr>
        <w:t xml:space="preserve">9</w:t>
      </w:r>
      <w:r>
        <w:rPr>
          <w:rFonts w:ascii="Arial" w:hAnsi="Arial" w:eastAsia="Arial"/>
          <w:strike w:val="false"/>
          <w:color w:val="000000"/>
          <w:spacing w:val="-1"/>
          <w:w w:val="100"/>
          <w:sz w:val="17"/>
          <w:vertAlign w:val="baseline"/>
          <w:lang w:val="en-US"/>
        </w:rPr>
        <w:t xml:space="preserve">
</w:t>
      </w:r>
    </w:p>
    <w:p>
      <w:pPr>
        <w:pageBreakBefore w:val="false"/>
        <w:spacing w:before="330" w:after="0" w:line="317" w:lineRule="exact"/>
        <w:ind w:right="0" w:left="720" w:firstLine="0"/>
        <w:jc w:val="left"/>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and/or</w:t>
      </w:r>
    </w:p>
    <w:p>
      <w:pPr>
        <w:pageBreakBefore w:val="false"/>
        <w:spacing w:before="0" w:after="0" w:line="322" w:lineRule="exact"/>
        <w:ind w:right="0" w:left="144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the defendant stole or participated in the theft of</w:t>
      </w:r>
    </w:p>
    <w:p>
      <w:pPr>
        <w:pageBreakBefore w:val="false"/>
        <w:spacing w:before="0" w:after="0" w:line="323" w:lineRule="exact"/>
        <w:ind w:right="0" w:left="720" w:firstLine="0"/>
        <w:jc w:val="left"/>
        <w:textAlignment w:val="baseline"/>
        <w:rPr>
          <w:rFonts w:ascii="Arial" w:hAnsi="Arial" w:eastAsia="Arial"/>
          <w:strike w:val="false"/>
          <w:color w:val="000000"/>
          <w:spacing w:val="-7"/>
          <w:w w:val="100"/>
          <w:sz w:val="28"/>
          <w:vertAlign w:val="baseline"/>
          <w:lang w:val="en-US"/>
        </w:rPr>
      </w:pPr>
      <w:r>
        <w:rPr>
          <w:rFonts w:ascii="Arial" w:hAnsi="Arial" w:eastAsia="Arial"/>
          <w:strike w:val="false"/>
          <w:color w:val="000000"/>
          <w:spacing w:val="-7"/>
          <w:w w:val="100"/>
          <w:sz w:val="28"/>
          <w:vertAlign w:val="baseline"/>
          <w:lang w:val="en-US"/>
        </w:rPr>
        <w:t xml:space="preserve">the property.</w:t>
      </w:r>
      <w:r>
        <w:rPr>
          <w:rFonts w:ascii="Arial" w:hAnsi="Arial" w:eastAsia="Arial"/>
          <w:strike w:val="false"/>
          <w:color w:val="000000"/>
          <w:spacing w:val="-7"/>
          <w:w w:val="100"/>
          <w:sz w:val="28"/>
          <w:vertAlign w:val="superscript"/>
          <w:lang w:val="en-US"/>
        </w:rPr>
        <w:t xml:space="preserve">10</w:t>
      </w:r>
      <w:r>
        <w:rPr>
          <w:rFonts w:ascii="Arial" w:hAnsi="Arial" w:eastAsia="Arial"/>
          <w:strike w:val="false"/>
          <w:color w:val="000000"/>
          <w:spacing w:val="-7"/>
          <w:w w:val="100"/>
          <w:sz w:val="17"/>
          <w:vertAlign w:val="baseline"/>
          <w:lang w:val="en-US"/>
        </w:rPr>
        <w:t xml:space="preserve">
</w:t>
      </w:r>
    </w:p>
    <w:p>
      <w:pPr>
        <w:pageBreakBefore w:val="false"/>
        <w:spacing w:before="330" w:after="0" w:line="317" w:lineRule="exact"/>
        <w:ind w:right="0" w:left="720" w:firstLine="0"/>
        <w:jc w:val="left"/>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and/or</w:t>
      </w:r>
    </w:p>
    <w:p>
      <w:pPr>
        <w:pageBreakBefore w:val="false"/>
        <w:spacing w:before="1" w:after="0" w:line="325" w:lineRule="exact"/>
        <w:ind w:right="0" w:left="144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the theft of the property did not occur within this</w:t>
      </w:r>
    </w:p>
    <w:p>
      <w:pPr>
        <w:pageBreakBefore w:val="false"/>
        <w:spacing w:before="0" w:after="0" w:line="323" w:lineRule="exact"/>
        <w:ind w:right="0" w:left="720" w:firstLine="0"/>
        <w:jc w:val="left"/>
        <w:textAlignment w:val="baseline"/>
        <w:rPr>
          <w:rFonts w:ascii="Arial" w:hAnsi="Arial" w:eastAsia="Arial"/>
          <w:strike w:val="false"/>
          <w:color w:val="000000"/>
          <w:spacing w:val="-13"/>
          <w:w w:val="100"/>
          <w:sz w:val="28"/>
          <w:vertAlign w:val="baseline"/>
          <w:lang w:val="en-US"/>
        </w:rPr>
      </w:pPr>
      <w:r>
        <w:rPr>
          <w:rFonts w:ascii="Arial" w:hAnsi="Arial" w:eastAsia="Arial"/>
          <w:strike w:val="false"/>
          <w:color w:val="000000"/>
          <w:spacing w:val="-13"/>
          <w:w w:val="100"/>
          <w:sz w:val="28"/>
          <w:vertAlign w:val="baseline"/>
          <w:lang w:val="en-US"/>
        </w:rPr>
        <w:t xml:space="preserve">state.)]</w:t>
      </w:r>
      <w:r>
        <w:rPr>
          <w:rFonts w:ascii="Arial" w:hAnsi="Arial" w:eastAsia="Arial"/>
          <w:strike w:val="false"/>
          <w:color w:val="000000"/>
          <w:spacing w:val="-13"/>
          <w:w w:val="100"/>
          <w:sz w:val="28"/>
          <w:vertAlign w:val="superscript"/>
          <w:lang w:val="en-US"/>
        </w:rPr>
        <w:t xml:space="preserve">11</w:t>
      </w:r>
      <w:r>
        <w:rPr>
          <w:rFonts w:ascii="Arial" w:hAnsi="Arial" w:eastAsia="Arial"/>
          <w:strike w:val="false"/>
          <w:color w:val="000000"/>
          <w:spacing w:val="-13"/>
          <w:w w:val="100"/>
          <w:sz w:val="17"/>
          <w:vertAlign w:val="baseline"/>
          <w:lang w:val="en-US"/>
        </w:rPr>
        <w:t xml:space="preserve">
</w:t>
      </w:r>
    </w:p>
    <w:p>
      <w:pPr>
        <w:pageBreakBefore w:val="false"/>
        <w:spacing w:before="324"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17"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knowingly possessed stolen property;</w:t>
      </w:r>
    </w:p>
    <w:p>
      <w:pPr>
        <w:pageBreakBefore w:val="false"/>
        <w:numPr>
          <w:ilvl w:val="0"/>
          <w:numId w:val="1"/>
        </w:numPr>
        <w:tabs>
          <w:tab w:val="clear" w:pos="720"/>
          <w:tab w:val="left" w:pos="1440"/>
        </w:tabs>
        <w:spacing w:before="324" w:after="409"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benefit himself/herself or a person other than the owner of</w:t>
      </w:r>
    </w:p>
    <w:p>
      <w:pPr>
        <w:pageBreakBefore w:val="false"/>
        <w:tabs>
          <w:tab w:val="left" w:leader="none" w:pos="648"/>
        </w:tabs>
        <w:spacing w:before="301" w:after="0" w:line="223" w:lineRule="exact"/>
        <w:ind w:right="72" w:left="0" w:firstLine="360"/>
        <w:jc w:val="left"/>
        <w:textAlignment w:val="baseline"/>
        <w:rPr>
          <w:rFonts w:ascii="Arial" w:hAnsi="Arial" w:eastAsia="Arial"/>
          <w:strike w:val="false"/>
          <w:color w:val="000000"/>
          <w:spacing w:val="0"/>
          <w:w w:val="100"/>
          <w:sz w:val="14"/>
          <w:vertAlign w:val="baseline"/>
          <w:lang w:val="en-US"/>
        </w:rPr>
      </w:pPr>
      <w:r>
        <w:pict>
          <v:line strokeweight="0.95pt" strokecolor="#000000" from="108pt,546.5pt" to="252.05pt,546.5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8	</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155.00(5), which has been modified for this crime.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p>
      <w:pPr>
        <w:pageBreakBefore w:val="false"/>
        <w:spacing w:before="277" w:after="0" w:line="223" w:lineRule="exact"/>
        <w:ind w:right="0" w:left="360" w:firstLine="0"/>
        <w:jc w:val="left"/>
        <w:textAlignment w:val="baseline"/>
        <w:rPr>
          <w:rFonts w:ascii="Arial" w:hAnsi="Arial" w:eastAsia="Arial"/>
          <w:strike w:val="false"/>
          <w:color w:val="000000"/>
          <w:spacing w:val="3"/>
          <w:w w:val="100"/>
          <w:sz w:val="14"/>
          <w:vertAlign w:val="baseline"/>
          <w:lang w:val="en-US"/>
        </w:rPr>
      </w:pPr>
      <w:r>
        <w:rPr>
          <w:rFonts w:ascii="Arial" w:hAnsi="Arial" w:eastAsia="Arial"/>
          <w:strike w:val="false"/>
          <w:color w:val="000000"/>
          <w:spacing w:val="3"/>
          <w:w w:val="100"/>
          <w:sz w:val="14"/>
          <w:vertAlign w:val="baseline"/>
          <w:lang w:val="en-US"/>
        </w:rPr>
        <w:t xml:space="preserve">9 </w:t>
      </w:r>
      <w:r>
        <w:rPr>
          <w:rFonts w:ascii="Arial" w:hAnsi="Arial" w:eastAsia="Arial"/>
          <w:i w:val="true"/>
          <w:strike w:val="false"/>
          <w:color w:val="000000"/>
          <w:spacing w:val="3"/>
          <w:w w:val="100"/>
          <w:sz w:val="19"/>
          <w:vertAlign w:val="baseline"/>
          <w:lang w:val="en-US"/>
        </w:rPr>
        <w:t xml:space="preserve">See </w:t>
      </w:r>
      <w:r>
        <w:rPr>
          <w:rFonts w:ascii="Arial" w:hAnsi="Arial" w:eastAsia="Arial"/>
          <w:strike w:val="false"/>
          <w:color w:val="000000"/>
          <w:spacing w:val="3"/>
          <w:w w:val="100"/>
          <w:sz w:val="19"/>
          <w:vertAlign w:val="baseline"/>
          <w:lang w:val="en-US"/>
        </w:rPr>
        <w:t xml:space="preserve">Penal Law § 165.60(1).</w:t>
      </w:r>
    </w:p>
    <w:p>
      <w:pPr>
        <w:pageBreakBefore w:val="false"/>
        <w:spacing w:before="296" w:after="0" w:line="223" w:lineRule="exact"/>
        <w:ind w:right="0" w:left="360" w:firstLine="0"/>
        <w:jc w:val="left"/>
        <w:textAlignment w:val="baseline"/>
        <w:rPr>
          <w:rFonts w:ascii="Arial" w:hAnsi="Arial" w:eastAsia="Arial"/>
          <w:strike w:val="false"/>
          <w:color w:val="000000"/>
          <w:spacing w:val="3"/>
          <w:w w:val="100"/>
          <w:sz w:val="14"/>
          <w:vertAlign w:val="baseline"/>
          <w:lang w:val="en-US"/>
        </w:rPr>
      </w:pPr>
      <w:r>
        <w:rPr>
          <w:rFonts w:ascii="Arial" w:hAnsi="Arial" w:eastAsia="Arial"/>
          <w:strike w:val="false"/>
          <w:color w:val="000000"/>
          <w:spacing w:val="3"/>
          <w:w w:val="100"/>
          <w:sz w:val="14"/>
          <w:vertAlign w:val="baseline"/>
          <w:lang w:val="en-US"/>
        </w:rPr>
        <w:t xml:space="preserve">10 </w:t>
      </w:r>
      <w:r>
        <w:rPr>
          <w:rFonts w:ascii="Arial" w:hAnsi="Arial" w:eastAsia="Arial"/>
          <w:i w:val="true"/>
          <w:strike w:val="false"/>
          <w:color w:val="000000"/>
          <w:spacing w:val="3"/>
          <w:w w:val="100"/>
          <w:sz w:val="19"/>
          <w:vertAlign w:val="baseline"/>
          <w:lang w:val="en-US"/>
        </w:rPr>
        <w:t xml:space="preserve">See </w:t>
      </w:r>
      <w:r>
        <w:rPr>
          <w:rFonts w:ascii="Arial" w:hAnsi="Arial" w:eastAsia="Arial"/>
          <w:strike w:val="false"/>
          <w:color w:val="000000"/>
          <w:spacing w:val="3"/>
          <w:w w:val="100"/>
          <w:sz w:val="19"/>
          <w:vertAlign w:val="baseline"/>
          <w:lang w:val="en-US"/>
        </w:rPr>
        <w:t xml:space="preserve">Penal Law § 165.60(2).</w:t>
      </w:r>
    </w:p>
    <w:p>
      <w:pPr>
        <w:pageBreakBefore w:val="false"/>
        <w:tabs>
          <w:tab w:val="left" w:leader="none" w:pos="648"/>
        </w:tabs>
        <w:spacing w:before="290" w:after="0" w:line="223" w:lineRule="exact"/>
        <w:ind w:right="0" w:left="360" w:firstLine="0"/>
        <w:jc w:val="left"/>
        <w:textAlignment w:val="baseline"/>
        <w:rPr>
          <w:rFonts w:ascii="Arial" w:hAnsi="Arial" w:eastAsia="Arial"/>
          <w:strike w:val="false"/>
          <w:color w:val="000000"/>
          <w:spacing w:val="1"/>
          <w:w w:val="100"/>
          <w:sz w:val="14"/>
          <w:vertAlign w:val="baseline"/>
          <w:lang w:val="en-US"/>
        </w:rPr>
      </w:pPr>
      <w:r>
        <w:rPr>
          <w:rFonts w:ascii="Arial" w:hAnsi="Arial" w:eastAsia="Arial"/>
          <w:strike w:val="false"/>
          <w:color w:val="000000"/>
          <w:spacing w:val="1"/>
          <w:w w:val="100"/>
          <w:sz w:val="14"/>
          <w:vertAlign w:val="baseline"/>
          <w:lang w:val="en-US"/>
        </w:rPr>
        <w:t xml:space="preserve">11	</w:t>
      </w:r>
      <w:r>
        <w:rPr>
          <w:rFonts w:ascii="Arial" w:hAnsi="Arial" w:eastAsia="Arial"/>
          <w:i w:val="true"/>
          <w:strike w:val="false"/>
          <w:color w:val="000000"/>
          <w:spacing w:val="1"/>
          <w:w w:val="100"/>
          <w:sz w:val="19"/>
          <w:vertAlign w:val="baseline"/>
          <w:lang w:val="en-US"/>
        </w:rPr>
        <w:t xml:space="preserve">See </w:t>
      </w:r>
      <w:r>
        <w:rPr>
          <w:rFonts w:ascii="Arial" w:hAnsi="Arial" w:eastAsia="Arial"/>
          <w:strike w:val="false"/>
          <w:color w:val="000000"/>
          <w:spacing w:val="1"/>
          <w:w w:val="100"/>
          <w:sz w:val="19"/>
          <w:vertAlign w:val="baseline"/>
          <w:lang w:val="en-US"/>
        </w:rPr>
        <w:t xml:space="preserve">Penal Law § 165.60(3).</w:t>
      </w:r>
    </w:p>
    <w:p>
      <w:pPr>
        <w:sectPr>
          <w:type w:val="nextPage"/>
          <w:pgSz w:w="12240" w:h="15840" w:orient="portrait"/>
          <w:pgMar w:bottom="1307" w:top="1400" w:right="2140" w:left="2160" w:header="720" w:footer="1488"/>
          <w:titlePg w:val="false"/>
          <w:textDirection w:val="lrTb"/>
        </w:sectPr>
      </w:pPr>
    </w:p>
    <w:p>
      <w:pPr>
        <w:pageBreakBefore w:val="false"/>
        <w:spacing w:before="0" w:after="0" w:line="326"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such property or to impede the recovery of such property by its owner; and</w:t>
      </w:r>
    </w:p>
    <w:p>
      <w:pPr>
        <w:pageBreakBefore w:val="false"/>
        <w:tabs>
          <w:tab w:val="right" w:leader="none" w:pos="7920"/>
        </w:tabs>
        <w:spacing w:before="330" w:after="0" w:line="318"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w:t>
      </w:r>
      <w:r>
        <w:rPr>
          <w:rFonts w:ascii="Arial" w:hAnsi="Arial" w:eastAsia="Arial"/>
          <w:strike w:val="false"/>
          <w:color w:val="000000"/>
          <w:spacing w:val="0"/>
          <w:w w:val="100"/>
          <w:sz w:val="28"/>
          <w:vertAlign w:val="baseline"/>
          <w:lang w:val="en-US"/>
        </w:rPr>
        <w:t xml:space="preserve">That the stolen property consisted of anhydrous</w:t>
      </w:r>
    </w:p>
    <w:p>
      <w:pPr>
        <w:pageBreakBefore w:val="false"/>
        <w:spacing w:before="4" w:after="0" w:line="323"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ammonia or liquified ammonia gas which the defendant intended to use, or knew that another person intended to use, to manufacture methamphetamine.</w:t>
      </w:r>
    </w:p>
    <w:p>
      <w:pPr>
        <w:pageBreakBefore w:val="false"/>
        <w:spacing w:before="644"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15" w:after="0" w:line="327"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corroboration requirement of Penal Law § 165.65 applies, a corroboration charge must be given.]</w:t>
      </w:r>
    </w:p>
    <w:sectPr>
      <w:type w:val="nextPage"/>
      <w:pgSz w:w="12240" w:h="15840" w:orient="portrait"/>
      <w:pgMar w:bottom="1316" w:top="1440" w:right="2143" w:left="2157" w:header="720" w:footer="149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9"/>
      </w:tabs>
      <w:spacing w:before="0" w:after="0" w:line="273"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