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AN ANTI-SECURITY ITEM</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170.47</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1983)</w:t>
      </w:r>
    </w:p>
    <w:p>
      <w:pPr>
        <w:pageBreakBefore w:val="false"/>
        <w:spacing w:before="64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an Anti-security Item.</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Criminal Possession of an Anti-security Item when with intent to steal property at a retail mercantile establishment,</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28"/>
          <w:vertAlign w:val="baseline"/>
          <w:lang w:val="en-US"/>
        </w:rPr>
        <w:t xml:space="preserve"> he or she knowingly possesses in such an establishment an item designed for the purpose of overcoming detection of security markings or attachments placed on property offered for sale at such an establishment.</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RETAIL MERCANTILE ESTABLISHMENT is a place where goods, wares or merchandise are offered to the public for sale.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steal property at a retail mercantile establishment when 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343"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17"/>
          <w:vertAlign w:val="baseline"/>
          <w:lang w:val="en-US"/>
        </w:rPr>
        <w:t xml:space="preserve">
</w:t>
      </w:r>
    </w:p>
    <w:p>
      <w:pPr>
        <w:pageBreakBefore w:val="false"/>
        <w:spacing w:before="257" w:after="0" w:line="279"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61.35pt" to="252.05pt,561.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charge omits the statutory language “as defined in article twelve-B of the general business law.”</w:t>
      </w:r>
    </w:p>
    <w:p>
      <w:pPr>
        <w:pageBreakBefore w:val="false"/>
        <w:spacing w:before="230" w:after="0" w:line="279"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Gen. Bus. Law § 217.</w:t>
      </w:r>
    </w:p>
    <w:p>
      <w:pPr>
        <w:pageBreakBefore w:val="false"/>
        <w:spacing w:before="238" w:after="0" w:line="279"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p>
      <w:pPr>
        <w:pageBreakBefore w:val="false"/>
        <w:spacing w:before="233" w:after="0" w:line="279" w:lineRule="exact"/>
        <w:ind w:right="0" w:left="0" w:firstLine="0"/>
        <w:jc w:val="both"/>
        <w:textAlignment w:val="baseline"/>
        <w:rPr>
          <w:rFonts w:ascii="Arial" w:hAnsi="Arial" w:eastAsia="Arial"/>
          <w:color w:val="000000"/>
          <w:spacing w:val="-4"/>
          <w:w w:val="100"/>
          <w:sz w:val="14"/>
          <w:vertAlign w:val="superscript"/>
          <w:lang w:val="en-US"/>
        </w:rPr>
      </w:pPr>
      <w:r>
        <w:rPr>
          <w:rFonts w:ascii="Arial" w:hAnsi="Arial" w:eastAsia="Arial"/>
          <w:color w:val="000000"/>
          <w:spacing w:val="-4"/>
          <w:w w:val="100"/>
          <w:sz w:val="14"/>
          <w:vertAlign w:val="superscript"/>
          <w:lang w:val="en-US"/>
        </w:rPr>
        <w:t xml:space="preserve">4</w:t>
      </w:r>
      <w:r>
        <w:rPr>
          <w:rFonts w:ascii="Arial" w:hAnsi="Arial" w:eastAsia="Arial"/>
          <w:color w:val="000000"/>
          <w:spacing w:val="-4"/>
          <w:w w:val="100"/>
          <w:sz w:val="24"/>
          <w:vertAlign w:val="baseline"/>
          <w:lang w:val="en-US"/>
        </w:rPr>
        <w:t xml:space="preserve"> Penal Law § 10.00(8). If necessary, an expanded definition of “possession”</w:t>
      </w:r>
    </w:p>
    <w:p>
      <w:pPr>
        <w:pageBreakBefore w:val="false"/>
        <w:spacing w:before="1" w:after="0" w:line="279" w:lineRule="exact"/>
        <w:ind w:right="0"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(continued...)</w:t>
      </w:r>
    </w:p>
    <w:p>
      <w:pPr>
        <w:sectPr>
          <w:type w:val="nextPage"/>
          <w:pgSz w:w="12240" w:h="15840" w:orient="portrait"/>
          <w:pgMar w:bottom="102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possesses an item designed for the purpose of overcoming detection of security markings or attachments when that person is aware that he or she is in possession of such an item.</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22" w:after="0" w:line="325"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color w:val="000000"/>
          <w:spacing w:val="-2"/>
          <w:w w:val="100"/>
          <w:sz w:val="28"/>
          <w:u w:val="single"/>
          <w:vertAlign w:val="baseline"/>
          <w:lang w:val="en-US"/>
        </w:rPr>
        <w:t xml:space="preserve"> (date) </w:t>
      </w:r>
      <w:r>
        <w:rPr>
          <w:rFonts w:ascii="Arial" w:hAnsi="Arial" w:eastAsia="Arial"/>
          <w:color w:val="000000"/>
          <w:spacing w:val="-2"/>
          <w:w w:val="100"/>
          <w:sz w:val="28"/>
          <w:vertAlign w:val="baseline"/>
          <w:lang w:val="en-US"/>
        </w:rPr>
        <w:t xml:space="preserve"> , in the county of </w:t>
      </w:r>
      <w:r>
        <w:rPr>
          <w:rFonts w:ascii="Arial" w:hAnsi="Arial" w:eastAsia="Arial"/>
          <w:color w:val="000000"/>
          <w:spacing w:val="-2"/>
          <w:w w:val="100"/>
          <w:sz w:val="28"/>
          <w:u w:val="single"/>
          <w:vertAlign w:val="baseline"/>
          <w:lang w:val="en-US"/>
        </w:rPr>
        <w:t xml:space="preserve"> (county) </w:t>
      </w:r>
      <w:r>
        <w:rPr>
          <w:rFonts w:ascii="Arial" w:hAnsi="Arial" w:eastAsia="Arial"/>
          <w:color w:val="000000"/>
          <w:spacing w:val="-2"/>
          <w:w w:val="100"/>
          <w:sz w:val="28"/>
          <w:vertAlign w:val="baseline"/>
          <w:lang w:val="en-US"/>
        </w:rPr>
        <w:t xml:space="preserve"> , the defendant, </w:t>
      </w:r>
      <w:r>
        <w:rPr>
          <w:rFonts w:ascii="Arial" w:hAnsi="Arial" w:eastAsia="Arial"/>
          <w:color w:val="000000"/>
          <w:spacing w:val="-2"/>
          <w:w w:val="100"/>
          <w:sz w:val="28"/>
          <w:u w:val="single"/>
          <w:vertAlign w:val="baseline"/>
          <w:lang w:val="en-US"/>
        </w:rPr>
        <w:t xml:space="preserve"> (defendant's name)</w:t>
      </w:r>
      <w:r>
        <w:rPr>
          <w:rFonts w:ascii="Arial" w:hAnsi="Arial" w:eastAsia="Arial"/>
          <w:color w:val="000000"/>
          <w:spacing w:val="-2"/>
          <w:w w:val="100"/>
          <w:sz w:val="28"/>
          <w:vertAlign w:val="baseline"/>
          <w:lang w:val="en-US"/>
        </w:rPr>
        <w:t xml:space="preserve"> , knowingly possessed in a retail mercantile establishment an item designed for the purpose of overcoming detection of security markings or attachments placed on property offered for sale at such an establishment; and</w:t>
      </w:r>
    </w:p>
    <w:p>
      <w:pPr>
        <w:pageBreakBefore w:val="false"/>
        <w:numPr>
          <w:ilvl w:val="0"/>
          <w:numId w:val="1"/>
        </w:numPr>
        <w:tabs>
          <w:tab w:val="clear" w:pos="720"/>
          <w:tab w:val="left" w:pos="1440"/>
        </w:tabs>
        <w:spacing w:before="320"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steal property at such retail mercantile establishment.</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1652"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4" w:after="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75pt,609.6pt" to="252.05pt,609.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(...continued)</w:t>
      </w:r>
    </w:p>
    <w:p>
      <w:pPr>
        <w:pageBreakBefore w:val="false"/>
        <w:spacing w:before="2" w:after="0" w:line="277" w:lineRule="exact"/>
        <w:ind w:right="0" w:left="0" w:firstLine="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is available in the section on Instructions of General Applicability under</w:t>
      </w:r>
    </w:p>
    <w:p>
      <w:pPr>
        <w:pageBreakBefore w:val="false"/>
        <w:spacing w:before="2" w:after="0" w:line="277" w:lineRule="exact"/>
        <w:ind w:right="0" w:left="0"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Possession.</w:t>
      </w:r>
    </w:p>
    <w:p>
      <w:pPr>
        <w:pageBreakBefore w:val="false"/>
        <w:spacing w:before="239"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pageBreakBefore w:val="false"/>
        <w:spacing w:before="241"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sectPr>
      <w:type w:val="nextPage"/>
      <w:pgSz w:w="12240" w:h="15840" w:orient="portrait"/>
      <w:pgMar w:bottom="584" w:top="176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