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footerfId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an Order of Protection;</w:t>
        <w:br/>
      </w:r>
      <w:r>
        <w:rPr>
          <w:rFonts w:ascii="Arial" w:hAnsi="Arial" w:eastAsia="Arial"/>
          <w:b w:val="true"/>
          <w:strike w:val="false"/>
          <w:color w:val="000000"/>
          <w:spacing w:val="0"/>
          <w:w w:val="100"/>
          <w:sz w:val="28"/>
          <w:vertAlign w:val="baseline"/>
          <w:lang w:val="en-US"/>
        </w:rPr>
        <w:t xml:space="preserve">Menacing or Threat)</w:t>
        <w:br/>
      </w:r>
      <w:r>
        <w:rPr>
          <w:rFonts w:ascii="Arial" w:hAnsi="Arial" w:eastAsia="Arial"/>
          <w:b w:val="true"/>
          <w:strike w:val="false"/>
          <w:color w:val="000000"/>
          <w:spacing w:val="0"/>
          <w:w w:val="100"/>
          <w:sz w:val="28"/>
          <w:vertAlign w:val="baseline"/>
          <w:lang w:val="en-US"/>
        </w:rPr>
        <w:t xml:space="preserve">PENAL LAW 215.51(b)(i)</w:t>
        <w:br/>
      </w:r>
      <w:r>
        <w:rPr>
          <w:rFonts w:ascii="Arial" w:hAnsi="Arial" w:eastAsia="Arial"/>
          <w:b w:val="true"/>
          <w:strike w:val="false"/>
          <w:color w:val="000000"/>
          <w:spacing w:val="0"/>
          <w:w w:val="100"/>
          <w:sz w:val="28"/>
          <w:vertAlign w:val="baseline"/>
          <w:lang w:val="en-US"/>
        </w:rPr>
        <w:t xml:space="preserve">(Committed on or after Sept. 1, 1996)</w:t>
      </w:r>
    </w:p>
    <w:p>
      <w:pPr>
        <w:pageBreakBefore w:val="false"/>
        <w:spacing w:before="64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First Degree.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 he or she intentionally places or attempts to place a person for whose protection such order was issued in reasonable fear of physical injury, serious physical injury, or death by displaying a deadly weapon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dangerous instrument]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what appears to be a pistol, revolver, rifle, shotgun, machine gun or other firearm] or by means of a threat or threats.</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4" w:after="0" w:line="31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5" w:after="527"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defendant INTENTIONALLY places or attempts to place a person for whose protection an order was issued in reasonable</w:t>
      </w:r>
    </w:p>
    <w:p>
      <w:pPr>
        <w:pageBreakBefore w:val="false"/>
        <w:spacing w:before="22" w:after="0" w:line="514" w:lineRule="exact"/>
        <w:ind w:right="72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 </w:t>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Penal Law § 10.00(10).</w:t>
      </w:r>
    </w:p>
    <w:p>
      <w:pPr>
        <w:sectPr>
          <w:footerReference w:type="even" r:id="fId0"/>
          <w:type w:val="nextPage"/>
          <w:pgSz w:w="12240" w:h="15840" w:orient="portrait"/>
          <w:pgMar w:bottom="1004" w:top="1440" w:right="2140" w:left="2160" w:header="720" w:footer="1383"/>
          <w:titlePg w:val="tru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fear of physical injury, serious physical injury, or death when that defendant’s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DEADLY WEAPON means any loaded weapon from which a shot, readily capable of producing death or other serious physical injury, may be discharged.</w:t>
      </w:r>
    </w:p>
    <w:p>
      <w:pPr>
        <w:pageBreakBefore w:val="false"/>
        <w:spacing w:before="321" w:after="0" w:line="325"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319"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 gravity knife defined as any knife having a blade which is released from the handle or sheath thereof by the force of gravity or the application of centrifugal force which, when released, is locked in place by means of a button, spring, lever or other device.]</w:t>
      </w:r>
    </w:p>
    <w:p>
      <w:pPr>
        <w:pageBreakBefore w:val="false"/>
        <w:spacing w:before="317"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330" w:after="0" w:line="325"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 dagger]</w:t>
      </w:r>
    </w:p>
    <w:p>
      <w:pPr>
        <w:pageBreakBefore w:val="false"/>
        <w:spacing w:before="0" w:after="0" w:line="322" w:lineRule="exact"/>
        <w:ind w:right="0" w:left="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a billy]</w:t>
      </w:r>
    </w:p>
    <w:p>
      <w:pPr>
        <w:pageBreakBefore w:val="false"/>
        <w:spacing w:before="0" w:after="0" w:line="321"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 blackjack]</w:t>
      </w:r>
    </w:p>
    <w:p>
      <w:pPr>
        <w:pageBreakBefore w:val="false"/>
        <w:spacing w:before="2" w:after="0" w:line="325"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metal knuckles]</w:t>
      </w:r>
    </w:p>
    <w:p>
      <w:pPr>
        <w:pageBreakBefore w:val="false"/>
        <w:spacing w:before="1" w:after="0" w:line="325"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 metal knuckles knife].</w:t>
      </w:r>
    </w:p>
    <w:p>
      <w:pPr>
        <w:pageBreakBefore w:val="false"/>
        <w:spacing w:before="317" w:after="121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[DANGEROUS INSTRUMENT means any instrument, article or substance (including a vehicle) which, under the circumstances in which it is used, attempted to be used, or threatened to be used, is readily capable of causing death or other serious physical injury. Under that definition, death or other</w:t>
      </w:r>
    </w:p>
    <w:p>
      <w:pPr>
        <w:pageBreakBefore w:val="false"/>
        <w:spacing w:before="259"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type w:val="nextPage"/>
          <w:pgSz w:w="12240" w:h="15840" w:orient="portrait"/>
          <w:pgMar w:bottom="1314" w:top="1440" w:right="2143" w:left="2157" w:header="720" w:footer="1488"/>
          <w:titlePg w:val="false"/>
          <w:textDirection w:val="lrTb"/>
        </w:sectPr>
      </w:pPr>
    </w:p>
    <w:p>
      <w:pPr>
        <w:pageBreakBefore w:val="false"/>
        <w:spacing w:before="37" w:after="0" w:line="32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need not, in fact, be caused.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16"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[The element that the person DISPLAYS WHAT APPEARS TO BE A PISTOL, REVOLVER, RIFLE, SHOTGUN, MACHINE GUN OR OTHER FIREARM does not require the People to prove that the object displayed was actually a firearm. What the People are required to prove is that the person consciously displayed, or manifested the presence of, something that could reasonably be perceived as a pistol, revolver, rifle, shotgun, machine gun or other firearm and that the person to whom the item was displayed or manifested perceived it as a pistol, revolver, rifle, shotgun, machine gun or other firearm.</w:t>
      </w:r>
      <w:r>
        <w:rPr>
          <w:rFonts w:ascii="Arial" w:hAnsi="Arial" w:eastAsia="Arial"/>
          <w:strike w:val="false"/>
          <w:color w:val="000000"/>
          <w:spacing w:val="-3"/>
          <w:w w:val="100"/>
          <w:sz w:val="28"/>
          <w:vertAlign w:val="superscript"/>
          <w:lang w:val="en-US"/>
        </w:rPr>
        <w:t xml:space="preserve">5</w:t>
      </w:r>
      <w:r>
        <w:rPr>
          <w:rFonts w:ascii="Arial" w:hAnsi="Arial" w:eastAsia="Arial"/>
          <w:strike w:val="false"/>
          <w:color w:val="000000"/>
          <w:spacing w:val="-3"/>
          <w:w w:val="100"/>
          <w:sz w:val="28"/>
          <w:vertAlign w:val="baseline"/>
          <w:lang w:val="en-US"/>
        </w:rPr>
        <w:t xml:space="preserve">]</w:t>
      </w:r>
    </w:p>
    <w:p>
      <w:pPr>
        <w:pageBreakBefore w:val="false"/>
        <w:spacing w:before="324"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19"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720"/>
          <w:tab w:val="left" w:pos="1440"/>
        </w:tabs>
        <w:spacing w:before="324"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17" w:after="419"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in violation of that order, placed or attempted to place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in reasonable fear of physical injury, serious physical injury, or death by displaying a deadly weapon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dangerous instrument]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what appeared to be a pistol, revolver, rifle, shotgun, machine gun or other</w:t>
      </w:r>
    </w:p>
    <w:p>
      <w:pPr>
        <w:pageBreakBefore w:val="false"/>
        <w:spacing w:before="258"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pt,628.55pt" to="252.05pt,628.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Penal Law § 10.00(13).</w:t>
      </w:r>
    </w:p>
    <w:p>
      <w:pPr>
        <w:pageBreakBefore w:val="false"/>
        <w:spacing w:before="246" w:after="0" w:line="276" w:lineRule="exact"/>
        <w:ind w:right="576"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See People v. Lopez</w:t>
      </w:r>
      <w:r>
        <w:rPr>
          <w:rFonts w:ascii="Arial" w:hAnsi="Arial" w:eastAsia="Arial"/>
          <w:strike w:val="false"/>
          <w:color w:val="000000"/>
          <w:spacing w:val="0"/>
          <w:w w:val="100"/>
          <w:sz w:val="24"/>
          <w:vertAlign w:val="baseline"/>
          <w:lang w:val="en-US"/>
        </w:rPr>
        <w:t xml:space="preserve">, 73 NY2d 214 (1989); </w:t>
      </w:r>
      <w:r>
        <w:rPr>
          <w:rFonts w:ascii="Arial" w:hAnsi="Arial" w:eastAsia="Arial"/>
          <w:i w:val="true"/>
          <w:strike w:val="false"/>
          <w:color w:val="000000"/>
          <w:spacing w:val="0"/>
          <w:w w:val="100"/>
          <w:sz w:val="24"/>
          <w:vertAlign w:val="baseline"/>
          <w:lang w:val="en-US"/>
        </w:rPr>
        <w:t xml:space="preserve">People v. Baskerville</w:t>
      </w:r>
      <w:r>
        <w:rPr>
          <w:rFonts w:ascii="Arial" w:hAnsi="Arial" w:eastAsia="Arial"/>
          <w:strike w:val="false"/>
          <w:color w:val="000000"/>
          <w:spacing w:val="0"/>
          <w:w w:val="100"/>
          <w:sz w:val="24"/>
          <w:vertAlign w:val="baseline"/>
          <w:lang w:val="en-US"/>
        </w:rPr>
        <w:t xml:space="preserve">, 60 NY2d 374 (1983).</w:t>
      </w:r>
    </w:p>
    <w:p>
      <w:pPr>
        <w:pageBreakBefore w:val="false"/>
        <w:spacing w:before="244"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w:t>
      </w:r>
    </w:p>
    <w:p>
      <w:pPr>
        <w:sectPr>
          <w:type w:val="nextPage"/>
          <w:pgSz w:w="12240" w:h="15840" w:orient="portrait"/>
          <w:pgMar w:bottom="1024" w:top="1400" w:right="2126" w:left="2156" w:header="720" w:footer="1429"/>
          <w:titlePg w:val="false"/>
          <w:textDirection w:val="lrTb"/>
        </w:sectPr>
      </w:pPr>
    </w:p>
    <w:p>
      <w:pPr>
        <w:pageBreakBefore w:val="false"/>
        <w:spacing w:before="8"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firearm] or by means of a threat or threats; and</w:t>
      </w:r>
    </w:p>
    <w:p>
      <w:pPr>
        <w:pageBreakBefore w:val="false"/>
        <w:tabs>
          <w:tab w:val="left" w:leader="none" w:pos="1440"/>
        </w:tabs>
        <w:spacing w:before="334"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4.	</w:t>
      </w: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footerReference w:type="even" r:id="fId1"/>
      <w:footerReference w:type="first" r:id="fId2"/>
      <w:type w:val="nextPage"/>
      <w:pgSz w:w="12240" w:h="15840" w:orient="portrait"/>
      <w:pgMar w:bottom="1045" w:top="1440" w:right="2136" w:left="2146" w:header="720" w:footer="1218"/>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76"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footerfId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72"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tru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fId2" Type="http://schemas.openxmlformats.org/officeDocument/2006/relationships/footer" Target="footerfId2.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