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4AA55" w14:textId="77777777" w:rsidR="00D46121" w:rsidRDefault="00A91374">
      <w:pPr>
        <w:spacing w:before="1"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SALE OF A CONTROLLED SUBSTANCE </w:t>
      </w:r>
      <w:r>
        <w:rPr>
          <w:rFonts w:ascii="Arial" w:eastAsia="Arial" w:hAnsi="Arial"/>
          <w:b/>
          <w:color w:val="000000"/>
          <w:sz w:val="28"/>
        </w:rPr>
        <w:br/>
        <w:t xml:space="preserve">IN THE FIRST DEGREE </w:t>
      </w:r>
      <w:r>
        <w:rPr>
          <w:rFonts w:ascii="Arial" w:eastAsia="Arial" w:hAnsi="Arial"/>
          <w:b/>
          <w:color w:val="000000"/>
          <w:sz w:val="28"/>
        </w:rPr>
        <w:br/>
        <w:t xml:space="preserve">(Two [2] Ounces or More </w:t>
      </w:r>
      <w:r>
        <w:rPr>
          <w:rFonts w:ascii="Arial" w:eastAsia="Arial" w:hAnsi="Arial"/>
          <w:b/>
          <w:color w:val="000000"/>
          <w:sz w:val="28"/>
        </w:rPr>
        <w:br/>
        <w:t xml:space="preserve">Containing a Narcotic Drug) </w:t>
      </w:r>
      <w:r>
        <w:rPr>
          <w:rFonts w:ascii="Arial" w:eastAsia="Arial" w:hAnsi="Arial"/>
          <w:b/>
          <w:color w:val="000000"/>
          <w:sz w:val="28"/>
        </w:rPr>
        <w:br/>
        <w:t xml:space="preserve">Penal Law § 220.43(1) </w:t>
      </w:r>
      <w:r>
        <w:rPr>
          <w:rFonts w:ascii="Arial" w:eastAsia="Arial" w:hAnsi="Arial"/>
          <w:b/>
          <w:color w:val="000000"/>
          <w:sz w:val="28"/>
        </w:rPr>
        <w:br/>
        <w:t xml:space="preserve">(Committed on or after June 10, 1995) </w:t>
      </w:r>
      <w:r>
        <w:rPr>
          <w:rFonts w:ascii="Arial" w:eastAsia="Arial" w:hAnsi="Arial"/>
          <w:b/>
          <w:color w:val="000000"/>
          <w:sz w:val="28"/>
        </w:rPr>
        <w:br/>
        <w:t>(Revised April 4, 2003)</w:t>
      </w:r>
      <w:r>
        <w:rPr>
          <w:rFonts w:ascii="Arial" w:eastAsia="Arial" w:hAnsi="Arial"/>
          <w:b/>
          <w:color w:val="000000"/>
          <w:sz w:val="28"/>
          <w:vertAlign w:val="superscript"/>
        </w:rPr>
        <w:t>1</w:t>
      </w:r>
      <w:r>
        <w:rPr>
          <w:rFonts w:ascii="Arial" w:eastAsia="Arial" w:hAnsi="Arial"/>
          <w:b/>
          <w:color w:val="000000"/>
          <w:sz w:val="17"/>
        </w:rPr>
        <w:t xml:space="preserve"> </w:t>
      </w:r>
    </w:p>
    <w:p w14:paraId="3974AA56" w14:textId="77777777" w:rsidR="00D46121" w:rsidRDefault="00A91374">
      <w:pPr>
        <w:spacing w:before="327" w:line="324"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Sale of a Controlled Substance in the First Degree.</w:t>
      </w:r>
    </w:p>
    <w:p w14:paraId="3974AA57" w14:textId="77777777" w:rsidR="00D46121" w:rsidRDefault="00A91374">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Criminal Sale of a Controlled Substance in the First Degree when that person knowingly and unlawfully sells one or more preparations, compounds, mi</w:t>
      </w:r>
      <w:r>
        <w:rPr>
          <w:rFonts w:ascii="Arial" w:eastAsia="Arial" w:hAnsi="Arial"/>
          <w:color w:val="000000"/>
          <w:sz w:val="28"/>
        </w:rPr>
        <w:t>xtures or substances containing a narcotic drug and the preparations, compounds, mixtures or substances are of an aggregate weight of two [2] ounces or more.</w:t>
      </w:r>
    </w:p>
    <w:p w14:paraId="3974AA58" w14:textId="77777777" w:rsidR="00D46121" w:rsidRDefault="00A91374">
      <w:pPr>
        <w:spacing w:before="347" w:line="309"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r>
        <w:rPr>
          <w:rFonts w:ascii="Arial" w:eastAsia="Arial" w:hAnsi="Arial"/>
          <w:color w:val="000000"/>
          <w:sz w:val="28"/>
          <w:vertAlign w:val="superscript"/>
        </w:rPr>
        <w:t>2</w:t>
      </w:r>
      <w:r>
        <w:rPr>
          <w:rFonts w:ascii="Arial" w:eastAsia="Arial" w:hAnsi="Arial"/>
          <w:color w:val="000000"/>
          <w:sz w:val="17"/>
        </w:rPr>
        <w:t xml:space="preserve"> </w:t>
      </w:r>
    </w:p>
    <w:p w14:paraId="3974AA59" w14:textId="77777777" w:rsidR="00D46121" w:rsidRDefault="00A91374">
      <w:pPr>
        <w:spacing w:before="329" w:line="324" w:lineRule="exact"/>
        <w:ind w:left="720"/>
        <w:textAlignment w:val="baseline"/>
        <w:rPr>
          <w:rFonts w:ascii="Arial" w:eastAsia="Arial" w:hAnsi="Arial"/>
          <w:color w:val="000000"/>
          <w:spacing w:val="-1"/>
          <w:sz w:val="28"/>
        </w:rPr>
      </w:pPr>
      <w:r>
        <w:rPr>
          <w:rFonts w:ascii="Arial" w:eastAsia="Arial" w:hAnsi="Arial"/>
          <w:color w:val="000000"/>
          <w:spacing w:val="-1"/>
          <w:sz w:val="28"/>
        </w:rPr>
        <w:t>The term NARCOTIC DRUG inclu</w:t>
      </w:r>
      <w:r>
        <w:rPr>
          <w:rFonts w:ascii="Arial" w:eastAsia="Arial" w:hAnsi="Arial"/>
          <w:color w:val="000000"/>
          <w:spacing w:val="-1"/>
          <w:sz w:val="28"/>
        </w:rPr>
        <w:t xml:space="preserve">des </w:t>
      </w:r>
      <w:r>
        <w:rPr>
          <w:rFonts w:ascii="Arial" w:eastAsia="Arial" w:hAnsi="Arial"/>
          <w:i/>
          <w:color w:val="000000"/>
          <w:spacing w:val="-1"/>
          <w:sz w:val="23"/>
          <w:u w:val="single"/>
        </w:rPr>
        <w:t xml:space="preserve"> (specify) </w:t>
      </w:r>
      <w:r>
        <w:rPr>
          <w:rFonts w:ascii="Arial" w:eastAsia="Arial" w:hAnsi="Arial"/>
          <w:color w:val="000000"/>
          <w:spacing w:val="-1"/>
          <w:sz w:val="28"/>
        </w:rPr>
        <w:t xml:space="preserve"> .</w:t>
      </w:r>
      <w:r>
        <w:rPr>
          <w:rFonts w:ascii="Arial" w:eastAsia="Arial" w:hAnsi="Arial"/>
          <w:color w:val="000000"/>
          <w:spacing w:val="-1"/>
          <w:sz w:val="17"/>
        </w:rPr>
        <w:t>3</w:t>
      </w:r>
    </w:p>
    <w:p w14:paraId="3974AA5A" w14:textId="77777777" w:rsidR="00D46121" w:rsidRDefault="00A91374">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3974AA5B" w14:textId="77777777" w:rsidR="00D46121" w:rsidRDefault="00A91374">
      <w:pPr>
        <w:spacing w:before="2" w:after="778" w:line="324"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[Sell also includes an offer or agreement to sell even if actual delivery does not occur, provided that, at the time of the offer or agreement, the person has the intent and ability to make the sale. An intent is a conscious objective or purpose. Thus, a p</w:t>
      </w:r>
      <w:r>
        <w:rPr>
          <w:rFonts w:ascii="Arial" w:eastAsia="Arial" w:hAnsi="Arial"/>
          <w:color w:val="000000"/>
          <w:spacing w:val="-1"/>
          <w:sz w:val="28"/>
        </w:rPr>
        <w:t>erson acts with intent to sell when that person's conscious</w:t>
      </w:r>
    </w:p>
    <w:p w14:paraId="3974AA5C" w14:textId="77777777" w:rsidR="00D46121" w:rsidRDefault="00A91374">
      <w:pPr>
        <w:spacing w:before="257" w:line="276" w:lineRule="exact"/>
        <w:jc w:val="both"/>
        <w:textAlignment w:val="baseline"/>
        <w:rPr>
          <w:rFonts w:ascii="Arial" w:eastAsia="Arial" w:hAnsi="Arial"/>
          <w:color w:val="000000"/>
          <w:sz w:val="14"/>
          <w:vertAlign w:val="superscript"/>
        </w:rPr>
      </w:pPr>
      <w:r>
        <w:pict w14:anchorId="3974AA72">
          <v:line id="_x0000_s1027" style="position:absolute;left:0;text-align:left;z-index:251657216;mso-position-horizontal-relative:page;mso-position-vertical-relative:page" from="108pt,600.95pt" to="252.05pt,600.95pt" strokeweight="1.2pt">
            <w10:wrap anchorx="page" anchory="page"/>
          </v:line>
        </w:pict>
      </w:r>
      <w:r>
        <w:rPr>
          <w:rFonts w:ascii="Arial" w:eastAsia="Arial" w:hAnsi="Arial"/>
          <w:color w:val="000000"/>
          <w:sz w:val="14"/>
          <w:vertAlign w:val="superscript"/>
        </w:rPr>
        <w:t>1</w:t>
      </w:r>
      <w:r>
        <w:rPr>
          <w:rFonts w:ascii="Arial" w:eastAsia="Arial" w:hAnsi="Arial"/>
          <w:color w:val="000000"/>
          <w:sz w:val="24"/>
        </w:rPr>
        <w:t xml:space="preserve"> The revision was for the purpose of re-defining the term “sale” as it applied to an offer or agreement to sell.</w:t>
      </w:r>
    </w:p>
    <w:p w14:paraId="3974AA5D" w14:textId="77777777" w:rsidR="00D46121" w:rsidRDefault="00A91374">
      <w:pPr>
        <w:spacing w:before="243" w:line="276"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color w:val="000000"/>
          <w:sz w:val="24"/>
        </w:rPr>
        <w:t xml:space="preserve"> Where necessary, include the definition of "ounce" which means "an avoirdupois </w:t>
      </w:r>
      <w:r>
        <w:rPr>
          <w:rFonts w:ascii="Arial" w:eastAsia="Arial" w:hAnsi="Arial"/>
          <w:color w:val="000000"/>
          <w:sz w:val="24"/>
        </w:rPr>
        <w:t>ounce as applied to solids or semi-solids, and a fluid ounce as applied to liquids." Penal Law § 220.00(3).</w:t>
      </w:r>
    </w:p>
    <w:p w14:paraId="3974AA5E" w14:textId="77777777" w:rsidR="00D46121" w:rsidRDefault="00A91374">
      <w:pPr>
        <w:spacing w:before="239"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i/>
          <w:color w:val="000000"/>
          <w:sz w:val="24"/>
        </w:rPr>
        <w:t xml:space="preserve"> See </w:t>
      </w:r>
      <w:r>
        <w:rPr>
          <w:rFonts w:ascii="Arial" w:eastAsia="Arial" w:hAnsi="Arial"/>
          <w:color w:val="000000"/>
          <w:sz w:val="24"/>
        </w:rPr>
        <w:t>Penal Law § 220.00(7).</w:t>
      </w:r>
    </w:p>
    <w:p w14:paraId="3974AA5F" w14:textId="77777777" w:rsidR="00D46121" w:rsidRDefault="00D46121">
      <w:pPr>
        <w:sectPr w:rsidR="00D46121">
          <w:pgSz w:w="12240" w:h="15840"/>
          <w:pgMar w:top="1440" w:right="2140" w:bottom="1004" w:left="2160" w:header="720" w:footer="720" w:gutter="0"/>
          <w:cols w:space="720"/>
        </w:sectPr>
      </w:pPr>
    </w:p>
    <w:p w14:paraId="3974AA60" w14:textId="77777777" w:rsidR="00D46121" w:rsidRDefault="00A91374">
      <w:pPr>
        <w:spacing w:before="44" w:line="318" w:lineRule="exact"/>
        <w:textAlignment w:val="baseline"/>
        <w:rPr>
          <w:rFonts w:ascii="Arial" w:eastAsia="Arial" w:hAnsi="Arial"/>
          <w:color w:val="000000"/>
          <w:spacing w:val="-1"/>
          <w:sz w:val="28"/>
        </w:rPr>
      </w:pPr>
      <w:r>
        <w:rPr>
          <w:rFonts w:ascii="Arial" w:eastAsia="Arial" w:hAnsi="Arial"/>
          <w:color w:val="000000"/>
          <w:spacing w:val="-1"/>
          <w:sz w:val="28"/>
        </w:rPr>
        <w:lastRenderedPageBreak/>
        <w:t>objective or purpose is to sell.]</w:t>
      </w:r>
      <w:r>
        <w:rPr>
          <w:rFonts w:ascii="Arial" w:eastAsia="Arial" w:hAnsi="Arial"/>
          <w:color w:val="000000"/>
          <w:spacing w:val="-1"/>
          <w:sz w:val="28"/>
          <w:vertAlign w:val="superscript"/>
        </w:rPr>
        <w:t>4</w:t>
      </w:r>
      <w:r>
        <w:rPr>
          <w:rFonts w:ascii="Arial" w:eastAsia="Arial" w:hAnsi="Arial"/>
          <w:color w:val="000000"/>
          <w:spacing w:val="-1"/>
          <w:sz w:val="17"/>
        </w:rPr>
        <w:t xml:space="preserve"> </w:t>
      </w:r>
    </w:p>
    <w:p w14:paraId="3974AA61" w14:textId="77777777" w:rsidR="00D46121" w:rsidRDefault="00A91374">
      <w:pPr>
        <w:spacing w:before="332" w:line="322"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KNOWINGLY sells a substance containing </w:t>
      </w:r>
      <w:r>
        <w:rPr>
          <w:rFonts w:ascii="Arial" w:eastAsia="Arial" w:hAnsi="Arial"/>
          <w:i/>
          <w:color w:val="000000"/>
          <w:sz w:val="23"/>
          <w:u w:val="single"/>
        </w:rPr>
        <w:t xml:space="preserve">(specify) </w:t>
      </w:r>
      <w:r>
        <w:rPr>
          <w:rFonts w:ascii="Arial" w:eastAsia="Arial" w:hAnsi="Arial"/>
          <w:color w:val="000000"/>
          <w:sz w:val="28"/>
        </w:rPr>
        <w:t xml:space="preserve"> when that person is aware that he or she is selling a substance which contains </w:t>
      </w:r>
      <w:r>
        <w:rPr>
          <w:rFonts w:ascii="Arial" w:eastAsia="Arial" w:hAnsi="Arial"/>
          <w:i/>
          <w:color w:val="000000"/>
          <w:sz w:val="23"/>
          <w:u w:val="single"/>
        </w:rPr>
        <w:t xml:space="preserve"> (specify) </w:t>
      </w:r>
      <w:r>
        <w:rPr>
          <w:rFonts w:ascii="Arial" w:eastAsia="Arial" w:hAnsi="Arial"/>
          <w:color w:val="000000"/>
          <w:sz w:val="28"/>
        </w:rPr>
        <w:t xml:space="preserve"> .</w:t>
      </w:r>
      <w:r>
        <w:rPr>
          <w:rFonts w:ascii="Arial" w:eastAsia="Arial" w:hAnsi="Arial"/>
          <w:color w:val="000000"/>
          <w:sz w:val="17"/>
        </w:rPr>
        <w:t>5</w:t>
      </w:r>
    </w:p>
    <w:p w14:paraId="3974AA62" w14:textId="77777777" w:rsidR="00D46121" w:rsidRDefault="00A91374">
      <w:pPr>
        <w:spacing w:before="330"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UNLAWFULLY sells </w:t>
      </w:r>
      <w:r>
        <w:rPr>
          <w:rFonts w:ascii="Arial" w:eastAsia="Arial" w:hAnsi="Arial"/>
          <w:i/>
          <w:color w:val="000000"/>
          <w:sz w:val="23"/>
          <w:u w:val="single"/>
        </w:rPr>
        <w:t xml:space="preserve"> (specify) </w:t>
      </w:r>
      <w:r>
        <w:rPr>
          <w:rFonts w:ascii="Arial" w:eastAsia="Arial" w:hAnsi="Arial"/>
          <w:color w:val="000000"/>
          <w:sz w:val="28"/>
        </w:rPr>
        <w:t xml:space="preserve"> when that person has no legal right to sell it.</w:t>
      </w:r>
      <w:r>
        <w:rPr>
          <w:rFonts w:ascii="Arial" w:eastAsia="Arial" w:hAnsi="Arial"/>
          <w:color w:val="000000"/>
          <w:sz w:val="28"/>
          <w:vertAlign w:val="superscript"/>
        </w:rPr>
        <w:t>6</w:t>
      </w:r>
      <w:r>
        <w:rPr>
          <w:rFonts w:ascii="Arial" w:eastAsia="Arial" w:hAnsi="Arial"/>
          <w:color w:val="000000"/>
          <w:sz w:val="28"/>
        </w:rPr>
        <w:t xml:space="preserve"> Under our law, with certain exceptions not applicable here, a person has no legal right to sell </w:t>
      </w:r>
      <w:r>
        <w:rPr>
          <w:rFonts w:ascii="Arial" w:eastAsia="Arial" w:hAnsi="Arial"/>
          <w:i/>
          <w:color w:val="000000"/>
          <w:sz w:val="23"/>
          <w:u w:val="single"/>
        </w:rPr>
        <w:t xml:space="preserve">(specify) </w:t>
      </w:r>
      <w:r>
        <w:rPr>
          <w:rFonts w:ascii="Arial" w:eastAsia="Arial" w:hAnsi="Arial"/>
          <w:color w:val="000000"/>
          <w:sz w:val="28"/>
        </w:rPr>
        <w:t xml:space="preserve"> .</w:t>
      </w:r>
    </w:p>
    <w:p w14:paraId="3974AA63" w14:textId="77777777" w:rsidR="00D46121" w:rsidRDefault="00A91374">
      <w:pPr>
        <w:spacing w:before="328" w:line="322" w:lineRule="exact"/>
        <w:ind w:firstLine="720"/>
        <w:jc w:val="both"/>
        <w:textAlignment w:val="baseline"/>
        <w:rPr>
          <w:rFonts w:ascii="Arial" w:eastAsia="Arial" w:hAnsi="Arial"/>
          <w:color w:val="000000"/>
          <w:sz w:val="28"/>
        </w:rPr>
      </w:pPr>
      <w:r>
        <w:rPr>
          <w:rFonts w:ascii="Arial" w:eastAsia="Arial" w:hAnsi="Arial"/>
          <w:color w:val="000000"/>
          <w:sz w:val="28"/>
        </w:rPr>
        <w:t xml:space="preserve">AGGREGATE WEIGHT refers to the weight of the substance which contains the </w:t>
      </w:r>
      <w:r>
        <w:rPr>
          <w:rFonts w:ascii="Arial" w:eastAsia="Arial" w:hAnsi="Arial"/>
          <w:i/>
          <w:color w:val="000000"/>
          <w:sz w:val="23"/>
          <w:u w:val="single"/>
        </w:rPr>
        <w:t xml:space="preserve"> (specify)</w:t>
      </w:r>
      <w:r>
        <w:rPr>
          <w:rFonts w:ascii="Arial" w:eastAsia="Arial" w:hAnsi="Arial"/>
          <w:color w:val="000000"/>
          <w:sz w:val="28"/>
        </w:rPr>
        <w:t xml:space="preserve">, irrespective of the amount of the </w:t>
      </w:r>
      <w:r>
        <w:rPr>
          <w:rFonts w:ascii="Arial" w:eastAsia="Arial" w:hAnsi="Arial"/>
          <w:i/>
          <w:color w:val="000000"/>
          <w:sz w:val="23"/>
          <w:u w:val="single"/>
        </w:rPr>
        <w:t xml:space="preserve"> (specify) </w:t>
      </w:r>
      <w:r>
        <w:rPr>
          <w:rFonts w:ascii="Arial" w:eastAsia="Arial" w:hAnsi="Arial"/>
          <w:color w:val="000000"/>
          <w:sz w:val="28"/>
        </w:rPr>
        <w:t xml:space="preserve"> actually in th</w:t>
      </w:r>
      <w:r>
        <w:rPr>
          <w:rFonts w:ascii="Arial" w:eastAsia="Arial" w:hAnsi="Arial"/>
          <w:color w:val="000000"/>
          <w:sz w:val="28"/>
        </w:rPr>
        <w:t>e substance.</w:t>
      </w:r>
      <w:r>
        <w:rPr>
          <w:rFonts w:ascii="Arial" w:eastAsia="Arial" w:hAnsi="Arial"/>
          <w:color w:val="000000"/>
          <w:sz w:val="28"/>
          <w:vertAlign w:val="superscript"/>
        </w:rPr>
        <w:t>7</w:t>
      </w:r>
      <w:r>
        <w:rPr>
          <w:rFonts w:ascii="Arial" w:eastAsia="Arial" w:hAnsi="Arial"/>
          <w:color w:val="000000"/>
          <w:sz w:val="17"/>
        </w:rPr>
        <w:t xml:space="preserve"> </w:t>
      </w:r>
    </w:p>
    <w:p w14:paraId="3974AA64" w14:textId="77777777" w:rsidR="00D46121" w:rsidRDefault="00A91374">
      <w:pPr>
        <w:spacing w:before="326"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each of the following three elements:</w:t>
      </w:r>
    </w:p>
    <w:p w14:paraId="3974AA65" w14:textId="77777777" w:rsidR="00D46121" w:rsidRDefault="00A91374">
      <w:pPr>
        <w:numPr>
          <w:ilvl w:val="0"/>
          <w:numId w:val="1"/>
        </w:numPr>
        <w:tabs>
          <w:tab w:val="clear" w:pos="720"/>
          <w:tab w:val="left" w:pos="1440"/>
        </w:tabs>
        <w:spacing w:before="326" w:line="324"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w:t>
      </w:r>
      <w:r>
        <w:rPr>
          <w:rFonts w:ascii="Arial" w:eastAsia="Arial" w:hAnsi="Arial"/>
          <w:i/>
          <w:color w:val="000000"/>
          <w:sz w:val="23"/>
          <w:u w:val="single"/>
        </w:rPr>
        <w:t xml:space="preserve">(county) </w:t>
      </w:r>
      <w:r>
        <w:rPr>
          <w:rFonts w:ascii="Arial" w:eastAsia="Arial" w:hAnsi="Arial"/>
          <w:color w:val="000000"/>
          <w:sz w:val="28"/>
        </w:rPr>
        <w:t xml:space="preserve"> , the defendant, </w:t>
      </w:r>
      <w:r>
        <w:rPr>
          <w:rFonts w:ascii="Arial" w:eastAsia="Arial" w:hAnsi="Arial"/>
          <w:i/>
          <w:color w:val="000000"/>
          <w:sz w:val="23"/>
          <w:u w:val="single"/>
        </w:rPr>
        <w:t xml:space="preserve"> (defendant's name) </w:t>
      </w:r>
      <w:r>
        <w:rPr>
          <w:rFonts w:ascii="Arial" w:eastAsia="Arial" w:hAnsi="Arial"/>
          <w:color w:val="000000"/>
          <w:sz w:val="28"/>
        </w:rPr>
        <w:t xml:space="preserve"> , sold one or more preparations, compounds, mixtures or substances containing </w:t>
      </w:r>
      <w:r>
        <w:rPr>
          <w:rFonts w:ascii="Arial" w:eastAsia="Arial" w:hAnsi="Arial"/>
          <w:i/>
          <w:color w:val="000000"/>
          <w:sz w:val="23"/>
          <w:u w:val="single"/>
        </w:rPr>
        <w:t>(specify)</w:t>
      </w:r>
      <w:r>
        <w:rPr>
          <w:rFonts w:ascii="Arial" w:eastAsia="Arial" w:hAnsi="Arial"/>
          <w:color w:val="000000"/>
          <w:sz w:val="28"/>
        </w:rPr>
        <w:t>;</w:t>
      </w:r>
    </w:p>
    <w:p w14:paraId="3974AA66" w14:textId="77777777" w:rsidR="00D46121" w:rsidRDefault="00A91374">
      <w:pPr>
        <w:numPr>
          <w:ilvl w:val="0"/>
          <w:numId w:val="1"/>
        </w:numPr>
        <w:tabs>
          <w:tab w:val="clear" w:pos="720"/>
          <w:tab w:val="left" w:pos="1440"/>
        </w:tabs>
        <w:spacing w:before="316" w:line="327"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 unlawfully; and</w:t>
      </w:r>
    </w:p>
    <w:p w14:paraId="3974AA67" w14:textId="77777777" w:rsidR="00D46121" w:rsidRDefault="00A91374">
      <w:pPr>
        <w:numPr>
          <w:ilvl w:val="0"/>
          <w:numId w:val="1"/>
        </w:numPr>
        <w:tabs>
          <w:tab w:val="clear" w:pos="720"/>
          <w:tab w:val="left" w:pos="1440"/>
        </w:tabs>
        <w:spacing w:before="327" w:after="368" w:line="321" w:lineRule="exact"/>
        <w:ind w:left="1440" w:hanging="720"/>
        <w:jc w:val="both"/>
        <w:textAlignment w:val="baseline"/>
        <w:rPr>
          <w:rFonts w:ascii="Arial" w:eastAsia="Arial" w:hAnsi="Arial"/>
          <w:color w:val="000000"/>
          <w:sz w:val="28"/>
        </w:rPr>
      </w:pPr>
      <w:r>
        <w:rPr>
          <w:rFonts w:ascii="Arial" w:eastAsia="Arial" w:hAnsi="Arial"/>
          <w:color w:val="000000"/>
          <w:sz w:val="28"/>
        </w:rPr>
        <w:t>That, in the aggregate, such substance weighed two [2] ounces o</w:t>
      </w:r>
      <w:r>
        <w:rPr>
          <w:rFonts w:ascii="Arial" w:eastAsia="Arial" w:hAnsi="Arial"/>
          <w:color w:val="000000"/>
          <w:sz w:val="28"/>
        </w:rPr>
        <w:t>r more.</w:t>
      </w:r>
    </w:p>
    <w:p w14:paraId="3974AA68" w14:textId="70DFE1A9" w:rsidR="00D46121" w:rsidRDefault="00A91374">
      <w:pPr>
        <w:spacing w:before="281" w:line="276" w:lineRule="exact"/>
        <w:textAlignment w:val="baseline"/>
        <w:rPr>
          <w:rFonts w:ascii="Arial" w:eastAsia="Arial" w:hAnsi="Arial"/>
          <w:color w:val="000000"/>
          <w:spacing w:val="-2"/>
          <w:sz w:val="14"/>
          <w:vertAlign w:val="superscript"/>
        </w:rPr>
      </w:pPr>
      <w:r>
        <w:pict w14:anchorId="3974AA73">
          <v:line id="_x0000_s1026" style="position:absolute;z-index:251658240;mso-position-horizontal-relative:page;mso-position-vertical-relative:page" from="107.5pt,560.9pt" to="252.05pt,560.9pt" strokeweight=".95pt">
            <w10:wrap anchorx="page" anchory="page"/>
          </v:line>
        </w:pict>
      </w:r>
      <w:r>
        <w:rPr>
          <w:rFonts w:ascii="Arial" w:eastAsia="Arial" w:hAnsi="Arial"/>
          <w:color w:val="000000"/>
          <w:spacing w:val="-2"/>
          <w:sz w:val="14"/>
          <w:vertAlign w:val="superscript"/>
        </w:rPr>
        <w:t>4</w:t>
      </w:r>
      <w:r>
        <w:rPr>
          <w:rFonts w:ascii="Arial" w:eastAsia="Arial" w:hAnsi="Arial"/>
          <w:i/>
          <w:color w:val="000000"/>
          <w:spacing w:val="-2"/>
          <w:sz w:val="26"/>
        </w:rPr>
        <w:t xml:space="preserve"> See </w:t>
      </w:r>
      <w:r>
        <w:rPr>
          <w:rFonts w:ascii="Arial" w:eastAsia="Arial" w:hAnsi="Arial"/>
          <w:color w:val="000000"/>
          <w:spacing w:val="-2"/>
          <w:sz w:val="26"/>
        </w:rPr>
        <w:t xml:space="preserve">Penal Law § 220.00(1); </w:t>
      </w:r>
      <w:r>
        <w:rPr>
          <w:rFonts w:ascii="Arial" w:eastAsia="Arial" w:hAnsi="Arial"/>
          <w:i/>
          <w:color w:val="000000"/>
          <w:spacing w:val="-2"/>
          <w:sz w:val="26"/>
        </w:rPr>
        <w:t>People v. Samuels</w:t>
      </w:r>
      <w:r>
        <w:rPr>
          <w:rFonts w:ascii="Arial" w:eastAsia="Arial" w:hAnsi="Arial"/>
          <w:color w:val="000000"/>
          <w:spacing w:val="-2"/>
          <w:sz w:val="26"/>
        </w:rPr>
        <w:t xml:space="preserve">, </w:t>
      </w:r>
      <w:r>
        <w:rPr>
          <w:rFonts w:ascii="Arial" w:eastAsia="Arial" w:hAnsi="Arial"/>
          <w:color w:val="000000"/>
          <w:spacing w:val="-2"/>
          <w:sz w:val="24"/>
        </w:rPr>
        <w:t>99</w:t>
      </w:r>
      <w:r>
        <w:rPr>
          <w:rFonts w:ascii="Arial" w:eastAsia="Arial" w:hAnsi="Arial"/>
          <w:color w:val="000000"/>
          <w:spacing w:val="-2"/>
          <w:sz w:val="24"/>
        </w:rPr>
        <w:t xml:space="preserve"> N.Y.2d 20 (2002).</w:t>
      </w:r>
    </w:p>
    <w:p w14:paraId="3974AA69" w14:textId="77777777" w:rsidR="00D46121" w:rsidRDefault="00A91374">
      <w:pPr>
        <w:spacing w:before="240" w:line="276"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 See </w:t>
      </w:r>
      <w:r>
        <w:rPr>
          <w:rFonts w:ascii="Arial" w:eastAsia="Arial" w:hAnsi="Arial"/>
          <w:color w:val="000000"/>
          <w:sz w:val="24"/>
        </w:rPr>
        <w:t>Penal Law § 15.05(2); Penal Law § 15.20(4). An expanded definition of “knowingly” is available in the General Charges section under Culpable Mental States.</w:t>
      </w:r>
    </w:p>
    <w:p w14:paraId="3974AA6A" w14:textId="77777777" w:rsidR="00D46121" w:rsidRDefault="00A91374">
      <w:pPr>
        <w:spacing w:before="239"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i/>
          <w:color w:val="000000"/>
          <w:sz w:val="24"/>
        </w:rPr>
        <w:t xml:space="preserve"> See </w:t>
      </w:r>
      <w:r>
        <w:rPr>
          <w:rFonts w:ascii="Arial" w:eastAsia="Arial" w:hAnsi="Arial"/>
          <w:color w:val="000000"/>
          <w:sz w:val="24"/>
        </w:rPr>
        <w:t>Penal Law § 220.00(2) and Public Health Law § 3396(1).</w:t>
      </w:r>
    </w:p>
    <w:p w14:paraId="3974AA6B" w14:textId="77777777" w:rsidR="00D46121" w:rsidRDefault="00A91374">
      <w:pPr>
        <w:spacing w:before="243"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7</w:t>
      </w:r>
      <w:r>
        <w:rPr>
          <w:rFonts w:ascii="Arial" w:eastAsia="Arial" w:hAnsi="Arial"/>
          <w:i/>
          <w:color w:val="000000"/>
          <w:sz w:val="24"/>
        </w:rPr>
        <w:t xml:space="preserve"> See People v Mendoza</w:t>
      </w:r>
      <w:r>
        <w:rPr>
          <w:rFonts w:ascii="Arial" w:eastAsia="Arial" w:hAnsi="Arial"/>
          <w:color w:val="000000"/>
          <w:sz w:val="24"/>
        </w:rPr>
        <w:t>, 81 NY2d 963, 965 (1993).</w:t>
      </w:r>
    </w:p>
    <w:p w14:paraId="3974AA6C" w14:textId="77777777" w:rsidR="00D46121" w:rsidRDefault="00A91374">
      <w:pPr>
        <w:spacing w:before="248" w:line="297" w:lineRule="exact"/>
        <w:jc w:val="center"/>
        <w:textAlignment w:val="baseline"/>
        <w:rPr>
          <w:rFonts w:ascii="Arial" w:eastAsia="Arial" w:hAnsi="Arial"/>
          <w:color w:val="000000"/>
          <w:sz w:val="26"/>
        </w:rPr>
      </w:pPr>
      <w:r>
        <w:rPr>
          <w:rFonts w:ascii="Arial" w:eastAsia="Arial" w:hAnsi="Arial"/>
          <w:color w:val="000000"/>
          <w:sz w:val="26"/>
        </w:rPr>
        <w:t>2</w:t>
      </w:r>
    </w:p>
    <w:p w14:paraId="3974AA6D" w14:textId="77777777" w:rsidR="00D46121" w:rsidRDefault="00D46121">
      <w:pPr>
        <w:sectPr w:rsidR="00D46121">
          <w:pgSz w:w="12240" w:h="15840"/>
          <w:pgMar w:top="1400" w:right="2150" w:bottom="1024" w:left="2150" w:header="720" w:footer="720" w:gutter="0"/>
          <w:cols w:space="720"/>
        </w:sectPr>
      </w:pPr>
    </w:p>
    <w:p w14:paraId="3974AA6E" w14:textId="77777777" w:rsidR="00D46121" w:rsidRDefault="00A91374">
      <w:pPr>
        <w:spacing w:before="2" w:line="326"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If you find the People have proven beyond a reasonable doubt each of those elements, you must find the defendant guilty of this crime.</w:t>
      </w:r>
    </w:p>
    <w:p w14:paraId="3974AA6F" w14:textId="77777777" w:rsidR="00D46121" w:rsidRDefault="00A91374">
      <w:pPr>
        <w:spacing w:before="318" w:after="10396"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w:t>
      </w:r>
      <w:r>
        <w:rPr>
          <w:rFonts w:ascii="Arial" w:eastAsia="Arial" w:hAnsi="Arial"/>
          <w:color w:val="000000"/>
          <w:sz w:val="28"/>
        </w:rPr>
        <w:t>endant not guilty of this crime.</w:t>
      </w:r>
    </w:p>
    <w:p w14:paraId="3974AA70" w14:textId="77777777" w:rsidR="00D46121" w:rsidRDefault="00D46121">
      <w:pPr>
        <w:spacing w:before="318" w:after="10396" w:line="326" w:lineRule="exact"/>
        <w:sectPr w:rsidR="00D46121">
          <w:pgSz w:w="12240" w:h="15840"/>
          <w:pgMar w:top="1440" w:right="2145" w:bottom="1024" w:left="2155" w:header="720" w:footer="720" w:gutter="0"/>
          <w:cols w:space="720"/>
        </w:sectPr>
      </w:pPr>
    </w:p>
    <w:p w14:paraId="3974AA71" w14:textId="77777777" w:rsidR="00D46121" w:rsidRDefault="00A91374">
      <w:pPr>
        <w:spacing w:line="288" w:lineRule="exact"/>
        <w:jc w:val="center"/>
        <w:textAlignment w:val="baseline"/>
        <w:rPr>
          <w:rFonts w:ascii="Arial" w:eastAsia="Arial" w:hAnsi="Arial"/>
          <w:color w:val="000000"/>
          <w:sz w:val="26"/>
        </w:rPr>
      </w:pPr>
      <w:r>
        <w:rPr>
          <w:rFonts w:ascii="Arial" w:eastAsia="Arial" w:hAnsi="Arial"/>
          <w:color w:val="000000"/>
          <w:sz w:val="26"/>
        </w:rPr>
        <w:t>3</w:t>
      </w:r>
    </w:p>
    <w:sectPr w:rsidR="00D46121">
      <w:type w:val="continuous"/>
      <w:pgSz w:w="12240" w:h="15840"/>
      <w:pgMar w:top="1440" w:right="2147" w:bottom="1024" w:left="2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65365"/>
    <w:multiLevelType w:val="multilevel"/>
    <w:tmpl w:val="203AA0CA"/>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46121"/>
    <w:rsid w:val="00A91374"/>
    <w:rsid w:val="00D4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74AA55"/>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2020-12-27T20:17:00Z</dcterms:created>
  <dcterms:modified xsi:type="dcterms:W3CDTF">2020-12-27T20:18:00Z</dcterms:modified>
</cp:coreProperties>
</file>