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B2BC" w14:textId="69B4B43F" w:rsidR="00401DBC" w:rsidRPr="00A82C17" w:rsidRDefault="00401DBC" w:rsidP="00A82C17">
      <w:pPr>
        <w:widowControl/>
        <w:spacing w:line="276" w:lineRule="auto"/>
        <w:jc w:val="center"/>
        <w:rPr>
          <w:rFonts w:ascii="Arial" w:eastAsia="Yu Gothic UI" w:hAnsi="Arial" w:cs="Arial"/>
          <w:b/>
          <w:bCs/>
          <w:sz w:val="28"/>
          <w:szCs w:val="28"/>
        </w:rPr>
      </w:pPr>
      <w:r w:rsidRPr="00A82C17">
        <w:rPr>
          <w:rFonts w:ascii="Arial" w:eastAsia="Yu Gothic UI" w:hAnsi="Arial" w:cs="Arial"/>
          <w:b/>
          <w:bCs/>
          <w:sz w:val="28"/>
          <w:szCs w:val="28"/>
        </w:rPr>
        <w:t xml:space="preserve">CRIMINAL SALE OF A CONTROLLED SUBSTANCE </w:t>
      </w:r>
    </w:p>
    <w:p w14:paraId="38ECC33E" w14:textId="77777777" w:rsidR="00401DBC" w:rsidRPr="00A82C17" w:rsidRDefault="00401DBC" w:rsidP="00A82C17">
      <w:pPr>
        <w:widowControl/>
        <w:spacing w:line="276" w:lineRule="auto"/>
        <w:jc w:val="center"/>
        <w:rPr>
          <w:rFonts w:ascii="Arial" w:eastAsia="Yu Gothic UI" w:hAnsi="Arial" w:cs="Arial"/>
          <w:b/>
          <w:bCs/>
          <w:sz w:val="28"/>
          <w:szCs w:val="28"/>
        </w:rPr>
      </w:pPr>
      <w:r w:rsidRPr="00A82C17">
        <w:rPr>
          <w:rFonts w:ascii="Arial" w:eastAsia="Yu Gothic UI" w:hAnsi="Arial" w:cs="Arial"/>
          <w:b/>
          <w:bCs/>
          <w:sz w:val="28"/>
          <w:szCs w:val="28"/>
        </w:rPr>
        <w:t>TO A CHILD</w:t>
      </w:r>
    </w:p>
    <w:p w14:paraId="6E0AFF68" w14:textId="77777777" w:rsidR="00401DBC" w:rsidRPr="00A82C17" w:rsidRDefault="00401DBC" w:rsidP="00A82C17">
      <w:pPr>
        <w:widowControl/>
        <w:spacing w:line="276" w:lineRule="auto"/>
        <w:jc w:val="center"/>
        <w:rPr>
          <w:rFonts w:ascii="Arial" w:eastAsia="Yu Gothic UI" w:hAnsi="Arial" w:cs="Arial"/>
          <w:b/>
          <w:bCs/>
          <w:sz w:val="28"/>
          <w:szCs w:val="28"/>
        </w:rPr>
      </w:pPr>
      <w:r w:rsidRPr="00A82C17">
        <w:rPr>
          <w:rFonts w:ascii="Arial" w:eastAsia="Yu Gothic UI" w:hAnsi="Arial" w:cs="Arial"/>
          <w:b/>
          <w:bCs/>
          <w:sz w:val="28"/>
          <w:szCs w:val="28"/>
        </w:rPr>
        <w:t xml:space="preserve">Penal Law </w:t>
      </w:r>
      <w:r w:rsidRPr="00A82C17">
        <w:rPr>
          <w:rFonts w:ascii="Arial" w:eastAsia="Yu Gothic UI" w:hAnsi="Arial" w:cs="Arial"/>
          <w:b/>
          <w:bCs/>
          <w:sz w:val="28"/>
          <w:szCs w:val="28"/>
        </w:rPr>
        <w:sym w:font="WP TypographicSymbols" w:char="0027"/>
      </w:r>
      <w:r w:rsidRPr="00A82C17">
        <w:rPr>
          <w:rFonts w:ascii="Arial" w:eastAsia="Yu Gothic UI" w:hAnsi="Arial" w:cs="Arial"/>
          <w:b/>
          <w:bCs/>
          <w:sz w:val="28"/>
          <w:szCs w:val="28"/>
        </w:rPr>
        <w:t xml:space="preserve"> 220.48</w:t>
      </w:r>
    </w:p>
    <w:p w14:paraId="36F52979" w14:textId="300B97F4" w:rsidR="00401DBC" w:rsidRDefault="00401DBC" w:rsidP="00A82C17">
      <w:pPr>
        <w:widowControl/>
        <w:spacing w:line="276" w:lineRule="auto"/>
        <w:jc w:val="center"/>
        <w:rPr>
          <w:rFonts w:ascii="Arial" w:eastAsia="Yu Gothic UI" w:hAnsi="Arial" w:cs="Arial"/>
          <w:b/>
          <w:bCs/>
          <w:sz w:val="28"/>
          <w:szCs w:val="28"/>
        </w:rPr>
      </w:pPr>
      <w:r w:rsidRPr="00A82C17">
        <w:rPr>
          <w:rFonts w:ascii="Arial" w:eastAsia="Yu Gothic UI" w:hAnsi="Arial" w:cs="Arial"/>
          <w:b/>
          <w:bCs/>
          <w:sz w:val="28"/>
          <w:szCs w:val="28"/>
        </w:rPr>
        <w:t>(Committed on or after Nov. 1, 2009)</w:t>
      </w:r>
    </w:p>
    <w:p w14:paraId="47D12E40" w14:textId="66B0B6C5" w:rsidR="00FB6479" w:rsidRPr="00C55904" w:rsidRDefault="00FB6479" w:rsidP="00A82C17">
      <w:pPr>
        <w:widowControl/>
        <w:spacing w:line="276" w:lineRule="auto"/>
        <w:jc w:val="center"/>
        <w:rPr>
          <w:rFonts w:ascii="Arial" w:eastAsia="Yu Gothic UI" w:hAnsi="Arial" w:cs="Arial"/>
          <w:sz w:val="22"/>
          <w:szCs w:val="22"/>
        </w:rPr>
      </w:pPr>
      <w:r w:rsidRPr="00C55904">
        <w:rPr>
          <w:rFonts w:ascii="Arial" w:eastAsia="Yu Gothic UI" w:hAnsi="Arial" w:cs="Arial"/>
          <w:sz w:val="22"/>
          <w:szCs w:val="22"/>
        </w:rPr>
        <w:t>(Revised Dec. 2020)</w:t>
      </w:r>
      <w:r w:rsidRPr="00C55904">
        <w:rPr>
          <w:rStyle w:val="FootnoteReference"/>
          <w:rFonts w:ascii="Arial" w:eastAsia="Yu Gothic UI" w:hAnsi="Arial" w:cs="Arial"/>
          <w:sz w:val="22"/>
          <w:szCs w:val="22"/>
        </w:rPr>
        <w:footnoteReference w:id="1"/>
      </w:r>
    </w:p>
    <w:p w14:paraId="7644E7FC" w14:textId="77777777" w:rsidR="00401DBC" w:rsidRPr="00A82C17" w:rsidRDefault="00401DBC" w:rsidP="00A82C17">
      <w:pPr>
        <w:widowControl/>
        <w:spacing w:line="276" w:lineRule="auto"/>
        <w:jc w:val="center"/>
        <w:rPr>
          <w:rFonts w:ascii="Arial" w:eastAsia="Yu Gothic UI" w:hAnsi="Arial" w:cs="Arial"/>
          <w:sz w:val="28"/>
          <w:szCs w:val="28"/>
        </w:rPr>
      </w:pPr>
    </w:p>
    <w:p w14:paraId="4C84B75E" w14:textId="77777777" w:rsidR="00401DBC" w:rsidRPr="00A82C17" w:rsidRDefault="00401DBC" w:rsidP="00A82C17">
      <w:pPr>
        <w:widowControl/>
        <w:spacing w:line="276" w:lineRule="auto"/>
        <w:ind w:firstLine="720"/>
        <w:jc w:val="both"/>
        <w:rPr>
          <w:rFonts w:ascii="Arial" w:eastAsia="Yu Gothic UI" w:hAnsi="Arial" w:cs="Arial"/>
          <w:sz w:val="28"/>
          <w:szCs w:val="28"/>
        </w:rPr>
      </w:pPr>
      <w:r w:rsidRPr="00A82C17">
        <w:rPr>
          <w:rFonts w:ascii="Arial" w:hAnsi="Arial" w:cs="Arial"/>
          <w:sz w:val="28"/>
          <w:szCs w:val="28"/>
        </w:rPr>
        <w:t xml:space="preserve">The </w:t>
      </w:r>
      <w:r w:rsidRPr="00A82C17">
        <w:rPr>
          <w:rFonts w:ascii="Arial" w:eastAsia="Yu Gothic UI" w:hAnsi="Arial" w:cs="Arial"/>
          <w:sz w:val="28"/>
          <w:szCs w:val="28"/>
        </w:rPr>
        <w:t>(</w:t>
      </w:r>
      <w:r w:rsidRPr="00A82C17">
        <w:rPr>
          <w:rFonts w:ascii="Arial" w:eastAsia="Yu Gothic UI" w:hAnsi="Arial" w:cs="Arial"/>
          <w:i/>
          <w:iCs/>
          <w:sz w:val="28"/>
          <w:szCs w:val="28"/>
          <w:u w:val="single"/>
        </w:rPr>
        <w:t>specify</w:t>
      </w:r>
      <w:r w:rsidRPr="00A82C17">
        <w:rPr>
          <w:rFonts w:ascii="Arial" w:eastAsia="Yu Gothic UI" w:hAnsi="Arial" w:cs="Arial"/>
          <w:sz w:val="28"/>
          <w:szCs w:val="28"/>
        </w:rPr>
        <w:t>)</w:t>
      </w:r>
      <w:r w:rsidRPr="00A82C17">
        <w:rPr>
          <w:rFonts w:ascii="Arial" w:hAnsi="Arial" w:cs="Arial"/>
          <w:sz w:val="28"/>
          <w:szCs w:val="28"/>
        </w:rPr>
        <w:t xml:space="preserve"> count</w:t>
      </w:r>
      <w:r w:rsidRPr="00A82C17">
        <w:rPr>
          <w:rFonts w:ascii="Arial" w:eastAsia="Yu Gothic UI" w:hAnsi="Arial" w:cs="Arial"/>
          <w:sz w:val="28"/>
          <w:szCs w:val="28"/>
        </w:rPr>
        <w:t xml:space="preserve"> is Criminal Sale of a Controlled Substance to a Child.</w:t>
      </w:r>
    </w:p>
    <w:p w14:paraId="1A7B5EB4" w14:textId="77777777" w:rsidR="00401DBC" w:rsidRPr="00A82C17" w:rsidRDefault="00401DBC" w:rsidP="00A82C17">
      <w:pPr>
        <w:widowControl/>
        <w:spacing w:line="276" w:lineRule="auto"/>
        <w:jc w:val="both"/>
        <w:rPr>
          <w:rFonts w:ascii="Arial" w:eastAsia="Yu Gothic UI" w:hAnsi="Arial" w:cs="Arial"/>
          <w:sz w:val="28"/>
          <w:szCs w:val="28"/>
        </w:rPr>
      </w:pPr>
    </w:p>
    <w:p w14:paraId="09ECD2CC" w14:textId="7E78A0E2" w:rsidR="00401DBC" w:rsidRDefault="00401DBC" w:rsidP="00A82C17">
      <w:pPr>
        <w:widowControl/>
        <w:spacing w:line="276" w:lineRule="auto"/>
        <w:ind w:firstLine="720"/>
        <w:jc w:val="both"/>
        <w:rPr>
          <w:rFonts w:ascii="Arial" w:eastAsia="Yu Gothic UI" w:hAnsi="Arial" w:cs="Arial"/>
          <w:sz w:val="28"/>
          <w:szCs w:val="28"/>
        </w:rPr>
      </w:pPr>
      <w:r w:rsidRPr="00A82C17">
        <w:rPr>
          <w:rFonts w:ascii="Arial" w:eastAsia="Yu Gothic UI" w:hAnsi="Arial" w:cs="Arial"/>
          <w:sz w:val="28"/>
          <w:szCs w:val="28"/>
        </w:rPr>
        <w:t>Under our law, a person is guilty of Criminal Sale of a Controlled Substance to a Child when, being over twenty-one years old, he or she knowingly and unlawfully sells a</w:t>
      </w:r>
      <w:r w:rsidR="0006551F" w:rsidRPr="00A82C17">
        <w:rPr>
          <w:rStyle w:val="FootnoteReference"/>
          <w:rFonts w:ascii="Arial" w:eastAsia="Yu Gothic UI" w:hAnsi="Arial" w:cs="Arial"/>
          <w:sz w:val="28"/>
          <w:szCs w:val="28"/>
          <w:vertAlign w:val="superscript"/>
        </w:rPr>
        <w:footnoteReference w:id="2"/>
      </w:r>
      <w:r w:rsidRPr="00A82C17">
        <w:rPr>
          <w:rFonts w:ascii="Arial" w:eastAsia="Yu Gothic UI" w:hAnsi="Arial" w:cs="Arial"/>
          <w:sz w:val="28"/>
          <w:szCs w:val="28"/>
        </w:rPr>
        <w:t xml:space="preserve"> </w:t>
      </w:r>
      <w:r w:rsidR="00712E93" w:rsidRPr="00B81497">
        <w:rPr>
          <w:rFonts w:ascii="Arial" w:eastAsia="Yu Gothic UI" w:hAnsi="Arial" w:cs="Arial"/>
          <w:sz w:val="28"/>
          <w:szCs w:val="28"/>
        </w:rPr>
        <w:t>(</w:t>
      </w:r>
      <w:r w:rsidR="00712E93" w:rsidRPr="00B81497">
        <w:rPr>
          <w:rFonts w:ascii="Arial" w:eastAsia="Yu Gothic UI" w:hAnsi="Arial" w:cs="Arial"/>
          <w:i/>
          <w:iCs/>
          <w:sz w:val="28"/>
          <w:szCs w:val="28"/>
          <w:u w:val="single"/>
        </w:rPr>
        <w:t>specify</w:t>
      </w:r>
      <w:r w:rsidR="00F679A5" w:rsidRPr="00B81497">
        <w:rPr>
          <w:rFonts w:ascii="Arial" w:eastAsia="Yu Gothic UI" w:hAnsi="Arial" w:cs="Arial"/>
          <w:i/>
          <w:iCs/>
          <w:sz w:val="28"/>
          <w:szCs w:val="28"/>
          <w:u w:val="single"/>
        </w:rPr>
        <w:t xml:space="preserve"> </w:t>
      </w:r>
      <w:r w:rsidR="009808FF" w:rsidRPr="00B81497">
        <w:rPr>
          <w:rFonts w:ascii="Arial" w:eastAsia="Yu Gothic UI" w:hAnsi="Arial" w:cs="Arial"/>
          <w:i/>
          <w:iCs/>
          <w:sz w:val="28"/>
          <w:szCs w:val="28"/>
          <w:u w:val="single"/>
        </w:rPr>
        <w:t>contents of the subdivision</w:t>
      </w:r>
      <w:r w:rsidR="00F679A5" w:rsidRPr="00B81497">
        <w:rPr>
          <w:rFonts w:ascii="Arial" w:eastAsia="Yu Gothic UI" w:hAnsi="Arial" w:cs="Arial"/>
          <w:i/>
          <w:iCs/>
          <w:sz w:val="28"/>
          <w:szCs w:val="28"/>
          <w:u w:val="single"/>
        </w:rPr>
        <w:t xml:space="preserve"> of Penal Law § 220.34 or </w:t>
      </w:r>
      <w:r w:rsidR="005C1A90" w:rsidRPr="00B81497">
        <w:rPr>
          <w:rFonts w:ascii="Arial" w:eastAsia="Yu Gothic UI" w:hAnsi="Arial" w:cs="Arial"/>
          <w:i/>
          <w:iCs/>
          <w:sz w:val="28"/>
          <w:szCs w:val="28"/>
          <w:u w:val="single"/>
        </w:rPr>
        <w:t xml:space="preserve">§ </w:t>
      </w:r>
      <w:r w:rsidR="00F679A5" w:rsidRPr="00B81497">
        <w:rPr>
          <w:rFonts w:ascii="Arial" w:eastAsia="Yu Gothic UI" w:hAnsi="Arial" w:cs="Arial"/>
          <w:i/>
          <w:iCs/>
          <w:sz w:val="28"/>
          <w:szCs w:val="28"/>
          <w:u w:val="single"/>
        </w:rPr>
        <w:t>220.3</w:t>
      </w:r>
      <w:r w:rsidR="00F60B18" w:rsidRPr="00B81497">
        <w:rPr>
          <w:rFonts w:ascii="Arial" w:eastAsia="Yu Gothic UI" w:hAnsi="Arial" w:cs="Arial"/>
          <w:i/>
          <w:iCs/>
          <w:sz w:val="28"/>
          <w:szCs w:val="28"/>
          <w:u w:val="single"/>
        </w:rPr>
        <w:t>9</w:t>
      </w:r>
      <w:r w:rsidR="0098768F" w:rsidRPr="00B81497">
        <w:rPr>
          <w:rFonts w:ascii="Arial" w:eastAsia="Yu Gothic UI" w:hAnsi="Arial" w:cs="Arial"/>
          <w:i/>
          <w:iCs/>
          <w:sz w:val="28"/>
          <w:szCs w:val="28"/>
          <w:u w:val="single"/>
        </w:rPr>
        <w:t xml:space="preserve"> allegedly violated)</w:t>
      </w:r>
      <w:r w:rsidR="00712E93" w:rsidRPr="00712E93">
        <w:rPr>
          <w:rFonts w:ascii="Arial" w:eastAsia="Yu Gothic UI" w:hAnsi="Arial" w:cs="Arial"/>
          <w:color w:val="00B050"/>
          <w:sz w:val="28"/>
          <w:szCs w:val="28"/>
        </w:rPr>
        <w:t xml:space="preserve"> </w:t>
      </w:r>
      <w:r w:rsidRPr="00A82C17">
        <w:rPr>
          <w:rFonts w:ascii="Arial" w:eastAsia="Yu Gothic UI" w:hAnsi="Arial" w:cs="Arial"/>
          <w:sz w:val="28"/>
          <w:szCs w:val="28"/>
        </w:rPr>
        <w:t>to a person less than seventeen years old.</w:t>
      </w:r>
      <w:r w:rsidR="00A82C17">
        <w:rPr>
          <w:rFonts w:ascii="Arial" w:eastAsia="Yu Gothic UI" w:hAnsi="Arial" w:cs="Arial"/>
          <w:sz w:val="28"/>
          <w:szCs w:val="28"/>
        </w:rPr>
        <w:t xml:space="preserve"> </w:t>
      </w:r>
    </w:p>
    <w:p w14:paraId="11F237BA" w14:textId="77777777" w:rsidR="00A82C17" w:rsidRPr="00A82C17" w:rsidRDefault="00A82C17" w:rsidP="00A82C17">
      <w:pPr>
        <w:widowControl/>
        <w:spacing w:line="276" w:lineRule="auto"/>
        <w:ind w:firstLine="720"/>
        <w:jc w:val="both"/>
        <w:rPr>
          <w:rFonts w:ascii="Arial" w:eastAsia="Yu Gothic UI" w:hAnsi="Arial" w:cs="Arial"/>
          <w:sz w:val="28"/>
          <w:szCs w:val="28"/>
        </w:rPr>
      </w:pPr>
    </w:p>
    <w:p w14:paraId="5D5F8073" w14:textId="14508B5A" w:rsidR="00401DBC" w:rsidRDefault="00401DBC" w:rsidP="00A82C17">
      <w:pPr>
        <w:widowControl/>
        <w:spacing w:line="276" w:lineRule="auto"/>
        <w:ind w:firstLine="720"/>
        <w:jc w:val="both"/>
        <w:rPr>
          <w:rFonts w:ascii="Arial" w:hAnsi="Arial" w:cs="Arial"/>
          <w:sz w:val="28"/>
          <w:szCs w:val="28"/>
        </w:rPr>
      </w:pPr>
      <w:r w:rsidRPr="00A82C17">
        <w:rPr>
          <w:rFonts w:ascii="Arial" w:hAnsi="Arial" w:cs="Arial"/>
          <w:sz w:val="28"/>
          <w:szCs w:val="28"/>
        </w:rPr>
        <w:t>The following terms used in that definition have a special meaning:</w:t>
      </w:r>
    </w:p>
    <w:p w14:paraId="70FEB8AF" w14:textId="77777777" w:rsidR="00A82C17" w:rsidRPr="00A82C17" w:rsidRDefault="00A82C17" w:rsidP="00A82C17">
      <w:pPr>
        <w:widowControl/>
        <w:spacing w:line="276" w:lineRule="auto"/>
        <w:ind w:firstLine="720"/>
        <w:jc w:val="both"/>
        <w:rPr>
          <w:rFonts w:ascii="Arial" w:eastAsia="Yu Gothic UI" w:hAnsi="Arial" w:cs="Arial"/>
          <w:sz w:val="28"/>
          <w:szCs w:val="28"/>
        </w:rPr>
      </w:pPr>
    </w:p>
    <w:p w14:paraId="136D3773" w14:textId="7B95497D" w:rsidR="00F063FB" w:rsidRPr="00750A13" w:rsidRDefault="00F063FB" w:rsidP="00A82C17">
      <w:pPr>
        <w:widowControl/>
        <w:spacing w:line="276" w:lineRule="auto"/>
        <w:ind w:firstLine="720"/>
        <w:jc w:val="both"/>
        <w:rPr>
          <w:rFonts w:ascii="Arial" w:eastAsia="Yu Gothic UI" w:hAnsi="Arial" w:cs="Arial"/>
          <w:color w:val="00B050"/>
          <w:sz w:val="28"/>
          <w:szCs w:val="28"/>
        </w:rPr>
      </w:pPr>
      <w:r>
        <w:rPr>
          <w:rFonts w:ascii="Arial" w:eastAsia="Yu Gothic UI" w:hAnsi="Arial" w:cs="Arial"/>
          <w:sz w:val="28"/>
          <w:szCs w:val="28"/>
        </w:rPr>
        <w:t>(</w:t>
      </w:r>
      <w:r w:rsidRPr="00F063FB">
        <w:rPr>
          <w:rFonts w:ascii="Arial" w:eastAsia="Yu Gothic UI" w:hAnsi="Arial" w:cs="Arial"/>
          <w:i/>
          <w:iCs/>
          <w:sz w:val="28"/>
          <w:szCs w:val="28"/>
          <w:u w:val="single"/>
        </w:rPr>
        <w:t>Specify</w:t>
      </w:r>
      <w:r w:rsidR="009F338E">
        <w:rPr>
          <w:rFonts w:ascii="Arial" w:eastAsia="Yu Gothic UI" w:hAnsi="Arial" w:cs="Arial"/>
          <w:i/>
          <w:iCs/>
          <w:sz w:val="28"/>
          <w:szCs w:val="28"/>
          <w:u w:val="single"/>
        </w:rPr>
        <w:t>)</w:t>
      </w:r>
      <w:r w:rsidR="009F338E">
        <w:rPr>
          <w:rFonts w:ascii="Arial" w:eastAsia="Yu Gothic UI" w:hAnsi="Arial" w:cs="Arial"/>
          <w:i/>
          <w:iCs/>
          <w:color w:val="00B050"/>
          <w:sz w:val="28"/>
          <w:szCs w:val="28"/>
        </w:rPr>
        <w:t xml:space="preserve"> </w:t>
      </w:r>
      <w:r w:rsidR="009F338E" w:rsidRPr="00B81497">
        <w:rPr>
          <w:rFonts w:ascii="Arial" w:eastAsia="Yu Gothic UI" w:hAnsi="Arial" w:cs="Arial"/>
          <w:i/>
          <w:iCs/>
          <w:sz w:val="28"/>
          <w:szCs w:val="28"/>
        </w:rPr>
        <w:t>c</w:t>
      </w:r>
      <w:r w:rsidR="00693326" w:rsidRPr="00B81497">
        <w:rPr>
          <w:rFonts w:ascii="Arial" w:eastAsia="Yu Gothic UI" w:hAnsi="Arial" w:cs="Arial"/>
          <w:i/>
          <w:iCs/>
          <w:sz w:val="28"/>
          <w:szCs w:val="28"/>
        </w:rPr>
        <w:t>on</w:t>
      </w:r>
      <w:r w:rsidR="00750A13" w:rsidRPr="00B81497">
        <w:rPr>
          <w:rFonts w:ascii="Arial" w:eastAsia="Yu Gothic UI" w:hAnsi="Arial" w:cs="Arial"/>
          <w:i/>
          <w:iCs/>
          <w:sz w:val="28"/>
          <w:szCs w:val="28"/>
        </w:rPr>
        <w:t>trolled substance as specified in applicable subdivision of Penal Law § 220.34 or § 220.39</w:t>
      </w:r>
      <w:r w:rsidRPr="00B81497">
        <w:rPr>
          <w:rFonts w:ascii="Arial" w:eastAsia="Yu Gothic UI" w:hAnsi="Arial" w:cs="Arial"/>
          <w:sz w:val="28"/>
          <w:szCs w:val="28"/>
        </w:rPr>
        <w:t>)</w:t>
      </w:r>
    </w:p>
    <w:p w14:paraId="0DEC7402" w14:textId="77777777" w:rsidR="005E63DB" w:rsidRPr="00A82C17" w:rsidRDefault="005E63DB" w:rsidP="00A82C17">
      <w:pPr>
        <w:widowControl/>
        <w:spacing w:line="276" w:lineRule="auto"/>
        <w:ind w:firstLine="720"/>
        <w:jc w:val="both"/>
        <w:rPr>
          <w:rFonts w:ascii="Arial" w:eastAsia="Yu Gothic UI" w:hAnsi="Arial" w:cs="Arial"/>
          <w:sz w:val="28"/>
          <w:szCs w:val="28"/>
        </w:rPr>
      </w:pPr>
    </w:p>
    <w:p w14:paraId="3E3879BC" w14:textId="77777777" w:rsidR="00401DBC" w:rsidRPr="00A82C17" w:rsidRDefault="00401DBC" w:rsidP="00A82C17">
      <w:pPr>
        <w:widowControl/>
        <w:spacing w:line="276" w:lineRule="auto"/>
        <w:ind w:firstLine="720"/>
        <w:jc w:val="both"/>
        <w:rPr>
          <w:rFonts w:ascii="Arial" w:eastAsia="Yu Gothic UI" w:hAnsi="Arial" w:cs="Arial"/>
          <w:sz w:val="28"/>
          <w:szCs w:val="28"/>
        </w:rPr>
      </w:pPr>
      <w:r w:rsidRPr="00A82C17">
        <w:rPr>
          <w:rFonts w:ascii="Arial" w:eastAsia="Yu Gothic UI" w:hAnsi="Arial" w:cs="Arial"/>
          <w:sz w:val="28"/>
          <w:szCs w:val="28"/>
        </w:rPr>
        <w:t>SELL means to sell, exchange, give or dispose of to another.</w:t>
      </w:r>
    </w:p>
    <w:p w14:paraId="17A2F093" w14:textId="01F41757" w:rsidR="00401DBC" w:rsidRDefault="00401DBC" w:rsidP="00A82C17">
      <w:pPr>
        <w:widowControl/>
        <w:spacing w:line="276" w:lineRule="auto"/>
        <w:ind w:firstLine="720"/>
        <w:jc w:val="both"/>
        <w:rPr>
          <w:rFonts w:ascii="Arial" w:eastAsia="Yu Gothic UI" w:hAnsi="Arial" w:cs="Arial"/>
          <w:sz w:val="28"/>
          <w:szCs w:val="28"/>
        </w:rPr>
      </w:pPr>
      <w:r w:rsidRPr="00A82C17">
        <w:rPr>
          <w:rFonts w:ascii="Arial" w:eastAsia="Yu Gothic UI" w:hAnsi="Arial" w:cs="Arial"/>
          <w:sz w:val="28"/>
          <w:szCs w:val="28"/>
        </w:rPr>
        <w:t xml:space="preserve">[Sell also includes an offer or agreement to sell even if actual delivery does not occur, provided that, at the time of the offer or agreement, the person has the intent and ability to make the sale.  An intent is a conscious objective or purpose. Thus, a </w:t>
      </w:r>
      <w:r w:rsidRPr="00A82C17">
        <w:rPr>
          <w:rFonts w:ascii="Arial" w:eastAsia="Yu Gothic UI" w:hAnsi="Arial" w:cs="Arial"/>
          <w:sz w:val="28"/>
          <w:szCs w:val="28"/>
        </w:rPr>
        <w:lastRenderedPageBreak/>
        <w:t>person acts with intent to sell when that person's conscious objective or purpose is to sell.]</w:t>
      </w:r>
      <w:r w:rsidRPr="00A82C17">
        <w:rPr>
          <w:rStyle w:val="FootnoteReference"/>
          <w:rFonts w:ascii="Arial" w:eastAsia="Yu Gothic UI" w:hAnsi="Arial" w:cs="Arial"/>
          <w:sz w:val="28"/>
          <w:szCs w:val="28"/>
          <w:vertAlign w:val="superscript"/>
        </w:rPr>
        <w:footnoteReference w:id="3"/>
      </w:r>
    </w:p>
    <w:p w14:paraId="0C3009A0" w14:textId="77777777" w:rsidR="00974B3F" w:rsidRPr="00A82C17" w:rsidRDefault="00974B3F" w:rsidP="00A82C17">
      <w:pPr>
        <w:widowControl/>
        <w:spacing w:line="276" w:lineRule="auto"/>
        <w:ind w:firstLine="720"/>
        <w:jc w:val="both"/>
        <w:rPr>
          <w:rFonts w:ascii="Arial" w:eastAsia="Yu Gothic UI" w:hAnsi="Arial" w:cs="Arial"/>
          <w:sz w:val="28"/>
          <w:szCs w:val="28"/>
        </w:rPr>
      </w:pPr>
    </w:p>
    <w:p w14:paraId="60F3F19F" w14:textId="77777777" w:rsidR="00401DBC" w:rsidRPr="00A82C17" w:rsidRDefault="00401DBC" w:rsidP="00A82C17">
      <w:pPr>
        <w:widowControl/>
        <w:spacing w:line="276" w:lineRule="auto"/>
        <w:ind w:firstLine="720"/>
        <w:jc w:val="both"/>
        <w:rPr>
          <w:rFonts w:ascii="Arial" w:eastAsia="Yu Gothic UI" w:hAnsi="Arial" w:cs="Arial"/>
          <w:sz w:val="28"/>
          <w:szCs w:val="28"/>
        </w:rPr>
      </w:pPr>
      <w:r w:rsidRPr="00A82C17">
        <w:rPr>
          <w:rFonts w:ascii="Arial" w:eastAsia="Yu Gothic UI" w:hAnsi="Arial" w:cs="Arial"/>
          <w:sz w:val="28"/>
          <w:szCs w:val="28"/>
        </w:rPr>
        <w:t>A person KNOWINGLY sells (</w:t>
      </w:r>
      <w:r w:rsidRPr="00A82C17">
        <w:rPr>
          <w:rFonts w:ascii="Arial" w:eastAsia="Yu Gothic UI" w:hAnsi="Arial" w:cs="Arial"/>
          <w:i/>
          <w:iCs/>
          <w:sz w:val="28"/>
          <w:szCs w:val="28"/>
          <w:u w:val="single"/>
        </w:rPr>
        <w:t>specify</w:t>
      </w:r>
      <w:r w:rsidRPr="00A82C17">
        <w:rPr>
          <w:rFonts w:ascii="Arial" w:eastAsia="Yu Gothic UI" w:hAnsi="Arial" w:cs="Arial"/>
          <w:sz w:val="28"/>
          <w:szCs w:val="28"/>
        </w:rPr>
        <w:t>) when that person is aware that he or she is selling a substance which contains (</w:t>
      </w:r>
      <w:r w:rsidRPr="00A82C17">
        <w:rPr>
          <w:rFonts w:ascii="Arial" w:eastAsia="Yu Gothic UI" w:hAnsi="Arial" w:cs="Arial"/>
          <w:i/>
          <w:iCs/>
          <w:sz w:val="28"/>
          <w:szCs w:val="28"/>
          <w:u w:val="single"/>
        </w:rPr>
        <w:t>specify</w:t>
      </w:r>
      <w:r w:rsidRPr="00A82C17">
        <w:rPr>
          <w:rFonts w:ascii="Arial" w:eastAsia="Yu Gothic UI" w:hAnsi="Arial" w:cs="Arial"/>
          <w:sz w:val="28"/>
          <w:szCs w:val="28"/>
        </w:rPr>
        <w:t>)</w:t>
      </w:r>
      <w:r w:rsidRPr="00A82C17">
        <w:rPr>
          <w:rStyle w:val="FootnoteReference"/>
          <w:rFonts w:ascii="Arial" w:eastAsia="Yu Gothic UI" w:hAnsi="Arial" w:cs="Arial"/>
          <w:strike/>
          <w:sz w:val="28"/>
          <w:szCs w:val="28"/>
          <w:vertAlign w:val="superscript"/>
        </w:rPr>
        <w:footnoteReference w:id="4"/>
      </w:r>
    </w:p>
    <w:p w14:paraId="55498DE5" w14:textId="77777777" w:rsidR="00A82C17" w:rsidRDefault="00A82C17" w:rsidP="00A82C17">
      <w:pPr>
        <w:widowControl/>
        <w:spacing w:line="276" w:lineRule="auto"/>
        <w:ind w:firstLine="720"/>
        <w:rPr>
          <w:rFonts w:ascii="Arial" w:eastAsia="Yu Gothic UI" w:hAnsi="Arial" w:cs="Arial"/>
          <w:sz w:val="28"/>
          <w:szCs w:val="28"/>
        </w:rPr>
      </w:pPr>
    </w:p>
    <w:p w14:paraId="71604EB1" w14:textId="01D560BD" w:rsidR="00401DBC" w:rsidRDefault="00401DBC" w:rsidP="00A82C17">
      <w:pPr>
        <w:widowControl/>
        <w:spacing w:line="276" w:lineRule="auto"/>
        <w:ind w:firstLine="720"/>
        <w:rPr>
          <w:rFonts w:ascii="Arial" w:eastAsia="Yu Gothic UI" w:hAnsi="Arial" w:cs="Arial"/>
          <w:sz w:val="28"/>
          <w:szCs w:val="28"/>
        </w:rPr>
      </w:pPr>
      <w:r w:rsidRPr="00A82C17">
        <w:rPr>
          <w:rFonts w:ascii="Arial" w:eastAsia="Yu Gothic UI" w:hAnsi="Arial" w:cs="Arial"/>
          <w:sz w:val="28"/>
          <w:szCs w:val="28"/>
        </w:rPr>
        <w:t xml:space="preserve">Knowledge of the age of the child is not an element of this crime, and it is not a defense to this charge that the defendant did not know the age of the child, or believed the age of the child to be seventeen years or more. </w:t>
      </w:r>
      <w:r w:rsidRPr="00A82C17">
        <w:rPr>
          <w:rStyle w:val="FootnoteReference"/>
          <w:rFonts w:ascii="Arial" w:eastAsia="Yu Gothic UI" w:hAnsi="Arial" w:cs="Arial"/>
          <w:sz w:val="28"/>
          <w:szCs w:val="28"/>
          <w:vertAlign w:val="superscript"/>
        </w:rPr>
        <w:footnoteReference w:id="5"/>
      </w:r>
    </w:p>
    <w:p w14:paraId="71ECDE44" w14:textId="77777777" w:rsidR="00A82C17" w:rsidRPr="00A82C17" w:rsidRDefault="00A82C17" w:rsidP="00A82C17">
      <w:pPr>
        <w:widowControl/>
        <w:spacing w:line="276" w:lineRule="auto"/>
        <w:ind w:firstLine="720"/>
        <w:rPr>
          <w:rFonts w:ascii="Arial" w:eastAsia="Yu Gothic UI" w:hAnsi="Arial" w:cs="Arial"/>
          <w:sz w:val="28"/>
          <w:szCs w:val="28"/>
        </w:rPr>
      </w:pPr>
    </w:p>
    <w:p w14:paraId="16B7CC3F" w14:textId="2717CBF8" w:rsidR="00401DBC" w:rsidRDefault="00401DBC" w:rsidP="00A82C17">
      <w:pPr>
        <w:widowControl/>
        <w:spacing w:line="276" w:lineRule="auto"/>
        <w:ind w:firstLine="720"/>
        <w:rPr>
          <w:rFonts w:ascii="Arial" w:eastAsia="Yu Gothic UI" w:hAnsi="Arial" w:cs="Arial"/>
          <w:sz w:val="28"/>
          <w:szCs w:val="28"/>
        </w:rPr>
      </w:pPr>
      <w:r w:rsidRPr="00A82C17">
        <w:rPr>
          <w:rFonts w:ascii="Arial" w:eastAsia="Yu Gothic UI" w:hAnsi="Arial" w:cs="Arial"/>
          <w:sz w:val="28"/>
          <w:szCs w:val="28"/>
        </w:rPr>
        <w:t>A person UNLAWFULLY sells (</w:t>
      </w:r>
      <w:r w:rsidRPr="00A82C17">
        <w:rPr>
          <w:rFonts w:ascii="Arial" w:eastAsia="Yu Gothic UI" w:hAnsi="Arial" w:cs="Arial"/>
          <w:i/>
          <w:iCs/>
          <w:sz w:val="28"/>
          <w:szCs w:val="28"/>
          <w:u w:val="single"/>
        </w:rPr>
        <w:t>specify</w:t>
      </w:r>
      <w:r w:rsidRPr="00A82C17">
        <w:rPr>
          <w:rFonts w:ascii="Arial" w:eastAsia="Yu Gothic UI" w:hAnsi="Arial" w:cs="Arial"/>
          <w:sz w:val="28"/>
          <w:szCs w:val="28"/>
        </w:rPr>
        <w:t>) when that person has no legal right to sell that substance.   Under our law, with certain exceptions not applicable here, a person has no legal right to sell (</w:t>
      </w:r>
      <w:r w:rsidRPr="00A82C17">
        <w:rPr>
          <w:rFonts w:ascii="Arial" w:eastAsia="Yu Gothic UI" w:hAnsi="Arial" w:cs="Arial"/>
          <w:i/>
          <w:iCs/>
          <w:sz w:val="28"/>
          <w:szCs w:val="28"/>
          <w:u w:val="single"/>
        </w:rPr>
        <w:t>specify</w:t>
      </w:r>
      <w:r w:rsidRPr="00A82C17">
        <w:rPr>
          <w:rFonts w:ascii="Arial" w:eastAsia="Yu Gothic UI" w:hAnsi="Arial" w:cs="Arial"/>
          <w:sz w:val="28"/>
          <w:szCs w:val="28"/>
        </w:rPr>
        <w:t>).</w:t>
      </w:r>
      <w:r w:rsidRPr="00A82C17">
        <w:rPr>
          <w:rStyle w:val="FootnoteReference"/>
          <w:rFonts w:ascii="Arial" w:eastAsia="Yu Gothic UI" w:hAnsi="Arial" w:cs="Arial"/>
          <w:sz w:val="28"/>
          <w:szCs w:val="28"/>
          <w:vertAlign w:val="superscript"/>
        </w:rPr>
        <w:footnoteReference w:id="6"/>
      </w:r>
    </w:p>
    <w:p w14:paraId="56F8BDD6" w14:textId="77777777" w:rsidR="00A82C17" w:rsidRPr="00A82C17" w:rsidRDefault="00A82C17" w:rsidP="00A82C17">
      <w:pPr>
        <w:widowControl/>
        <w:spacing w:line="276" w:lineRule="auto"/>
        <w:ind w:firstLine="720"/>
        <w:rPr>
          <w:rFonts w:ascii="Arial" w:eastAsia="Yu Gothic UI" w:hAnsi="Arial" w:cs="Arial"/>
          <w:sz w:val="28"/>
          <w:szCs w:val="28"/>
        </w:rPr>
      </w:pPr>
    </w:p>
    <w:p w14:paraId="24234EC0" w14:textId="1F97A54B" w:rsidR="00401DBC" w:rsidRDefault="00401DBC" w:rsidP="00A82C17">
      <w:pPr>
        <w:widowControl/>
        <w:spacing w:line="276" w:lineRule="auto"/>
        <w:ind w:firstLine="720"/>
        <w:rPr>
          <w:rFonts w:ascii="Arial" w:eastAsia="Yu Gothic UI" w:hAnsi="Arial" w:cs="Arial"/>
          <w:sz w:val="28"/>
          <w:szCs w:val="28"/>
        </w:rPr>
      </w:pPr>
      <w:r w:rsidRPr="00A82C17">
        <w:rPr>
          <w:rFonts w:ascii="Arial" w:eastAsia="Yu Gothic UI" w:hAnsi="Arial" w:cs="Arial"/>
          <w:sz w:val="28"/>
          <w:szCs w:val="28"/>
        </w:rPr>
        <w:t>In order for you to find the defendant guilty of this crime, the People are required to prove, from all the evidence in the case, beyond a reasonable doubt, each of the following four elements:</w:t>
      </w:r>
    </w:p>
    <w:p w14:paraId="17ACECF7" w14:textId="77777777" w:rsidR="00A82C17" w:rsidRPr="00A82C17" w:rsidRDefault="00A82C17" w:rsidP="00A82C17">
      <w:pPr>
        <w:widowControl/>
        <w:spacing w:line="276" w:lineRule="auto"/>
        <w:ind w:firstLine="720"/>
        <w:rPr>
          <w:rFonts w:ascii="Arial" w:eastAsia="Yu Gothic UI" w:hAnsi="Arial" w:cs="Arial"/>
          <w:sz w:val="28"/>
          <w:szCs w:val="28"/>
        </w:rPr>
      </w:pPr>
    </w:p>
    <w:p w14:paraId="7990E8A0" w14:textId="03182AA2" w:rsidR="00401DBC" w:rsidRDefault="00401DBC" w:rsidP="00A82C17">
      <w:pPr>
        <w:widowControl/>
        <w:numPr>
          <w:ilvl w:val="0"/>
          <w:numId w:val="1"/>
        </w:numPr>
        <w:tabs>
          <w:tab w:val="left" w:pos="-1440"/>
        </w:tabs>
        <w:spacing w:line="276" w:lineRule="auto"/>
        <w:rPr>
          <w:rFonts w:ascii="Arial" w:eastAsia="Yu Gothic UI" w:hAnsi="Arial" w:cs="Arial"/>
          <w:sz w:val="28"/>
          <w:szCs w:val="28"/>
        </w:rPr>
      </w:pPr>
      <w:r w:rsidRPr="00A82C17">
        <w:rPr>
          <w:rFonts w:ascii="Arial" w:eastAsia="Yu Gothic UI" w:hAnsi="Arial" w:cs="Arial"/>
          <w:sz w:val="28"/>
          <w:szCs w:val="28"/>
        </w:rPr>
        <w:t>That on or about (</w:t>
      </w:r>
      <w:r w:rsidRPr="00A82C17">
        <w:rPr>
          <w:rFonts w:ascii="Arial" w:eastAsia="Yu Gothic UI" w:hAnsi="Arial" w:cs="Arial"/>
          <w:i/>
          <w:iCs/>
          <w:sz w:val="28"/>
          <w:szCs w:val="28"/>
          <w:u w:val="single"/>
        </w:rPr>
        <w:t>date</w:t>
      </w:r>
      <w:r w:rsidRPr="00A82C17">
        <w:rPr>
          <w:rFonts w:ascii="Arial" w:eastAsia="Yu Gothic UI" w:hAnsi="Arial" w:cs="Arial"/>
          <w:sz w:val="28"/>
          <w:szCs w:val="28"/>
        </w:rPr>
        <w:t>), in the county of (</w:t>
      </w:r>
      <w:r w:rsidRPr="00A82C17">
        <w:rPr>
          <w:rFonts w:ascii="Arial" w:eastAsia="Yu Gothic UI" w:hAnsi="Arial" w:cs="Arial"/>
          <w:i/>
          <w:iCs/>
          <w:sz w:val="28"/>
          <w:szCs w:val="28"/>
          <w:u w:val="single"/>
        </w:rPr>
        <w:t>county</w:t>
      </w:r>
      <w:r w:rsidRPr="00A82C17">
        <w:rPr>
          <w:rFonts w:ascii="Arial" w:eastAsia="Yu Gothic UI" w:hAnsi="Arial" w:cs="Arial"/>
          <w:sz w:val="28"/>
          <w:szCs w:val="28"/>
        </w:rPr>
        <w:t>), the defendant, (</w:t>
      </w:r>
      <w:r w:rsidRPr="00A82C17">
        <w:rPr>
          <w:rFonts w:ascii="Arial" w:eastAsia="Yu Gothic UI" w:hAnsi="Arial" w:cs="Arial"/>
          <w:i/>
          <w:iCs/>
          <w:sz w:val="28"/>
          <w:szCs w:val="28"/>
          <w:u w:val="single"/>
        </w:rPr>
        <w:t>defendant's name</w:t>
      </w:r>
      <w:r w:rsidRPr="00A82C17">
        <w:rPr>
          <w:rFonts w:ascii="Arial" w:eastAsia="Yu Gothic UI" w:hAnsi="Arial" w:cs="Arial"/>
          <w:sz w:val="28"/>
          <w:szCs w:val="28"/>
        </w:rPr>
        <w:t>), sold (</w:t>
      </w:r>
      <w:r w:rsidRPr="00A82C17">
        <w:rPr>
          <w:rFonts w:ascii="Arial" w:eastAsia="Yu Gothic UI" w:hAnsi="Arial" w:cs="Arial"/>
          <w:i/>
          <w:iCs/>
          <w:sz w:val="28"/>
          <w:szCs w:val="28"/>
          <w:u w:val="single"/>
        </w:rPr>
        <w:t>specify</w:t>
      </w:r>
      <w:r w:rsidRPr="00A82C17">
        <w:rPr>
          <w:rFonts w:ascii="Arial" w:eastAsia="Yu Gothic UI" w:hAnsi="Arial" w:cs="Arial"/>
          <w:sz w:val="28"/>
          <w:szCs w:val="28"/>
        </w:rPr>
        <w:t>) to  (</w:t>
      </w:r>
      <w:r w:rsidRPr="00A82C17">
        <w:rPr>
          <w:rFonts w:ascii="Arial" w:eastAsia="Yu Gothic UI" w:hAnsi="Arial" w:cs="Arial"/>
          <w:i/>
          <w:iCs/>
          <w:sz w:val="28"/>
          <w:szCs w:val="28"/>
          <w:u w:val="single"/>
        </w:rPr>
        <w:t>specify)</w:t>
      </w:r>
      <w:r w:rsidRPr="00A82C17">
        <w:rPr>
          <w:rFonts w:ascii="Arial" w:eastAsia="Yu Gothic UI" w:hAnsi="Arial" w:cs="Arial"/>
          <w:sz w:val="28"/>
          <w:szCs w:val="28"/>
        </w:rPr>
        <w:t>;</w:t>
      </w:r>
    </w:p>
    <w:p w14:paraId="328067BA" w14:textId="77777777" w:rsidR="00A82C17" w:rsidRPr="00A82C17" w:rsidRDefault="00A82C17" w:rsidP="00A82C17">
      <w:pPr>
        <w:widowControl/>
        <w:tabs>
          <w:tab w:val="left" w:pos="-1440"/>
        </w:tabs>
        <w:spacing w:line="276" w:lineRule="auto"/>
        <w:ind w:left="1440"/>
        <w:rPr>
          <w:rFonts w:ascii="Arial" w:eastAsia="Yu Gothic UI" w:hAnsi="Arial" w:cs="Arial"/>
          <w:sz w:val="28"/>
          <w:szCs w:val="28"/>
        </w:rPr>
      </w:pPr>
    </w:p>
    <w:p w14:paraId="473929E7" w14:textId="4656D491" w:rsidR="00401DBC" w:rsidRDefault="00401DBC" w:rsidP="00A82C17">
      <w:pPr>
        <w:widowControl/>
        <w:numPr>
          <w:ilvl w:val="0"/>
          <w:numId w:val="1"/>
        </w:numPr>
        <w:tabs>
          <w:tab w:val="left" w:pos="-1440"/>
        </w:tabs>
        <w:spacing w:line="276" w:lineRule="auto"/>
        <w:rPr>
          <w:rFonts w:ascii="Arial" w:eastAsia="Yu Gothic UI" w:hAnsi="Arial" w:cs="Arial"/>
          <w:sz w:val="28"/>
          <w:szCs w:val="28"/>
        </w:rPr>
      </w:pPr>
      <w:r w:rsidRPr="00A82C17">
        <w:rPr>
          <w:rFonts w:ascii="Arial" w:eastAsia="Yu Gothic UI" w:hAnsi="Arial" w:cs="Arial"/>
          <w:sz w:val="28"/>
          <w:szCs w:val="28"/>
        </w:rPr>
        <w:lastRenderedPageBreak/>
        <w:t>That the defendant did so knowingly and unlawfully;</w:t>
      </w:r>
    </w:p>
    <w:p w14:paraId="0C258796" w14:textId="77777777" w:rsidR="00A82C17" w:rsidRDefault="00A82C17" w:rsidP="00A82C17">
      <w:pPr>
        <w:pStyle w:val="ListParagraph"/>
        <w:rPr>
          <w:rFonts w:ascii="Arial" w:eastAsia="Yu Gothic UI" w:hAnsi="Arial" w:cs="Arial"/>
          <w:sz w:val="28"/>
          <w:szCs w:val="28"/>
        </w:rPr>
      </w:pPr>
    </w:p>
    <w:p w14:paraId="648E68C9" w14:textId="77777777" w:rsidR="00A82C17" w:rsidRPr="00A82C17" w:rsidRDefault="00A82C17" w:rsidP="00A82C17">
      <w:pPr>
        <w:widowControl/>
        <w:tabs>
          <w:tab w:val="left" w:pos="-1440"/>
        </w:tabs>
        <w:spacing w:line="276" w:lineRule="auto"/>
        <w:ind w:left="1440"/>
        <w:rPr>
          <w:rFonts w:ascii="Arial" w:eastAsia="Yu Gothic UI" w:hAnsi="Arial" w:cs="Arial"/>
          <w:sz w:val="28"/>
          <w:szCs w:val="28"/>
        </w:rPr>
      </w:pPr>
    </w:p>
    <w:p w14:paraId="77094C6B" w14:textId="0DEC7A62" w:rsidR="00401DBC" w:rsidRDefault="00401DBC" w:rsidP="00A82C17">
      <w:pPr>
        <w:widowControl/>
        <w:tabs>
          <w:tab w:val="left" w:pos="-1440"/>
        </w:tabs>
        <w:spacing w:line="276" w:lineRule="auto"/>
        <w:ind w:left="1440" w:hanging="720"/>
        <w:rPr>
          <w:rFonts w:ascii="Arial" w:eastAsia="Yu Gothic UI" w:hAnsi="Arial" w:cs="Arial"/>
          <w:sz w:val="28"/>
          <w:szCs w:val="28"/>
        </w:rPr>
      </w:pPr>
      <w:r w:rsidRPr="00A82C17">
        <w:rPr>
          <w:rFonts w:ascii="Arial" w:eastAsia="Yu Gothic UI" w:hAnsi="Arial" w:cs="Arial"/>
          <w:sz w:val="28"/>
          <w:szCs w:val="28"/>
        </w:rPr>
        <w:t>3.</w:t>
      </w:r>
      <w:r w:rsidRPr="00A82C17">
        <w:rPr>
          <w:rFonts w:ascii="Arial" w:eastAsia="Yu Gothic UI" w:hAnsi="Arial" w:cs="Arial"/>
          <w:sz w:val="28"/>
          <w:szCs w:val="28"/>
        </w:rPr>
        <w:tab/>
        <w:t>That the defendant was over 21 years old at that time; and</w:t>
      </w:r>
    </w:p>
    <w:p w14:paraId="441FC70F" w14:textId="77777777" w:rsidR="00A82C17" w:rsidRPr="00A82C17" w:rsidRDefault="00A82C17" w:rsidP="00A82C17">
      <w:pPr>
        <w:widowControl/>
        <w:tabs>
          <w:tab w:val="left" w:pos="-1440"/>
        </w:tabs>
        <w:spacing w:line="276" w:lineRule="auto"/>
        <w:ind w:left="1440" w:hanging="720"/>
        <w:rPr>
          <w:rFonts w:ascii="Arial" w:eastAsia="Yu Gothic UI" w:hAnsi="Arial" w:cs="Arial"/>
          <w:sz w:val="28"/>
          <w:szCs w:val="28"/>
        </w:rPr>
      </w:pPr>
    </w:p>
    <w:p w14:paraId="3AC5AC58" w14:textId="122472E7" w:rsidR="00401DBC" w:rsidRDefault="00401DBC" w:rsidP="00A82C17">
      <w:pPr>
        <w:widowControl/>
        <w:tabs>
          <w:tab w:val="left" w:pos="-1440"/>
        </w:tabs>
        <w:spacing w:line="276" w:lineRule="auto"/>
        <w:ind w:left="1440" w:hanging="720"/>
        <w:rPr>
          <w:rFonts w:ascii="Arial" w:eastAsia="Yu Gothic UI" w:hAnsi="Arial" w:cs="Arial"/>
          <w:sz w:val="28"/>
          <w:szCs w:val="28"/>
        </w:rPr>
      </w:pPr>
      <w:r w:rsidRPr="00A82C17">
        <w:rPr>
          <w:rFonts w:ascii="Arial" w:eastAsia="Yu Gothic UI" w:hAnsi="Arial" w:cs="Arial"/>
          <w:sz w:val="28"/>
          <w:szCs w:val="28"/>
        </w:rPr>
        <w:t>4.</w:t>
      </w:r>
      <w:r w:rsidRPr="00A82C17">
        <w:rPr>
          <w:rFonts w:ascii="Arial" w:eastAsia="Yu Gothic UI" w:hAnsi="Arial" w:cs="Arial"/>
          <w:sz w:val="28"/>
          <w:szCs w:val="28"/>
        </w:rPr>
        <w:tab/>
        <w:t>That (</w:t>
      </w:r>
      <w:r w:rsidRPr="00A82C17">
        <w:rPr>
          <w:rFonts w:ascii="Arial" w:eastAsia="Yu Gothic UI" w:hAnsi="Arial" w:cs="Arial"/>
          <w:i/>
          <w:iCs/>
          <w:sz w:val="28"/>
          <w:szCs w:val="28"/>
          <w:u w:val="single"/>
        </w:rPr>
        <w:t>specify</w:t>
      </w:r>
      <w:r w:rsidRPr="00A82C17">
        <w:rPr>
          <w:rFonts w:ascii="Arial" w:eastAsia="Yu Gothic UI" w:hAnsi="Arial" w:cs="Arial"/>
          <w:sz w:val="28"/>
          <w:szCs w:val="28"/>
        </w:rPr>
        <w:t>) was less than 17 years old at that time.</w:t>
      </w:r>
    </w:p>
    <w:p w14:paraId="1B58C357" w14:textId="77777777" w:rsidR="00A82C17" w:rsidRPr="00A82C17" w:rsidRDefault="00A82C17" w:rsidP="00A82C17">
      <w:pPr>
        <w:widowControl/>
        <w:tabs>
          <w:tab w:val="left" w:pos="-1440"/>
        </w:tabs>
        <w:spacing w:line="276" w:lineRule="auto"/>
        <w:ind w:left="1440" w:hanging="720"/>
        <w:rPr>
          <w:rFonts w:ascii="Arial" w:eastAsia="Yu Gothic UI" w:hAnsi="Arial" w:cs="Arial"/>
          <w:sz w:val="28"/>
          <w:szCs w:val="28"/>
        </w:rPr>
      </w:pPr>
    </w:p>
    <w:p w14:paraId="4C716F07" w14:textId="374A95A8" w:rsidR="00401DBC" w:rsidRDefault="00401DBC" w:rsidP="00A82C17">
      <w:pPr>
        <w:widowControl/>
        <w:spacing w:line="276" w:lineRule="auto"/>
        <w:ind w:firstLine="360"/>
        <w:rPr>
          <w:rFonts w:ascii="Arial" w:hAnsi="Arial" w:cs="Arial"/>
          <w:sz w:val="28"/>
          <w:szCs w:val="28"/>
        </w:rPr>
      </w:pPr>
      <w:r w:rsidRPr="00A82C17">
        <w:rPr>
          <w:rFonts w:ascii="Arial" w:hAnsi="Arial" w:cs="Arial"/>
          <w:sz w:val="28"/>
          <w:szCs w:val="28"/>
        </w:rPr>
        <w:t>If you find the People have proven beyond a reasonable doubt each of those elements, you must find the defendant guilty of this crime.</w:t>
      </w:r>
    </w:p>
    <w:p w14:paraId="435C1896" w14:textId="77777777" w:rsidR="00A82C17" w:rsidRPr="00A82C17" w:rsidRDefault="00A82C17" w:rsidP="00A82C17">
      <w:pPr>
        <w:widowControl/>
        <w:spacing w:line="276" w:lineRule="auto"/>
        <w:ind w:firstLine="360"/>
        <w:rPr>
          <w:rFonts w:ascii="Arial" w:hAnsi="Arial" w:cs="Arial"/>
          <w:sz w:val="28"/>
          <w:szCs w:val="28"/>
        </w:rPr>
      </w:pPr>
    </w:p>
    <w:p w14:paraId="36BD4F30" w14:textId="77777777" w:rsidR="00401DBC" w:rsidRPr="00A82C17" w:rsidRDefault="00401DBC" w:rsidP="00907595">
      <w:pPr>
        <w:widowControl/>
        <w:spacing w:line="276" w:lineRule="auto"/>
        <w:ind w:firstLine="360"/>
        <w:rPr>
          <w:rFonts w:ascii="Arial" w:eastAsia="Yu Gothic UI" w:hAnsi="Arial" w:cs="Arial"/>
          <w:sz w:val="28"/>
          <w:szCs w:val="28"/>
        </w:rPr>
      </w:pPr>
      <w:r w:rsidRPr="00A82C17">
        <w:rPr>
          <w:rFonts w:ascii="Arial" w:hAnsi="Arial" w:cs="Arial"/>
          <w:sz w:val="28"/>
          <w:szCs w:val="28"/>
        </w:rPr>
        <w:t>If you find the People have not proven beyond a reasonable doubt any one or more of those elements, you must find the defendant not guilty of this crime.</w:t>
      </w:r>
    </w:p>
    <w:sectPr w:rsidR="00401DBC" w:rsidRPr="00A82C17" w:rsidSect="00401DBC">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37399" w14:textId="77777777" w:rsidR="00FD09BA" w:rsidRDefault="00FD09BA" w:rsidP="00401DBC">
      <w:r>
        <w:separator/>
      </w:r>
    </w:p>
  </w:endnote>
  <w:endnote w:type="continuationSeparator" w:id="0">
    <w:p w14:paraId="781E84F4" w14:textId="77777777" w:rsidR="00FD09BA" w:rsidRDefault="00FD09BA" w:rsidP="0040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0A84" w14:textId="77777777" w:rsidR="00FD09BA" w:rsidRDefault="00FD09BA" w:rsidP="00401DBC">
      <w:r>
        <w:separator/>
      </w:r>
    </w:p>
  </w:footnote>
  <w:footnote w:type="continuationSeparator" w:id="0">
    <w:p w14:paraId="0171CD7F" w14:textId="77777777" w:rsidR="00FD09BA" w:rsidRDefault="00FD09BA" w:rsidP="00401DBC">
      <w:r>
        <w:continuationSeparator/>
      </w:r>
    </w:p>
  </w:footnote>
  <w:footnote w:id="1">
    <w:p w14:paraId="24608700" w14:textId="317A29FB" w:rsidR="00FB6479" w:rsidRPr="00B81497" w:rsidRDefault="00FB6479" w:rsidP="00242A06">
      <w:pPr>
        <w:pStyle w:val="FootnoteText"/>
        <w:jc w:val="both"/>
        <w:rPr>
          <w:rFonts w:ascii="Arial" w:hAnsi="Arial" w:cs="Arial"/>
          <w:sz w:val="24"/>
          <w:szCs w:val="24"/>
        </w:rPr>
      </w:pPr>
      <w:r w:rsidRPr="00242A06">
        <w:rPr>
          <w:rStyle w:val="FootnoteReference"/>
          <w:color w:val="00B050"/>
        </w:rPr>
        <w:footnoteRef/>
      </w:r>
      <w:r w:rsidRPr="00242A06">
        <w:rPr>
          <w:color w:val="00B050"/>
        </w:rPr>
        <w:t xml:space="preserve">  </w:t>
      </w:r>
      <w:r w:rsidRPr="00B81497">
        <w:rPr>
          <w:rFonts w:ascii="Arial" w:hAnsi="Arial" w:cs="Arial"/>
          <w:sz w:val="24"/>
          <w:szCs w:val="24"/>
        </w:rPr>
        <w:t>The 2</w:t>
      </w:r>
      <w:r w:rsidR="00F61D44" w:rsidRPr="00B81497">
        <w:rPr>
          <w:rFonts w:ascii="Arial" w:hAnsi="Arial" w:cs="Arial"/>
          <w:sz w:val="24"/>
          <w:szCs w:val="24"/>
        </w:rPr>
        <w:t>020 revision was for the purpose of requiring th</w:t>
      </w:r>
      <w:r w:rsidR="000C164C" w:rsidRPr="00B81497">
        <w:rPr>
          <w:rFonts w:ascii="Arial" w:hAnsi="Arial" w:cs="Arial"/>
          <w:sz w:val="24"/>
          <w:szCs w:val="24"/>
        </w:rPr>
        <w:t xml:space="preserve">e applicable controlled substance as specified in Penal Law § </w:t>
      </w:r>
      <w:r w:rsidR="00242A06" w:rsidRPr="00B81497">
        <w:rPr>
          <w:rFonts w:ascii="Arial" w:hAnsi="Arial" w:cs="Arial"/>
          <w:sz w:val="24"/>
          <w:szCs w:val="24"/>
        </w:rPr>
        <w:t>220.344 or § 220.39 read to the jury.</w:t>
      </w:r>
    </w:p>
    <w:p w14:paraId="79CD6DBD" w14:textId="77777777" w:rsidR="000C164C" w:rsidRPr="00B81497" w:rsidRDefault="000C164C">
      <w:pPr>
        <w:pStyle w:val="FootnoteText"/>
      </w:pPr>
    </w:p>
  </w:footnote>
  <w:footnote w:id="2">
    <w:p w14:paraId="779FB4C5" w14:textId="2931359A" w:rsidR="0006551F" w:rsidRPr="008D18BD" w:rsidRDefault="0006551F" w:rsidP="0006551F">
      <w:pPr>
        <w:spacing w:after="240"/>
        <w:jc w:val="both"/>
        <w:rPr>
          <w:rFonts w:ascii="Arial" w:eastAsia="Yu Gothic UI" w:hAnsi="Arial" w:cs="Arial"/>
          <w:b/>
          <w:bCs/>
          <w:color w:val="00B050"/>
        </w:rPr>
      </w:pPr>
      <w:r w:rsidRPr="00B81497">
        <w:rPr>
          <w:rStyle w:val="FootnoteReference"/>
          <w:rFonts w:ascii="Arial" w:eastAsia="Yu Gothic UI" w:hAnsi="Arial" w:cs="Arial"/>
          <w:vertAlign w:val="superscript"/>
        </w:rPr>
        <w:footnoteRef/>
      </w:r>
      <w:r w:rsidRPr="00B81497">
        <w:rPr>
          <w:rFonts w:ascii="Arial" w:eastAsia="Yu Gothic UI" w:hAnsi="Arial" w:cs="Arial"/>
        </w:rPr>
        <w:t xml:space="preserve"> At this point, the statute states</w:t>
      </w:r>
      <w:r w:rsidR="00B84E6B" w:rsidRPr="00B81497">
        <w:rPr>
          <w:rFonts w:ascii="Arial" w:eastAsia="Yu Gothic UI" w:hAnsi="Arial" w:cs="Arial"/>
        </w:rPr>
        <w:t>:</w:t>
      </w:r>
      <w:r w:rsidRPr="00B81497">
        <w:rPr>
          <w:rFonts w:ascii="Arial" w:eastAsia="Yu Gothic UI" w:hAnsi="Arial" w:cs="Arial"/>
        </w:rPr>
        <w:t xml:space="preserve"> </w:t>
      </w:r>
      <w:r w:rsidRPr="00B81497">
        <w:rPr>
          <w:rFonts w:ascii="Arial" w:eastAsia="Yu Gothic UI" w:hAnsi="Arial" w:cs="Arial"/>
        </w:rPr>
        <w:sym w:font="WP TypographicSymbols" w:char="0041"/>
      </w:r>
      <w:r w:rsidR="00C2683C" w:rsidRPr="00B81497">
        <w:rPr>
          <w:rFonts w:ascii="Arial" w:eastAsia="Yu Gothic UI" w:hAnsi="Arial" w:cs="Arial"/>
        </w:rPr>
        <w:t xml:space="preserve">controlled substance </w:t>
      </w:r>
      <w:r w:rsidRPr="00B81497">
        <w:rPr>
          <w:rFonts w:ascii="Arial" w:eastAsia="Yu Gothic UI" w:hAnsi="Arial" w:cs="Arial"/>
        </w:rPr>
        <w:t>in violation of section 220.34 or 220.39 of this article.</w:t>
      </w:r>
      <w:r w:rsidRPr="00B81497">
        <w:rPr>
          <w:rFonts w:ascii="Arial" w:eastAsia="Yu Gothic UI" w:hAnsi="Arial" w:cs="Arial"/>
        </w:rPr>
        <w:sym w:font="WP TypographicSymbols" w:char="0040"/>
      </w:r>
      <w:r w:rsidRPr="00B81497">
        <w:rPr>
          <w:rFonts w:ascii="Arial" w:eastAsia="Yu Gothic UI" w:hAnsi="Arial" w:cs="Arial"/>
        </w:rPr>
        <w:t xml:space="preserve"> </w:t>
      </w:r>
      <w:r w:rsidR="00907595" w:rsidRPr="00B81497">
        <w:rPr>
          <w:rFonts w:ascii="Arial" w:eastAsia="Yu Gothic UI" w:hAnsi="Arial" w:cs="Arial"/>
        </w:rPr>
        <w:t>Thus, the court should</w:t>
      </w:r>
      <w:r w:rsidR="008D18BD" w:rsidRPr="00B81497">
        <w:rPr>
          <w:rFonts w:ascii="Arial" w:eastAsia="Yu Gothic UI" w:hAnsi="Arial" w:cs="Arial"/>
        </w:rPr>
        <w:t>,</w:t>
      </w:r>
      <w:r w:rsidR="00907595" w:rsidRPr="00B81497">
        <w:rPr>
          <w:rFonts w:ascii="Arial" w:eastAsia="Yu Gothic UI" w:hAnsi="Arial" w:cs="Arial"/>
        </w:rPr>
        <w:t xml:space="preserve"> as indicated in the </w:t>
      </w:r>
      <w:r w:rsidR="00F72687" w:rsidRPr="00B81497">
        <w:rPr>
          <w:rFonts w:ascii="Arial" w:eastAsia="Yu Gothic UI" w:hAnsi="Arial" w:cs="Arial"/>
        </w:rPr>
        <w:t>charge</w:t>
      </w:r>
      <w:r w:rsidR="008D18BD" w:rsidRPr="00B81497">
        <w:rPr>
          <w:rFonts w:ascii="Arial" w:eastAsia="Yu Gothic UI" w:hAnsi="Arial" w:cs="Arial"/>
        </w:rPr>
        <w:t>,</w:t>
      </w:r>
      <w:r w:rsidR="00F72687" w:rsidRPr="00B81497">
        <w:rPr>
          <w:rFonts w:ascii="Arial" w:eastAsia="Yu Gothic UI" w:hAnsi="Arial" w:cs="Arial"/>
        </w:rPr>
        <w:t xml:space="preserve"> substitute the applicable subdivision of Penal Law § 220.34 or </w:t>
      </w:r>
      <w:r w:rsidR="008D18BD" w:rsidRPr="00B81497">
        <w:rPr>
          <w:rFonts w:ascii="Arial" w:eastAsia="Yu Gothic UI" w:hAnsi="Arial" w:cs="Arial"/>
        </w:rPr>
        <w:t xml:space="preserve">§ </w:t>
      </w:r>
      <w:r w:rsidR="00F72687" w:rsidRPr="00B81497">
        <w:rPr>
          <w:rFonts w:ascii="Arial" w:eastAsia="Yu Gothic UI" w:hAnsi="Arial" w:cs="Arial"/>
        </w:rPr>
        <w:t>220.39</w:t>
      </w:r>
      <w:r w:rsidR="008D18BD" w:rsidRPr="00B81497">
        <w:rPr>
          <w:rFonts w:ascii="Arial" w:eastAsia="Yu Gothic UI" w:hAnsi="Arial" w:cs="Arial"/>
        </w:rPr>
        <w:t xml:space="preserve"> that the defendant is charged with violating.</w:t>
      </w:r>
    </w:p>
  </w:footnote>
  <w:footnote w:id="3">
    <w:p w14:paraId="3B817947" w14:textId="7EBB3123" w:rsidR="00401DBC" w:rsidRPr="00A82C17" w:rsidRDefault="00401DBC" w:rsidP="00A82C17">
      <w:pPr>
        <w:spacing w:after="240"/>
        <w:jc w:val="both"/>
        <w:rPr>
          <w:rFonts w:ascii="Arial" w:hAnsi="Arial" w:cs="Arial"/>
        </w:rPr>
      </w:pPr>
      <w:r w:rsidRPr="00A82C17">
        <w:rPr>
          <w:rStyle w:val="FootnoteReference"/>
          <w:rFonts w:ascii="Arial" w:eastAsia="Yu Gothic UI" w:hAnsi="Arial" w:cs="Arial"/>
          <w:vertAlign w:val="superscript"/>
        </w:rPr>
        <w:footnoteRef/>
      </w:r>
      <w:r w:rsidRPr="00A82C17">
        <w:rPr>
          <w:rFonts w:ascii="Arial" w:eastAsia="Yu Gothic UI" w:hAnsi="Arial" w:cs="Arial"/>
        </w:rPr>
        <w:t xml:space="preserve"> </w:t>
      </w:r>
      <w:r w:rsidRPr="00A82C17">
        <w:rPr>
          <w:rFonts w:ascii="Arial" w:eastAsia="Yu Gothic UI" w:hAnsi="Arial" w:cs="Arial"/>
          <w:i/>
          <w:iCs/>
        </w:rPr>
        <w:t>See</w:t>
      </w:r>
      <w:r w:rsidRPr="00A82C17">
        <w:rPr>
          <w:rFonts w:ascii="Arial" w:eastAsia="Yu Gothic UI" w:hAnsi="Arial" w:cs="Arial"/>
        </w:rPr>
        <w:t xml:space="preserve"> Penal Law </w:t>
      </w:r>
      <w:r w:rsidRPr="00A82C17">
        <w:rPr>
          <w:rFonts w:ascii="Arial" w:eastAsia="Yu Gothic UI" w:hAnsi="Arial" w:cs="Arial"/>
        </w:rPr>
        <w:sym w:font="WP TypographicSymbols" w:char="0027"/>
      </w:r>
      <w:r w:rsidRPr="00A82C17">
        <w:rPr>
          <w:rFonts w:ascii="Arial" w:eastAsia="Yu Gothic UI" w:hAnsi="Arial" w:cs="Arial"/>
        </w:rPr>
        <w:t xml:space="preserve"> 220.00(1); </w:t>
      </w:r>
      <w:r w:rsidRPr="00A82C17">
        <w:rPr>
          <w:rFonts w:ascii="Arial" w:eastAsia="Yu Gothic UI" w:hAnsi="Arial" w:cs="Arial"/>
          <w:i/>
          <w:iCs/>
        </w:rPr>
        <w:t>People v. Samuels</w:t>
      </w:r>
      <w:r w:rsidRPr="00A82C17">
        <w:rPr>
          <w:rFonts w:ascii="Arial" w:eastAsia="Yu Gothic UI" w:hAnsi="Arial" w:cs="Arial"/>
        </w:rPr>
        <w:t>, 9</w:t>
      </w:r>
      <w:r w:rsidR="00AB432D">
        <w:rPr>
          <w:rFonts w:ascii="Arial" w:eastAsia="Yu Gothic UI" w:hAnsi="Arial" w:cs="Arial"/>
        </w:rPr>
        <w:t>9</w:t>
      </w:r>
      <w:r w:rsidRPr="00A82C17">
        <w:rPr>
          <w:rFonts w:ascii="Arial" w:eastAsia="Yu Gothic UI" w:hAnsi="Arial" w:cs="Arial"/>
        </w:rPr>
        <w:t xml:space="preserve"> N.Y.2d 20 (2002).</w:t>
      </w:r>
    </w:p>
  </w:footnote>
  <w:footnote w:id="4">
    <w:p w14:paraId="71165C73" w14:textId="7B058EB0" w:rsidR="00401DBC" w:rsidRPr="00A82C17" w:rsidRDefault="00401DBC" w:rsidP="00F7303B">
      <w:pPr>
        <w:spacing w:after="240"/>
        <w:jc w:val="both"/>
        <w:rPr>
          <w:rFonts w:ascii="Arial" w:eastAsia="Yu Gothic UI" w:hAnsi="Arial" w:cs="Arial"/>
        </w:rPr>
      </w:pPr>
      <w:r w:rsidRPr="00A82C17">
        <w:rPr>
          <w:rStyle w:val="FootnoteReference"/>
          <w:rFonts w:ascii="Arial" w:eastAsia="Yu Gothic UI" w:hAnsi="Arial" w:cs="Arial"/>
          <w:vertAlign w:val="superscript"/>
        </w:rPr>
        <w:footnoteRef/>
      </w:r>
      <w:r w:rsidRPr="00A82C17">
        <w:rPr>
          <w:rFonts w:ascii="Arial" w:eastAsia="Yu Gothic UI" w:hAnsi="Arial" w:cs="Arial"/>
        </w:rPr>
        <w:t xml:space="preserve"> </w:t>
      </w:r>
      <w:r w:rsidRPr="00A82C17">
        <w:rPr>
          <w:rFonts w:ascii="Arial" w:eastAsia="Yu Gothic UI" w:hAnsi="Arial" w:cs="Arial"/>
          <w:i/>
          <w:iCs/>
        </w:rPr>
        <w:t>See</w:t>
      </w:r>
      <w:r w:rsidRPr="00A82C17">
        <w:rPr>
          <w:rFonts w:ascii="Arial" w:eastAsia="Yu Gothic UI" w:hAnsi="Arial" w:cs="Arial"/>
        </w:rPr>
        <w:t xml:space="preserve"> Penal Law </w:t>
      </w:r>
      <w:r w:rsidRPr="00A82C17">
        <w:rPr>
          <w:rFonts w:ascii="Arial" w:eastAsia="Yu Gothic UI" w:hAnsi="Arial" w:cs="Arial"/>
        </w:rPr>
        <w:sym w:font="WP TypographicSymbols" w:char="0027"/>
      </w:r>
      <w:r w:rsidRPr="00A82C17">
        <w:rPr>
          <w:rFonts w:ascii="Arial" w:eastAsia="Yu Gothic UI" w:hAnsi="Arial" w:cs="Arial"/>
        </w:rPr>
        <w:t xml:space="preserve">15.05(2).  An expanded definition of </w:t>
      </w:r>
      <w:r w:rsidRPr="00A82C17">
        <w:rPr>
          <w:rFonts w:ascii="Arial" w:eastAsia="Yu Gothic UI" w:hAnsi="Arial" w:cs="Arial"/>
        </w:rPr>
        <w:sym w:font="WP TypographicSymbols" w:char="0041"/>
      </w:r>
      <w:r w:rsidRPr="00A82C17">
        <w:rPr>
          <w:rFonts w:ascii="Arial" w:eastAsia="Yu Gothic UI" w:hAnsi="Arial" w:cs="Arial"/>
        </w:rPr>
        <w:t>knowingly</w:t>
      </w:r>
      <w:r w:rsidRPr="00A82C17">
        <w:rPr>
          <w:rFonts w:ascii="Arial" w:eastAsia="Yu Gothic UI" w:hAnsi="Arial" w:cs="Arial"/>
        </w:rPr>
        <w:sym w:font="WP TypographicSymbols" w:char="0040"/>
      </w:r>
      <w:r w:rsidR="00F7303B">
        <w:rPr>
          <w:rFonts w:ascii="Arial" w:eastAsia="Yu Gothic UI" w:hAnsi="Arial" w:cs="Arial"/>
        </w:rPr>
        <w:t xml:space="preserve"> </w:t>
      </w:r>
      <w:r w:rsidRPr="00A82C17">
        <w:rPr>
          <w:rFonts w:ascii="Arial" w:eastAsia="Yu Gothic UI" w:hAnsi="Arial" w:cs="Arial"/>
        </w:rPr>
        <w:t>is available in the General Charges section under Culpable Mental States.  Note that for purposes of this crime, knowingly does not apply to the age of the buyer (</w:t>
      </w:r>
      <w:r w:rsidRPr="00A82C17">
        <w:rPr>
          <w:rFonts w:ascii="Arial" w:eastAsia="Yu Gothic UI" w:hAnsi="Arial" w:cs="Arial"/>
          <w:i/>
          <w:iCs/>
        </w:rPr>
        <w:t>See</w:t>
      </w:r>
      <w:r w:rsidRPr="00A82C17">
        <w:rPr>
          <w:rFonts w:ascii="Arial" w:eastAsia="Yu Gothic UI" w:hAnsi="Arial" w:cs="Arial"/>
        </w:rPr>
        <w:t xml:space="preserve">, Penal Law </w:t>
      </w:r>
      <w:r w:rsidRPr="00A82C17">
        <w:rPr>
          <w:rFonts w:ascii="Arial" w:eastAsia="Yu Gothic UI" w:hAnsi="Arial" w:cs="Arial"/>
        </w:rPr>
        <w:sym w:font="WP TypographicSymbols" w:char="0027"/>
      </w:r>
      <w:r w:rsidRPr="00A82C17">
        <w:rPr>
          <w:rFonts w:ascii="Arial" w:eastAsia="Yu Gothic UI" w:hAnsi="Arial" w:cs="Arial"/>
        </w:rPr>
        <w:t xml:space="preserve">15.20(3). </w:t>
      </w:r>
    </w:p>
  </w:footnote>
  <w:footnote w:id="5">
    <w:p w14:paraId="01E5A8CF" w14:textId="70A0C740" w:rsidR="00401DBC" w:rsidRPr="00A82C17" w:rsidRDefault="00401DBC">
      <w:pPr>
        <w:spacing w:after="240" w:line="300" w:lineRule="auto"/>
        <w:jc w:val="both"/>
        <w:rPr>
          <w:rFonts w:ascii="Arial" w:eastAsia="Yu Gothic UI" w:hAnsi="Arial" w:cs="Arial"/>
        </w:rPr>
      </w:pPr>
      <w:r w:rsidRPr="00A82C17">
        <w:rPr>
          <w:rStyle w:val="FootnoteReference"/>
          <w:rFonts w:ascii="Arial" w:eastAsia="Yu Gothic UI" w:hAnsi="Arial" w:cs="Arial"/>
          <w:vertAlign w:val="superscript"/>
        </w:rPr>
        <w:footnoteRef/>
      </w:r>
      <w:r w:rsidRPr="00A82C17">
        <w:rPr>
          <w:rFonts w:ascii="Arial" w:eastAsia="Yu Gothic UI" w:hAnsi="Arial" w:cs="Arial"/>
        </w:rPr>
        <w:t xml:space="preserve"> </w:t>
      </w:r>
      <w:r w:rsidRPr="00A82C17">
        <w:rPr>
          <w:rFonts w:ascii="Arial" w:eastAsia="Yu Gothic UI" w:hAnsi="Arial" w:cs="Arial"/>
          <w:i/>
          <w:iCs/>
        </w:rPr>
        <w:t xml:space="preserve">See </w:t>
      </w:r>
      <w:r w:rsidRPr="00A82C17">
        <w:rPr>
          <w:rFonts w:ascii="Arial" w:eastAsia="Yu Gothic UI" w:hAnsi="Arial" w:cs="Arial"/>
        </w:rPr>
        <w:t xml:space="preserve">Penal Law </w:t>
      </w:r>
      <w:r w:rsidRPr="00A82C17">
        <w:rPr>
          <w:rFonts w:ascii="Arial" w:eastAsia="Yu Gothic UI" w:hAnsi="Arial" w:cs="Arial"/>
        </w:rPr>
        <w:sym w:font="WP TypographicSymbols" w:char="0027"/>
      </w:r>
      <w:r w:rsidRPr="00A82C17">
        <w:rPr>
          <w:rFonts w:ascii="Arial" w:eastAsia="Yu Gothic UI" w:hAnsi="Arial" w:cs="Arial"/>
        </w:rPr>
        <w:t xml:space="preserve"> 15.20(3).</w:t>
      </w:r>
    </w:p>
  </w:footnote>
  <w:footnote w:id="6">
    <w:p w14:paraId="6289B895" w14:textId="77777777" w:rsidR="00401DBC" w:rsidRPr="00A82C17" w:rsidRDefault="00401DBC">
      <w:pPr>
        <w:spacing w:after="240"/>
        <w:jc w:val="both"/>
        <w:rPr>
          <w:rFonts w:ascii="Arial" w:hAnsi="Arial" w:cs="Arial"/>
        </w:rPr>
      </w:pPr>
      <w:r w:rsidRPr="00A82C17">
        <w:rPr>
          <w:rStyle w:val="FootnoteReference"/>
          <w:rFonts w:ascii="Arial" w:eastAsia="Yu Gothic UI" w:hAnsi="Arial" w:cs="Arial"/>
          <w:vertAlign w:val="superscript"/>
        </w:rPr>
        <w:footnoteRef/>
      </w:r>
      <w:r w:rsidRPr="00A82C17">
        <w:rPr>
          <w:rFonts w:ascii="Arial" w:eastAsia="Yu Gothic UI" w:hAnsi="Arial" w:cs="Arial"/>
        </w:rPr>
        <w:t xml:space="preserve"> </w:t>
      </w:r>
      <w:r w:rsidRPr="00A82C17">
        <w:rPr>
          <w:rFonts w:ascii="Arial" w:eastAsia="Yu Gothic UI" w:hAnsi="Arial" w:cs="Arial"/>
          <w:i/>
          <w:iCs/>
        </w:rPr>
        <w:t>See</w:t>
      </w:r>
      <w:r w:rsidRPr="00A82C17">
        <w:rPr>
          <w:rFonts w:ascii="Arial" w:eastAsia="Yu Gothic UI" w:hAnsi="Arial" w:cs="Arial"/>
        </w:rPr>
        <w:t xml:space="preserve"> Penal Law </w:t>
      </w:r>
      <w:r w:rsidRPr="00A82C17">
        <w:rPr>
          <w:rFonts w:ascii="Arial" w:eastAsia="Yu Gothic UI" w:hAnsi="Arial" w:cs="Arial"/>
        </w:rPr>
        <w:sym w:font="WP TypographicSymbols" w:char="0027"/>
      </w:r>
      <w:r w:rsidRPr="00A82C17">
        <w:rPr>
          <w:rFonts w:ascii="Arial" w:eastAsia="Yu Gothic UI" w:hAnsi="Arial" w:cs="Arial"/>
        </w:rPr>
        <w:t xml:space="preserve"> 220.00(2) and Public Health Law </w:t>
      </w:r>
      <w:r w:rsidRPr="00A82C17">
        <w:rPr>
          <w:rFonts w:ascii="Arial" w:eastAsia="Yu Gothic UI" w:hAnsi="Arial" w:cs="Arial"/>
        </w:rPr>
        <w:sym w:font="WP TypographicSymbols" w:char="0027"/>
      </w:r>
      <w:r w:rsidRPr="00A82C17">
        <w:rPr>
          <w:rFonts w:ascii="Arial" w:eastAsia="Yu Gothic UI" w:hAnsi="Arial" w:cs="Arial"/>
        </w:rPr>
        <w:t xml:space="preserve"> 3396(1).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426020E8"/>
    <w:multiLevelType w:val="hybridMultilevel"/>
    <w:tmpl w:val="01DEE5C6"/>
    <w:lvl w:ilvl="0" w:tplc="B93CAE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BC"/>
    <w:rsid w:val="000432B8"/>
    <w:rsid w:val="0006551F"/>
    <w:rsid w:val="000C164C"/>
    <w:rsid w:val="001416B4"/>
    <w:rsid w:val="00242A06"/>
    <w:rsid w:val="002C4D64"/>
    <w:rsid w:val="00320F9F"/>
    <w:rsid w:val="003C0DC0"/>
    <w:rsid w:val="00401DBC"/>
    <w:rsid w:val="00456ECA"/>
    <w:rsid w:val="004677DD"/>
    <w:rsid w:val="004D6717"/>
    <w:rsid w:val="005071D7"/>
    <w:rsid w:val="0053058E"/>
    <w:rsid w:val="005C1A90"/>
    <w:rsid w:val="005E63DB"/>
    <w:rsid w:val="00693326"/>
    <w:rsid w:val="00712E93"/>
    <w:rsid w:val="0073502F"/>
    <w:rsid w:val="00744D58"/>
    <w:rsid w:val="00750A13"/>
    <w:rsid w:val="007802D4"/>
    <w:rsid w:val="00836952"/>
    <w:rsid w:val="008D18BD"/>
    <w:rsid w:val="00907595"/>
    <w:rsid w:val="00974B3F"/>
    <w:rsid w:val="009808FF"/>
    <w:rsid w:val="0098768F"/>
    <w:rsid w:val="009E6996"/>
    <w:rsid w:val="009F338E"/>
    <w:rsid w:val="00A82C17"/>
    <w:rsid w:val="00AB432D"/>
    <w:rsid w:val="00B81497"/>
    <w:rsid w:val="00B84E6B"/>
    <w:rsid w:val="00BE1F25"/>
    <w:rsid w:val="00C2683C"/>
    <w:rsid w:val="00C55904"/>
    <w:rsid w:val="00E02997"/>
    <w:rsid w:val="00F063FB"/>
    <w:rsid w:val="00F60B18"/>
    <w:rsid w:val="00F61D44"/>
    <w:rsid w:val="00F679A5"/>
    <w:rsid w:val="00F72687"/>
    <w:rsid w:val="00F7303B"/>
    <w:rsid w:val="00FB6479"/>
    <w:rsid w:val="00FD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CC960"/>
  <w14:defaultImageDpi w14:val="0"/>
  <w15:docId w15:val="{956039DD-BDA9-4698-A9A9-BCA6D2BB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vertAlign w:val="superscript"/>
    </w:rPr>
  </w:style>
  <w:style w:type="paragraph" w:styleId="ListParagraph">
    <w:name w:val="List Paragraph"/>
    <w:basedOn w:val="Normal"/>
    <w:uiPriority w:val="34"/>
    <w:qFormat/>
    <w:rsid w:val="00A82C17"/>
    <w:pPr>
      <w:ind w:left="720"/>
    </w:pPr>
  </w:style>
  <w:style w:type="paragraph" w:styleId="FootnoteText">
    <w:name w:val="footnote text"/>
    <w:basedOn w:val="Normal"/>
    <w:link w:val="FootnoteTextChar"/>
    <w:uiPriority w:val="99"/>
    <w:semiHidden/>
    <w:unhideWhenUsed/>
    <w:rsid w:val="00FB6479"/>
    <w:rPr>
      <w:sz w:val="20"/>
      <w:szCs w:val="20"/>
    </w:rPr>
  </w:style>
  <w:style w:type="character" w:customStyle="1" w:styleId="FootnoteTextChar">
    <w:name w:val="Footnote Text Char"/>
    <w:basedOn w:val="DefaultParagraphFont"/>
    <w:link w:val="FootnoteText"/>
    <w:uiPriority w:val="99"/>
    <w:semiHidden/>
    <w:rsid w:val="00FB647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90A2-C13F-47E7-9A3D-BCAE18D2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43</cp:revision>
  <dcterms:created xsi:type="dcterms:W3CDTF">2020-08-18T22:01:00Z</dcterms:created>
  <dcterms:modified xsi:type="dcterms:W3CDTF">2020-11-06T19:17:00Z</dcterms:modified>
</cp:coreProperties>
</file>