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DISSEMINATING INDECENT MATERIAL TO MINORS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235.22</w:t>
        <w:br/>
      </w:r>
      <w:r>
        <w:rPr>
          <w:rFonts w:ascii="Arial" w:hAnsi="Arial" w:eastAsia="Arial"/>
          <w:b w:val="true"/>
          <w:strike w:val="false"/>
          <w:color w:val="000000"/>
          <w:spacing w:val="0"/>
          <w:w w:val="100"/>
          <w:sz w:val="28"/>
          <w:vertAlign w:val="baseline"/>
          <w:lang w:val="en-US"/>
        </w:rPr>
        <w:t xml:space="preserve">(Committed on or after March 19, 2007)</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Disseminating Indecent Material to Minors in the First Degree when, knowing the character and content of the communication which, in whole or in part, depicts or describes, either in words or images actual or simulated nudity, sexual conduct or sado-masochistic abuse, and which is harmful to minors, he or she intentionally uses any computer communication system allowing the input, output, examination or transfer, of computer data or computer programs from one computer to another, to initiate or engage in such communication with a person who is a minor, and by means of such communication he or she intentionally</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28"/>
          <w:vertAlign w:val="baseline"/>
          <w:lang w:val="en-US"/>
        </w:rPr>
        <w:t xml:space="preserve"> importunes, invites or induces a minor to engage in sexual intercourse, oral sexual conduct or anal sexual conduct, or sexual contact with him or her, [or to engage in a sexual performance, obscene sexual performance, or sexual conduct for his or her benefit].</w:t>
      </w:r>
    </w:p>
    <w:p>
      <w:pPr>
        <w:pageBreakBefore w:val="false"/>
        <w:spacing w:before="351" w:after="714"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4" w:after="0" w:line="276" w:lineRule="exact"/>
        <w:ind w:right="72" w:left="0" w:firstLine="72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531.85pt" to="252.05pt,531.8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charge was revised to add the words “or describes in words or images” as required by a statutory amendment, effective March 19, 2007. L.2007, c.8. </w:t>
      </w:r>
      <w:r>
        <w:rPr>
          <w:rFonts w:ascii="Arial" w:hAnsi="Arial" w:eastAsia="Arial"/>
          <w:i w:val="true"/>
          <w:strike w:val="false"/>
          <w:color w:val="000000"/>
          <w:spacing w:val="0"/>
          <w:w w:val="100"/>
          <w:sz w:val="24"/>
          <w:vertAlign w:val="baseline"/>
          <w:lang w:val="en-US"/>
        </w:rPr>
        <w:t xml:space="preserve">See, People v. Kozlow, </w:t>
      </w:r>
      <w:r>
        <w:rPr>
          <w:rFonts w:ascii="Arial" w:hAnsi="Arial" w:eastAsia="Arial"/>
          <w:strike w:val="false"/>
          <w:color w:val="000000"/>
          <w:spacing w:val="0"/>
          <w:w w:val="100"/>
          <w:sz w:val="24"/>
          <w:vertAlign w:val="baseline"/>
          <w:lang w:val="en-US"/>
        </w:rPr>
        <w:t xml:space="preserve">2007 WL 1213697 (N.Y. Court of Appeals).</w:t>
      </w:r>
    </w:p>
    <w:p>
      <w:pPr>
        <w:pageBreakBefore w:val="false"/>
        <w:spacing w:before="248" w:after="0" w:line="276" w:lineRule="exact"/>
        <w:ind w:right="21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word “intentionally” has been added to comport with </w:t>
      </w:r>
      <w:r>
        <w:rPr>
          <w:rFonts w:ascii="Arial" w:hAnsi="Arial" w:eastAsia="Arial"/>
          <w:i w:val="true"/>
          <w:strike w:val="false"/>
          <w:color w:val="000000"/>
          <w:spacing w:val="0"/>
          <w:w w:val="100"/>
          <w:sz w:val="24"/>
          <w:vertAlign w:val="baseline"/>
          <w:lang w:val="en-US"/>
        </w:rPr>
        <w:t xml:space="preserve">People v. Foley</w:t>
      </w:r>
      <w:r>
        <w:rPr>
          <w:rFonts w:ascii="Arial" w:hAnsi="Arial" w:eastAsia="Arial"/>
          <w:strike w:val="false"/>
          <w:color w:val="000000"/>
          <w:spacing w:val="0"/>
          <w:w w:val="100"/>
          <w:sz w:val="24"/>
          <w:vertAlign w:val="baseline"/>
          <w:lang w:val="en-US"/>
        </w:rPr>
        <w:t xml:space="preserve">, 94 N.Y.2d 668 (2000).</w:t>
      </w:r>
    </w:p>
    <w:p>
      <w:pPr>
        <w:pageBreakBefore w:val="false"/>
        <w:spacing w:before="239" w:after="0" w:line="276" w:lineRule="exact"/>
        <w:ind w:right="7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definitions of the terms “sexual intercourse,” “oral sexual conduct,” “anal sexual conduct,” “sexual contact,” “sexual performance” and “obscene sexual performance” may be found in Penal Law §§ 130.00(1), 130.00(2)(a), 130.00(2)(b), 130.00(3), 263.00(1) and 263.00(2) respectively, and may be included in the charge as appropriate.</w:t>
      </w:r>
    </w:p>
    <w:p>
      <w:pPr>
        <w:sectPr>
          <w:type w:val="nextPage"/>
          <w:pgSz w:w="12240" w:h="15840" w:orient="portrait"/>
          <w:pgMar w:bottom="1024" w:top="1440" w:right="2140" w:left="2160" w:header="720" w:footer="720"/>
          <w:titlePg w:val="false"/>
          <w:textDirection w:val="lrTb"/>
        </w:sectPr>
      </w:pPr>
    </w:p>
    <w:p>
      <w:pPr>
        <w:pageBreakBefore w:val="false"/>
        <w:spacing w:before="38" w:after="0"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4</w:t>
      </w:r>
      <w:r>
        <w:rPr>
          <w:rFonts w:ascii="Arial" w:hAnsi="Arial" w:eastAsia="Arial"/>
          <w:strike w:val="false"/>
          <w:color w:val="000000"/>
          <w:spacing w:val="-5"/>
          <w:w w:val="100"/>
          <w:sz w:val="17"/>
          <w:vertAlign w:val="baseline"/>
          <w:lang w:val="en-US"/>
        </w:rPr>
        <w:t xml:space="preserve">
</w:t>
      </w:r>
    </w:p>
    <w:p>
      <w:pPr>
        <w:pageBreakBefore w:val="false"/>
        <w:spacing w:before="338"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SIMULATED means the explicit depiction or description of the conduct described which creates the appearance of such conduct.</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 </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HARMFUL TO MINOR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2" w:after="30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spacing w:before="257"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590.9pt" to="252.05pt,590.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235.20(1).</w:t>
      </w:r>
    </w:p>
    <w:p>
      <w:pPr>
        <w:pageBreakBefore w:val="false"/>
        <w:spacing w:before="244"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See Penal Law § 235.00(6).</w:t>
      </w:r>
    </w:p>
    <w:p>
      <w:pPr>
        <w:pageBreakBefore w:val="false"/>
        <w:spacing w:before="236"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235.20(2).</w:t>
      </w:r>
    </w:p>
    <w:p>
      <w:pPr>
        <w:pageBreakBefore w:val="false"/>
        <w:spacing w:before="238"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235.20(3).</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Penal Law § 235.20(5).</w:t>
      </w:r>
    </w:p>
    <w:p>
      <w:pPr>
        <w:sectPr>
          <w:type w:val="nextPage"/>
          <w:pgSz w:w="12240" w:h="15840" w:orient="portrait"/>
          <w:pgMar w:bottom="1004" w:top="1400" w:right="2140" w:left="2160" w:header="720" w:footer="720"/>
          <w:titlePg w:val="false"/>
          <w:textDirection w:val="lrTb"/>
        </w:sectPr>
      </w:pPr>
    </w:p>
    <w:p>
      <w:pPr>
        <w:pageBreakBefore w:val="false"/>
        <w:spacing w:before="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 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3"/>
          <w:w w:val="100"/>
          <w:sz w:val="28"/>
          <w:vertAlign w:val="superscript"/>
          <w:lang w:val="en-US"/>
        </w:rPr>
        <w:t xml:space="preserve">11</w:t>
      </w:r>
      <w:r>
        <w:rPr>
          <w:rFonts w:ascii="Arial" w:hAnsi="Arial" w:eastAsia="Arial"/>
          <w:strike w:val="false"/>
          <w:color w:val="000000"/>
          <w:spacing w:val="-3"/>
          <w:w w:val="100"/>
          <w:sz w:val="28"/>
          <w:vertAlign w:val="baseline"/>
          <w:lang w:val="en-US"/>
        </w:rPr>
        <w:t xml:space="preserv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uses a computer system to initiate or engage in a communication with a minor when that person’s conscious objective or purpose is to do so, and a person INTENTIONALLY importunes, invites or induces a minor to engage in sexual activity when that person’s conscious objective or purpose is to do so.</w:t>
      </w:r>
      <w:r>
        <w:rPr>
          <w:rFonts w:ascii="Arial" w:hAnsi="Arial" w:eastAsia="Arial"/>
          <w:strike w:val="false"/>
          <w:color w:val="000000"/>
          <w:spacing w:val="0"/>
          <w:w w:val="100"/>
          <w:sz w:val="28"/>
          <w:vertAlign w:val="superscript"/>
          <w:lang w:val="en-US"/>
        </w:rPr>
        <w:t xml:space="preserve">12</w:t>
      </w:r>
      <w:r>
        <w:rPr>
          <w:rFonts w:ascii="Arial" w:hAnsi="Arial" w:eastAsia="Arial"/>
          <w:strike w:val="false"/>
          <w:color w:val="000000"/>
          <w:spacing w:val="0"/>
          <w:w w:val="100"/>
          <w:sz w:val="17"/>
          <w:vertAlign w:val="baseline"/>
          <w:lang w:val="en-US"/>
        </w:rPr>
        <w:t xml:space="preserve">
</w:t>
      </w:r>
    </w:p>
    <w:p>
      <w:pPr>
        <w:pageBreakBefore w:val="false"/>
        <w:spacing w:before="340" w:after="0" w:line="317"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Add if appropriate:</w:t>
      </w:r>
    </w:p>
    <w:p>
      <w:pPr>
        <w:pageBreakBefore w:val="false"/>
        <w:spacing w:before="325"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w:t>
      </w:r>
    </w:p>
    <w:p>
      <w:pPr>
        <w:pageBreakBefore w:val="false"/>
        <w:spacing w:before="325" w:after="0" w:line="324"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as appropriate</w:t>
      </w:r>
      <w:r>
        <w:rPr>
          <w:rFonts w:ascii="Arial" w:hAnsi="Arial" w:eastAsia="Arial"/>
          <w:strike w:val="false"/>
          <w:color w:val="000000"/>
          <w:spacing w:val="0"/>
          <w:w w:val="100"/>
          <w:sz w:val="28"/>
          <w:u w:val="single"/>
          <w:vertAlign w:val="baseline"/>
          <w:lang w:val="en-US"/>
        </w:rPr>
        <w:t xml:space="preserve">:</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made a reasonable effort to ascertain the true age of the minor and was unable to do so as a result of actions taken by the minor; or</w:t>
      </w:r>
    </w:p>
    <w:p>
      <w:pPr>
        <w:pageBreakBefore w:val="false"/>
        <w:spacing w:before="329" w:after="499"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the defendant took, in good faith, reasonable, effective and appropriate actions under the circumstances to restrict or prevent access by minors to the described materials, which involved any</w:t>
      </w:r>
    </w:p>
    <w:p>
      <w:pPr>
        <w:pageBreakBefore w:val="false"/>
        <w:spacing w:before="258"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16.8pt" to="252.05pt,616.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235.20(6).</w:t>
      </w:r>
    </w:p>
    <w:p>
      <w:pPr>
        <w:pageBreakBefore w:val="false"/>
        <w:spacing w:before="234"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235.20(4).</w:t>
      </w:r>
    </w:p>
    <w:p>
      <w:pPr>
        <w:pageBreakBefore w:val="false"/>
        <w:spacing w:before="237"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strike w:val="false"/>
          <w:color w:val="000000"/>
          <w:spacing w:val="0"/>
          <w:w w:val="100"/>
          <w:sz w:val="24"/>
          <w:vertAlign w:val="baseline"/>
          <w:lang w:val="en-US"/>
        </w:rPr>
        <w:t xml:space="preserve"> See Penal Law § 10.00(17).</w:t>
      </w:r>
    </w:p>
    <w:p>
      <w:pPr>
        <w:pageBreakBefore w:val="false"/>
        <w:spacing w:before="241"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See Penal Law § 15.05(1).</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appropriate measures to restrict minors from access to such communications, including any method which was feasible under available technology; or</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restricted access to such materials by requiring use of a verified credit card, debit account, adult access code or adult personal identification number; or</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in good faith established a mechanism such as labelling, segregation, or other mechanism enabling such material to be automatically blocked or screened by software or other capabilities reasonably available to responsible adults wishing to effect such blocking or screening and the defendant did not otherwise solicit minors not subject to such screening or blocking capabilities to access that material or to circumvent any such screening or blocking.]</w:t>
      </w:r>
      <w:r>
        <w:rPr>
          <w:rFonts w:ascii="Arial" w:hAnsi="Arial" w:eastAsia="Arial"/>
          <w:strike w:val="false"/>
          <w:color w:val="000000"/>
          <w:spacing w:val="0"/>
          <w:w w:val="100"/>
          <w:sz w:val="28"/>
          <w:vertAlign w:val="superscript"/>
          <w:lang w:val="en-US"/>
        </w:rPr>
        <w:t xml:space="preserve">13</w:t>
      </w:r>
      <w:r>
        <w:rPr>
          <w:rFonts w:ascii="Arial" w:hAnsi="Arial" w:eastAsia="Arial"/>
          <w:strike w:val="false"/>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six [seven] elements:</w:t>
      </w:r>
    </w:p>
    <w:p>
      <w:pPr>
        <w:pageBreakBefore w:val="false"/>
        <w:numPr>
          <w:ilvl w:val="0"/>
          <w:numId w:val="2"/>
        </w:numPr>
        <w:tabs>
          <w:tab w:val="clear" w:pos="360"/>
          <w:tab w:val="left" w:pos="1080"/>
        </w:tabs>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intentionally used a computer communication system allowing the input, output, examination or transfer, of computer data or computer programs from one computer to another;</w:t>
      </w:r>
    </w:p>
    <w:p>
      <w:pPr>
        <w:pageBreakBefore w:val="false"/>
        <w:numPr>
          <w:ilvl w:val="0"/>
          <w:numId w:val="2"/>
        </w:numPr>
        <w:tabs>
          <w:tab w:val="clear" w:pos="360"/>
          <w:tab w:val="left" w:pos="1080"/>
        </w:tabs>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to initiate or engage in a communication with a minor which, in whole or in part, depicted or described, either in words or images actual or simulated nudity, [sexual conduct] or [sado-masochistic abuse];</w:t>
      </w:r>
    </w:p>
    <w:p>
      <w:pPr>
        <w:pageBreakBefore w:val="false"/>
        <w:numPr>
          <w:ilvl w:val="0"/>
          <w:numId w:val="2"/>
        </w:numPr>
        <w:tabs>
          <w:tab w:val="clear" w:pos="360"/>
          <w:tab w:val="left" w:pos="1080"/>
        </w:tabs>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the character and content of that communication;</w:t>
      </w:r>
    </w:p>
    <w:p>
      <w:pPr>
        <w:pageBreakBefore w:val="false"/>
        <w:numPr>
          <w:ilvl w:val="0"/>
          <w:numId w:val="2"/>
        </w:numPr>
        <w:tabs>
          <w:tab w:val="clear" w:pos="360"/>
          <w:tab w:val="left" w:pos="1080"/>
        </w:tabs>
        <w:spacing w:before="332" w:after="434"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communication was harmful to minors;</w:t>
      </w:r>
    </w:p>
    <w:p>
      <w:pPr>
        <w:pageBreakBefore w:val="false"/>
        <w:spacing w:before="254"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See Penal Law § 235.23(3).</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5.That the defendant initiated or engaged in that communication with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and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minor; and</w:t>
      </w:r>
    </w:p>
    <w:p>
      <w:pPr>
        <w:pageBreakBefore w:val="false"/>
        <w:numPr>
          <w:ilvl w:val="0"/>
          <w:numId w:val="3"/>
        </w:numPr>
        <w:tabs>
          <w:tab w:val="clear" w:pos="360"/>
          <w:tab w:val="left" w:pos="1080"/>
        </w:tabs>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by means of such communication the defendant intentionally importuned, invited or induced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to engage in sexual intercourse, oral sexual conduct or anal sexual conduct or sexual contact with him/her, [or to engage in a sexual performance, obscene sexual performance, or sexual conduct for his/ her benefit]; [and]</w:t>
      </w:r>
    </w:p>
    <w:p>
      <w:pPr>
        <w:pageBreakBefore w:val="false"/>
        <w:spacing w:before="322"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applicable, select appropriate paragraph(s) negating a defense, as element number 7, etc.:</w:t>
      </w:r>
    </w:p>
    <w:p>
      <w:pPr>
        <w:pageBreakBefore w:val="false"/>
        <w:numPr>
          <w:ilvl w:val="0"/>
          <w:numId w:val="4"/>
        </w:numPr>
        <w:tabs>
          <w:tab w:val="clear" w:pos="216"/>
          <w:tab w:val="left" w:pos="936"/>
        </w:tabs>
        <w:spacing w:before="324" w:after="0" w:line="319" w:lineRule="exact"/>
        <w:ind w:right="0" w:left="0" w:firstLine="720"/>
        <w:jc w:val="left"/>
        <w:textAlignment w:val="baseline"/>
        <w:rPr>
          <w:rFonts w:ascii="Arial" w:hAnsi="Arial" w:eastAsia="Arial"/>
          <w:i w:val="true"/>
          <w:strike w:val="false"/>
          <w:color w:val="000000"/>
          <w:spacing w:val="61"/>
          <w:w w:val="100"/>
          <w:sz w:val="28"/>
          <w:vertAlign w:val="baseline"/>
          <w:lang w:val="en-US"/>
        </w:rPr>
      </w:pPr>
      <w:r>
        <w:rPr>
          <w:rFonts w:ascii="Arial" w:hAnsi="Arial" w:eastAsia="Arial"/>
          <w:i w:val="true"/>
          <w:strike w:val="false"/>
          <w:color w:val="000000"/>
          <w:spacing w:val="61"/>
          <w:w w:val="100"/>
          <w:sz w:val="28"/>
          <w:vertAlign w:val="baseline"/>
          <w:lang w:val="en-US"/>
        </w:rPr>
        <w:t xml:space="preserve">
</w:t>
      </w:r>
    </w:p>
    <w:p>
      <w:pPr>
        <w:pageBreakBefore w:val="false"/>
        <w:spacing w:before="316"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make a reasonable effort to ascertain the true age of the minor.</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defendant’s effort to ascertain the true age of the minor, the defendant was not prevented from ascertaining the age of the minor as a result of actions taken by the minor.</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take, in good faith, reasonable, effective and appropriate actions under the circumstances to restrict or prevent access by minors to the described materials.</w:t>
      </w:r>
    </w:p>
    <w:p>
      <w:pPr>
        <w:pageBreakBefore w:val="false"/>
        <w:spacing w:before="330"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did not restrict access to such materials by requiring use of a verified credit card, debit account, adult access code or adult personal identification number;</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in good faith establish a mechanism such as labelling, segregation, or other mechanism enabling such material to be automatically blocked or screened by software or other capabilities reasonably available to responsible adults wishing to effect such blocking or screening.</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solicited minors not subject to established screening or blocking capabilities to access that material or to circumvent any such screening or blocking.]</w:t>
      </w:r>
    </w:p>
    <w:p>
      <w:pPr>
        <w:sectPr>
          <w:type w:val="nextPage"/>
          <w:pgSz w:w="12240" w:h="15840" w:orient="portrait"/>
          <w:pgMar w:bottom="1364" w:top="1440" w:right="2140" w:left="2160"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7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abstractNum w:abstractNumId="3">
    <w:lvl w:ilvl="0">
      <w:start w:val="6"/>
      <w:numFmt w:val="decimal"/>
      <w:lvlText w:val="%1."/>
      <w:pPr>
        <w:tabs>
          <w:tab w:val="left" w:pos="360"/>
        </w:tabs>
      </w:pPr>
      <w:rPr>
        <w:rFonts w:ascii="Arial" w:hAnsi="Arial" w:eastAsia="Arial"/>
        <w:strike w:val="false"/>
        <w:color w:val="000000"/>
        <w:spacing w:val="0"/>
        <w:w w:val="100"/>
        <w:sz w:val="28"/>
        <w:vertAlign w:val="baseline"/>
        <w:lang w:val="en-US"/>
      </w:rPr>
    </w:lvl>
  </w:abstractNum>
  <w:abstractNum w:abstractNumId="4">
    <w:lvl w:ilvl="0">
      <w:start w:val="1"/>
      <w:numFmt w:val="decimal"/>
      <w:lvlText w:val="%1."/>
      <w:pPr>
        <w:tabs>
          <w:tab w:val="left" w:pos="216"/>
        </w:tabs>
      </w:pPr>
      <w:rPr>
        <w:rFonts w:ascii="Arial" w:hAnsi="Arial" w:eastAsia="Arial"/>
        <w:i w:val="true"/>
        <w:strike w:val="false"/>
        <w:color w:val="000000"/>
        <w:spacing w:val="61"/>
        <w:w w:val="100"/>
        <w:sz w:val="28"/>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