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144" w:left="0" w:firstLine="0"/>
        <w:jc w:val="both"/>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ENDANGERING THE WELFARE OF AN INCOMPETENT OR PHYSICALLY DISABLED PERSON IN THE FIRST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260.25</w:t>
      </w:r>
    </w:p>
    <w:p>
      <w:pPr>
        <w:pageBreakBefore w:val="false"/>
        <w:spacing w:before="0" w:after="0" w:line="327"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(Committed on or after Jan. 16, 2013)</w:t>
      </w:r>
      <w:r>
        <w:rPr>
          <w:rFonts w:ascii="Arial" w:hAnsi="Arial" w:eastAsia="Arial"/>
          <w:b w:val="true"/>
          <w:strike w:val="false"/>
          <w:color w:val="000000"/>
          <w:spacing w:val="-2"/>
          <w:w w:val="100"/>
          <w:sz w:val="28"/>
          <w:vertAlign w:val="superscript"/>
          <w:lang w:val="en-US"/>
        </w:rPr>
        <w:t xml:space="preserve">1</w:t>
      </w:r>
      <w:r>
        <w:rPr>
          <w:rFonts w:ascii="Arial" w:hAnsi="Arial" w:eastAsia="Arial"/>
          <w:b w:val="true"/>
          <w:strike w:val="false"/>
          <w:color w:val="000000"/>
          <w:spacing w:val="-2"/>
          <w:w w:val="100"/>
          <w:sz w:val="17"/>
          <w:vertAlign w:val="baseline"/>
          <w:lang w:val="en-US"/>
        </w:rPr>
        <w:t xml:space="preserve">
</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Endangering the Welfare of an Incompetent or Physically Disabled Person in the First Degree.</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Endangering the Welfare of an Incompetent or Physically Disabled Person in the First Degree when he or she knowingly acts in a manner likely to be injurious to the physical, mental or moral welfare of a person who is unable to care for himself or herself because of physical disability, mental disease or defect.</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acts in a manner likely to be injurious to the physical, mental or moral welfare of a person who is unable to care for himself or herself because of physical disability, mental disease or defect when that person is aware that he or she is acting in such manner.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8"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Actual harm to the incompetent or physically disabled person need not result.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6" w:after="335" w:line="323"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defendant’s conduct need not be specifically directed</w:t>
      </w:r>
    </w:p>
    <w:p>
      <w:pPr>
        <w:pageBreakBefore w:val="false"/>
        <w:spacing w:before="262"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75pt,545.5pt" to="252.05pt,54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January 16, 2013, this section was amended by adding the words “in the first degree” to the title and reclassifying the crime from a class A misdemeanor to a class E felony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L 2012, ch 501). Thus, this charge, except for the words “in the first degree,” remains applicable for a crime committed on or after and between November 1, 1998 and January 16, 2013.</w:t>
      </w:r>
    </w:p>
    <w:p>
      <w:pPr>
        <w:pageBreakBefore w:val="false"/>
        <w:spacing w:before="23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(2).</w:t>
      </w:r>
    </w:p>
    <w:p>
      <w:pPr>
        <w:pageBreakBefore w:val="false"/>
        <w:spacing w:before="246" w:after="0" w:line="276" w:lineRule="exact"/>
        <w:ind w:right="72" w:left="0" w:firstLine="720"/>
        <w:jc w:val="both"/>
        <w:textAlignment w:val="baseline"/>
        <w:rPr>
          <w:rFonts w:ascii="Arial" w:hAnsi="Arial" w:eastAsia="Arial"/>
          <w:i w:val="true"/>
          <w:strike w:val="false"/>
          <w:color w:val="000000"/>
          <w:spacing w:val="0"/>
          <w:w w:val="100"/>
          <w:sz w:val="14"/>
          <w:vertAlign w:val="superscript"/>
          <w:lang w:val="en-US"/>
        </w:rPr>
      </w:pPr>
      <w:r>
        <w:rPr>
          <w:rFonts w:ascii="Arial" w:hAnsi="Arial" w:eastAsia="Arial"/>
          <w:i w:val="true"/>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People v Johnson</w:t>
      </w:r>
      <w:r>
        <w:rPr>
          <w:rFonts w:ascii="Arial" w:hAnsi="Arial" w:eastAsia="Arial"/>
          <w:strike w:val="false"/>
          <w:color w:val="000000"/>
          <w:spacing w:val="0"/>
          <w:w w:val="100"/>
          <w:sz w:val="24"/>
          <w:vertAlign w:val="baseline"/>
          <w:lang w:val="en-US"/>
        </w:rPr>
        <w:t xml:space="preserve">, 95 NY2d 368 (2000), which held that actual harm to a child is not an element of the crime of endangering the welfare of a child.</w:t>
      </w:r>
    </w:p>
    <w:p>
      <w:pPr>
        <w:sectPr>
          <w:type w:val="nextPage"/>
          <w:pgSz w:w="12240" w:h="15840" w:orient="portrait"/>
          <w:pgMar w:bottom="1024" w:top="1440" w:right="2145" w:left="2155" w:header="720" w:footer="720"/>
          <w:titlePg w:val="false"/>
          <w:textDirection w:val="lrTb"/>
        </w:sectPr>
      </w:pPr>
    </w:p>
    <w:p>
      <w:pPr>
        <w:pageBreakBefore w:val="false"/>
        <w:spacing w:before="45"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at an incompetent or physically disabled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28"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[and between] </w:t>
      </w:r>
      <w:r>
        <w:rPr>
          <w:rFonts w:ascii="Arial" w:hAnsi="Arial" w:eastAsia="Arial"/>
          <w:i w:val="true"/>
          <w:strike w:val="false"/>
          <w:color w:val="000000"/>
          <w:spacing w:val="0"/>
          <w:w w:val="100"/>
          <w:sz w:val="28"/>
          <w:u w:val="single"/>
          <w:vertAlign w:val="baseline"/>
          <w:lang w:val="en-US"/>
        </w:rPr>
        <w:t xml:space="preserve">(date[s])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acted in a manner likely to be injurious to the physical, mental or moral welfare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was unable to care for himself /herself because of physical disability, mental disease or defect; and</w:t>
      </w:r>
    </w:p>
    <w:p>
      <w:pPr>
        <w:pageBreakBefore w:val="false"/>
        <w:numPr>
          <w:ilvl w:val="0"/>
          <w:numId w:val="1"/>
        </w:numPr>
        <w:tabs>
          <w:tab w:val="clear" w:pos="720"/>
          <w:tab w:val="left" w:pos="1440"/>
        </w:tabs>
        <w:spacing w:before="330" w:after="0" w:line="31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4819"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4819" w:line="324" w:lineRule="exact"/>
        <w:sectPr>
          <w:type w:val="nextPage"/>
          <w:pgSz w:w="12240" w:h="15840" w:orient="portrait"/>
          <w:pgMar w:bottom="1024" w:top="1400" w:right="2142" w:left="2158" w:header="720" w:footer="720"/>
          <w:titlePg w:val="false"/>
          <w:textDirection w:val="lrTb"/>
        </w:sectPr>
      </w:pPr>
    </w:p>
    <w:p>
      <w:pPr>
        <w:pageBreakBefore w:val="false"/>
        <w:spacing w:before="238" w:after="0" w:line="276" w:lineRule="exact"/>
        <w:ind w:right="0" w:left="648" w:firstLine="0"/>
        <w:jc w:val="left"/>
        <w:textAlignment w:val="baseline"/>
        <w:rPr>
          <w:rFonts w:ascii="Arial" w:hAnsi="Arial" w:eastAsia="Arial"/>
          <w:strike w:val="false"/>
          <w:color w:val="000000"/>
          <w:spacing w:val="17"/>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2.3pt;height:10.9pt;z-index:-1000;margin-left:299.6pt;margin-top:709.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5"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txbxContent>
            </v:textbox>
          </v:shape>
        </w:pict>
      </w:r>
      <w:r>
        <w:pict>
          <v:line strokeweight="1.2pt" strokecolor="#000000" from="107.9pt,670.55pt" to="252.05pt,670.55pt" style="position:absolute;mso-position-horizontal-relative:page;mso-position-vertical-relative:page;">
            <v:stroke dashstyle="solid"/>
          </v:line>
        </w:pict>
      </w:r>
      <w:r>
        <w:rPr>
          <w:rFonts w:ascii="Arial" w:hAnsi="Arial" w:eastAsia="Arial"/>
          <w:strike w:val="false"/>
          <w:color w:val="000000"/>
          <w:spacing w:val="17"/>
          <w:w w:val="100"/>
          <w:sz w:val="14"/>
          <w:vertAlign w:val="superscript"/>
          <w:lang w:val="en-US"/>
        </w:rPr>
        <w:t xml:space="preserve">4</w:t>
      </w:r>
      <w:r>
        <w:rPr>
          <w:rFonts w:ascii="Arial" w:hAnsi="Arial" w:eastAsia="Arial"/>
          <w:i w:val="true"/>
          <w:strike w:val="false"/>
          <w:color w:val="000000"/>
          <w:spacing w:val="17"/>
          <w:w w:val="100"/>
          <w:sz w:val="24"/>
          <w:vertAlign w:val="baseline"/>
          <w:lang w:val="en-US"/>
        </w:rPr>
        <w:t xml:space="preserve"> Id.</w:t>
      </w:r>
    </w:p>
    <w:sectPr>
      <w:type w:val="continuous"/>
      <w:pgSz w:w="12240" w:h="15840" w:orient="portrait"/>
      <w:pgMar w:bottom="1024" w:top="1400" w:right="7200"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