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D518" w14:textId="77777777" w:rsidR="008170E9" w:rsidRDefault="008170E9">
      <w:pPr>
        <w:kinsoku w:val="0"/>
        <w:overflowPunct w:val="0"/>
        <w:autoSpaceDE/>
        <w:autoSpaceDN/>
        <w:adjustRightInd/>
        <w:spacing w:before="8" w:line="331" w:lineRule="exact"/>
        <w:jc w:val="center"/>
        <w:textAlignment w:val="baseline"/>
        <w:rPr>
          <w:rFonts w:ascii="Arial" w:hAnsi="Arial"/>
          <w:b/>
          <w:sz w:val="28"/>
        </w:rPr>
      </w:pPr>
      <w:r>
        <w:rPr>
          <w:rFonts w:ascii="Arial" w:hAnsi="Arial"/>
          <w:b/>
          <w:sz w:val="28"/>
        </w:rPr>
        <w:t>CRIMINAL POSSESSION OF A DANGEROUS WEAPON</w:t>
      </w:r>
      <w:r>
        <w:rPr>
          <w:rFonts w:ascii="Arial" w:hAnsi="Arial"/>
          <w:b/>
          <w:sz w:val="28"/>
        </w:rPr>
        <w:br/>
        <w:t>IN THE FIRST DEGREE</w:t>
      </w:r>
      <w:r>
        <w:rPr>
          <w:rFonts w:ascii="Arial" w:hAnsi="Arial"/>
          <w:b/>
          <w:sz w:val="28"/>
        </w:rPr>
        <w:br/>
        <w:t>(Possession of Explosive with</w:t>
      </w:r>
      <w:r>
        <w:rPr>
          <w:rFonts w:ascii="Arial" w:hAnsi="Arial"/>
          <w:b/>
          <w:sz w:val="28"/>
        </w:rPr>
        <w:br/>
        <w:t>Intent To Use Unlawfully)</w:t>
      </w:r>
      <w:r>
        <w:rPr>
          <w:rFonts w:ascii="Arial" w:hAnsi="Arial"/>
          <w:b/>
          <w:sz w:val="28"/>
        </w:rPr>
        <w:br/>
        <w:t>Penal Law § 265.04(1)</w:t>
      </w:r>
      <w:r>
        <w:rPr>
          <w:rFonts w:ascii="Arial" w:hAnsi="Arial"/>
          <w:b/>
          <w:sz w:val="28"/>
          <w:vertAlign w:val="superscript"/>
        </w:rPr>
        <w:t>1</w:t>
      </w:r>
      <w:r>
        <w:rPr>
          <w:rFonts w:ascii="Arial" w:hAnsi="Arial"/>
          <w:b/>
          <w:sz w:val="17"/>
        </w:rPr>
        <w:br/>
      </w:r>
      <w:r>
        <w:rPr>
          <w:rFonts w:ascii="Arial" w:hAnsi="Arial"/>
          <w:b/>
          <w:sz w:val="28"/>
        </w:rPr>
        <w:t>(Committed on or after Sept. 1, 1974)</w:t>
      </w:r>
    </w:p>
    <w:p w14:paraId="1A53CAB8" w14:textId="77777777" w:rsidR="008170E9" w:rsidRDefault="008170E9">
      <w:pPr>
        <w:kinsoku w:val="0"/>
        <w:overflowPunct w:val="0"/>
        <w:autoSpaceDE/>
        <w:autoSpaceDN/>
        <w:adjustRightInd/>
        <w:spacing w:before="322" w:line="326"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Possession of a Dangerous Weapon in the First Degree.</w:t>
      </w:r>
    </w:p>
    <w:p w14:paraId="1B94B5E2" w14:textId="77777777" w:rsidR="008170E9" w:rsidRDefault="008170E9">
      <w:pPr>
        <w:kinsoku w:val="0"/>
        <w:overflowPunct w:val="0"/>
        <w:autoSpaceDE/>
        <w:autoSpaceDN/>
        <w:adjustRightInd/>
        <w:spacing w:before="314" w:after="410" w:line="326" w:lineRule="exact"/>
        <w:ind w:firstLine="720"/>
        <w:jc w:val="both"/>
        <w:textAlignment w:val="baseline"/>
        <w:rPr>
          <w:rFonts w:ascii="Arial" w:hAnsi="Arial"/>
          <w:spacing w:val="-5"/>
          <w:sz w:val="28"/>
        </w:rPr>
      </w:pPr>
      <w:r>
        <w:rPr>
          <w:rFonts w:ascii="Arial" w:hAnsi="Arial"/>
          <w:spacing w:val="-5"/>
          <w:sz w:val="28"/>
        </w:rPr>
        <w:t>Under our law, a person is guilty of Criminal Possession of a Dangerous Weapon in the First Degree when that person knowingly</w:t>
      </w:r>
      <w:r>
        <w:rPr>
          <w:rFonts w:ascii="Arial" w:hAnsi="Arial"/>
          <w:spacing w:val="-5"/>
          <w:sz w:val="28"/>
          <w:vertAlign w:val="superscript"/>
        </w:rPr>
        <w:t>2</w:t>
      </w:r>
      <w:r>
        <w:rPr>
          <w:rFonts w:ascii="Arial" w:hAnsi="Arial"/>
          <w:spacing w:val="-5"/>
          <w:sz w:val="28"/>
        </w:rPr>
        <w:t xml:space="preserve"> possesses any explosive substance</w:t>
      </w:r>
      <w:r>
        <w:rPr>
          <w:rFonts w:ascii="Arial" w:hAnsi="Arial"/>
          <w:spacing w:val="-5"/>
          <w:sz w:val="28"/>
          <w:vertAlign w:val="superscript"/>
        </w:rPr>
        <w:t>3</w:t>
      </w:r>
      <w:r>
        <w:rPr>
          <w:rFonts w:ascii="Arial" w:hAnsi="Arial"/>
          <w:spacing w:val="-5"/>
          <w:sz w:val="28"/>
        </w:rPr>
        <w:t xml:space="preserve"> with intent to use the same unlawfully against the person or property of another.</w:t>
      </w:r>
    </w:p>
    <w:p w14:paraId="33126C0E" w14:textId="78DF4B62" w:rsidR="008170E9" w:rsidRPr="000B6B7A" w:rsidRDefault="00A9757B" w:rsidP="000B6B7A">
      <w:pPr>
        <w:kinsoku w:val="0"/>
        <w:overflowPunct w:val="0"/>
        <w:autoSpaceDE/>
        <w:autoSpaceDN/>
        <w:adjustRightInd/>
        <w:spacing w:before="253"/>
        <w:jc w:val="both"/>
        <w:textAlignment w:val="baseline"/>
        <w:rPr>
          <w:rFonts w:ascii="Arial" w:hAnsi="Arial"/>
          <w:spacing w:val="-2"/>
          <w:sz w:val="22"/>
          <w:szCs w:val="22"/>
        </w:rPr>
      </w:pPr>
      <w:r w:rsidRPr="000B6B7A">
        <w:rPr>
          <w:noProof/>
          <w:sz w:val="22"/>
          <w:szCs w:val="22"/>
        </w:rPr>
        <mc:AlternateContent>
          <mc:Choice Requires="wps">
            <w:drawing>
              <wp:anchor distT="0" distB="0" distL="0" distR="0" simplePos="0" relativeHeight="251658240" behindDoc="0" locked="0" layoutInCell="0" allowOverlap="1" wp14:anchorId="41320E14" wp14:editId="7DAEED34">
                <wp:simplePos x="0" y="0"/>
                <wp:positionH relativeFrom="page">
                  <wp:posOffset>1371600</wp:posOffset>
                </wp:positionH>
                <wp:positionV relativeFrom="page">
                  <wp:posOffset>3870960</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2AF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304.8pt" to="252.05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pT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" o:allowincell="f" strokeweight="1.2pt">
                <w10:wrap type="square" anchorx="page" anchory="page"/>
              </v:line>
            </w:pict>
          </mc:Fallback>
        </mc:AlternateContent>
      </w:r>
      <w:r w:rsidR="008170E9" w:rsidRPr="000B6B7A">
        <w:rPr>
          <w:rFonts w:ascii="Arial" w:hAnsi="Arial"/>
          <w:spacing w:val="-2"/>
          <w:sz w:val="22"/>
          <w:szCs w:val="22"/>
          <w:vertAlign w:val="superscript"/>
        </w:rPr>
        <w:t>1</w:t>
      </w:r>
      <w:r w:rsidR="008170E9" w:rsidRPr="000B6B7A">
        <w:rPr>
          <w:rFonts w:ascii="Arial" w:hAnsi="Arial"/>
          <w:spacing w:val="-2"/>
          <w:sz w:val="22"/>
          <w:szCs w:val="22"/>
        </w:rPr>
        <w:t xml:space="preserve"> </w:t>
      </w:r>
      <w:r w:rsidR="000B6B7A">
        <w:rPr>
          <w:rFonts w:ascii="Arial" w:hAnsi="Arial"/>
          <w:spacing w:val="-2"/>
          <w:sz w:val="22"/>
          <w:szCs w:val="22"/>
        </w:rPr>
        <w:tab/>
      </w:r>
      <w:r w:rsidR="008170E9" w:rsidRPr="000B6B7A">
        <w:rPr>
          <w:rFonts w:ascii="Arial" w:hAnsi="Arial"/>
          <w:spacing w:val="-2"/>
          <w:sz w:val="22"/>
          <w:szCs w:val="22"/>
        </w:rPr>
        <w:t xml:space="preserve">Penal Law § 265.04 was divided into two subdivisions by the laws of 2005, c. 764, effective December 21, 2005; this provision became subdivision one; </w:t>
      </w:r>
      <w:r w:rsidR="006F611B" w:rsidRPr="000B6B7A">
        <w:rPr>
          <w:rFonts w:ascii="Arial" w:hAnsi="Arial"/>
          <w:spacing w:val="-2"/>
          <w:sz w:val="22"/>
          <w:szCs w:val="22"/>
        </w:rPr>
        <w:t>and</w:t>
      </w:r>
      <w:r w:rsidR="008170E9" w:rsidRPr="000B6B7A">
        <w:rPr>
          <w:rFonts w:ascii="Arial" w:hAnsi="Arial"/>
          <w:spacing w:val="-2"/>
          <w:sz w:val="22"/>
          <w:szCs w:val="22"/>
        </w:rPr>
        <w:t xml:space="preserve"> the name of the crime was amended to refer to possession of a “weapon” rather than a “dangerous weapon.” The definition of the crime was not amended.</w:t>
      </w:r>
    </w:p>
    <w:p w14:paraId="6564729B" w14:textId="5BFC4B3D" w:rsidR="0085093B" w:rsidRDefault="008170E9" w:rsidP="000B6B7A">
      <w:pPr>
        <w:kinsoku w:val="0"/>
        <w:overflowPunct w:val="0"/>
        <w:autoSpaceDE/>
        <w:autoSpaceDN/>
        <w:adjustRightInd/>
        <w:spacing w:before="240"/>
        <w:jc w:val="both"/>
        <w:textAlignment w:val="baseline"/>
        <w:rPr>
          <w:rFonts w:ascii="Arial" w:hAnsi="Arial" w:cs="Arial"/>
          <w:spacing w:val="-2"/>
          <w:sz w:val="22"/>
          <w:szCs w:val="22"/>
        </w:rPr>
      </w:pPr>
      <w:r>
        <w:rPr>
          <w:rFonts w:ascii="Arial" w:hAnsi="Arial"/>
          <w:sz w:val="14"/>
          <w:vertAlign w:val="superscript"/>
        </w:rPr>
        <w:t>2</w:t>
      </w:r>
      <w:r>
        <w:rPr>
          <w:rFonts w:ascii="Arial" w:hAnsi="Arial"/>
          <w:sz w:val="24"/>
        </w:rPr>
        <w:t xml:space="preserve"> </w:t>
      </w:r>
      <w:r w:rsidR="000B6B7A">
        <w:rPr>
          <w:rFonts w:ascii="Arial" w:hAnsi="Arial"/>
          <w:sz w:val="24"/>
        </w:rPr>
        <w:tab/>
      </w:r>
      <w:r w:rsidR="0085093B" w:rsidRPr="00AB726F">
        <w:rPr>
          <w:rFonts w:ascii="Arial" w:hAnsi="Arial" w:cs="Arial"/>
          <w:spacing w:val="-2"/>
          <w:sz w:val="22"/>
          <w:szCs w:val="22"/>
        </w:rPr>
        <w:t>The word "knowingly" has been added to this definition to comport with statutory law (</w:t>
      </w:r>
      <w:r w:rsidR="0085093B" w:rsidRPr="00AB726F">
        <w:rPr>
          <w:rFonts w:ascii="Arial" w:hAnsi="Arial" w:cs="Arial"/>
          <w:i/>
          <w:spacing w:val="-2"/>
          <w:sz w:val="22"/>
          <w:szCs w:val="22"/>
        </w:rPr>
        <w:t xml:space="preserve">see </w:t>
      </w:r>
      <w:r w:rsidR="0085093B" w:rsidRPr="00AB726F">
        <w:rPr>
          <w:rFonts w:ascii="Arial" w:hAnsi="Arial" w:cs="Arial"/>
          <w:spacing w:val="-2"/>
          <w:sz w:val="22"/>
          <w:szCs w:val="22"/>
        </w:rPr>
        <w:t xml:space="preserve">Penal Law § § 15.00(2) and 15.05 [2]) and with case law.   </w:t>
      </w:r>
      <w:r w:rsidR="0085093B" w:rsidRPr="00AB726F">
        <w:rPr>
          <w:rFonts w:ascii="Arial" w:hAnsi="Arial" w:cs="Arial"/>
          <w:i/>
          <w:iCs/>
          <w:spacing w:val="-2"/>
          <w:sz w:val="22"/>
          <w:szCs w:val="22"/>
        </w:rPr>
        <w:t>People v Persce</w:t>
      </w:r>
      <w:r w:rsidR="0085093B" w:rsidRPr="00AB726F">
        <w:rPr>
          <w:rFonts w:ascii="Arial" w:hAnsi="Arial" w:cs="Arial"/>
          <w:i/>
          <w:spacing w:val="-2"/>
          <w:sz w:val="22"/>
          <w:szCs w:val="22"/>
        </w:rPr>
        <w:t xml:space="preserve">, </w:t>
      </w:r>
      <w:r w:rsidR="0085093B" w:rsidRPr="00AB726F">
        <w:rPr>
          <w:rFonts w:ascii="Arial" w:hAnsi="Arial" w:cs="Arial"/>
          <w:iCs/>
          <w:spacing w:val="-2"/>
          <w:sz w:val="22"/>
          <w:szCs w:val="22"/>
        </w:rPr>
        <w:t xml:space="preserve">204 NY 397, 402 (1912) ("the possession [of a slungshot] which is meant is a knowing and voluntary one"); </w:t>
      </w:r>
      <w:r w:rsidR="0085093B" w:rsidRPr="00AB726F">
        <w:rPr>
          <w:rFonts w:ascii="Arial" w:hAnsi="Arial" w:cs="Arial"/>
          <w:i/>
          <w:iCs/>
          <w:spacing w:val="-2"/>
          <w:sz w:val="22"/>
          <w:szCs w:val="22"/>
        </w:rPr>
        <w:t>People v Saunders</w:t>
      </w:r>
      <w:r w:rsidR="0085093B" w:rsidRPr="00AB726F">
        <w:rPr>
          <w:rFonts w:ascii="Arial" w:hAnsi="Arial" w:cs="Arial"/>
          <w:i/>
          <w:spacing w:val="-2"/>
          <w:sz w:val="22"/>
          <w:szCs w:val="22"/>
        </w:rPr>
        <w:t xml:space="preserve">, </w:t>
      </w:r>
      <w:r w:rsidR="0085093B" w:rsidRPr="00AB726F">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85093B" w:rsidRPr="00AB726F">
        <w:rPr>
          <w:rFonts w:ascii="Arial" w:hAnsi="Arial" w:cs="Arial"/>
          <w:i/>
          <w:spacing w:val="-2"/>
          <w:sz w:val="22"/>
          <w:szCs w:val="22"/>
        </w:rPr>
        <w:t xml:space="preserve">People v Ford, </w:t>
      </w:r>
      <w:r w:rsidR="0085093B" w:rsidRPr="00AB726F">
        <w:rPr>
          <w:rFonts w:ascii="Arial" w:hAnsi="Arial" w:cs="Arial"/>
          <w:spacing w:val="-2"/>
          <w:sz w:val="22"/>
          <w:szCs w:val="22"/>
        </w:rPr>
        <w:t>66 NY2d 428, 440 (1985) (the offense of possession of a loaded firearm requires that the possession be knowing)</w:t>
      </w:r>
      <w:r w:rsidR="0085093B">
        <w:rPr>
          <w:rFonts w:ascii="Arial" w:hAnsi="Arial" w:cs="Arial"/>
          <w:spacing w:val="-2"/>
          <w:sz w:val="22"/>
          <w:szCs w:val="22"/>
        </w:rPr>
        <w:t>.</w:t>
      </w:r>
    </w:p>
    <w:p w14:paraId="6C1F49E6" w14:textId="6F02DD9A" w:rsidR="008170E9" w:rsidRPr="000B6B7A" w:rsidRDefault="008170E9" w:rsidP="000B6B7A">
      <w:pPr>
        <w:kinsoku w:val="0"/>
        <w:overflowPunct w:val="0"/>
        <w:autoSpaceDE/>
        <w:autoSpaceDN/>
        <w:adjustRightInd/>
        <w:spacing w:before="240"/>
        <w:jc w:val="both"/>
        <w:textAlignment w:val="baseline"/>
        <w:rPr>
          <w:rFonts w:ascii="Arial" w:hAnsi="Arial"/>
          <w:spacing w:val="-3"/>
          <w:sz w:val="22"/>
          <w:szCs w:val="22"/>
        </w:rPr>
      </w:pPr>
      <w:r w:rsidRPr="000B6B7A">
        <w:rPr>
          <w:rFonts w:ascii="Arial" w:hAnsi="Arial"/>
          <w:spacing w:val="-3"/>
          <w:sz w:val="22"/>
          <w:szCs w:val="22"/>
          <w:vertAlign w:val="superscript"/>
        </w:rPr>
        <w:t>3</w:t>
      </w:r>
      <w:r w:rsidRPr="000B6B7A">
        <w:rPr>
          <w:rFonts w:ascii="Arial" w:hAnsi="Arial"/>
          <w:spacing w:val="-3"/>
          <w:sz w:val="22"/>
          <w:szCs w:val="22"/>
        </w:rPr>
        <w:t xml:space="preserve"> </w:t>
      </w:r>
      <w:r w:rsidR="000B6B7A">
        <w:rPr>
          <w:rFonts w:ascii="Arial" w:hAnsi="Arial"/>
          <w:spacing w:val="-3"/>
          <w:sz w:val="22"/>
          <w:szCs w:val="22"/>
        </w:rPr>
        <w:tab/>
      </w:r>
      <w:r w:rsidRPr="000B6B7A">
        <w:rPr>
          <w:rFonts w:ascii="Arial" w:hAnsi="Arial"/>
          <w:spacing w:val="-3"/>
          <w:sz w:val="22"/>
          <w:szCs w:val="22"/>
        </w:rPr>
        <w:t xml:space="preserve">In 1974, the Court of Appeals stated that “the statutory terms–‘incendiary’, ‘bomb’ and ‘explosive substance’ -- are susceptible of reasonable application in accordance with the common understanding of men.” </w:t>
      </w:r>
      <w:r w:rsidRPr="000B6B7A">
        <w:rPr>
          <w:rFonts w:ascii="Arial" w:hAnsi="Arial"/>
          <w:i/>
          <w:spacing w:val="-3"/>
          <w:sz w:val="22"/>
          <w:szCs w:val="22"/>
        </w:rPr>
        <w:t>People v. Cruz</w:t>
      </w:r>
      <w:r w:rsidRPr="000B6B7A">
        <w:rPr>
          <w:rFonts w:ascii="Arial" w:hAnsi="Arial"/>
          <w:spacing w:val="-3"/>
          <w:sz w:val="22"/>
          <w:szCs w:val="22"/>
        </w:rPr>
        <w:t>, 34 NY2d 362 (1974).</w:t>
      </w:r>
    </w:p>
    <w:p w14:paraId="0762FD6F" w14:textId="77777777" w:rsidR="008170E9" w:rsidRPr="000B6B7A" w:rsidRDefault="008170E9" w:rsidP="000B6B7A">
      <w:pPr>
        <w:kinsoku w:val="0"/>
        <w:overflowPunct w:val="0"/>
        <w:autoSpaceDE/>
        <w:autoSpaceDN/>
        <w:adjustRightInd/>
        <w:ind w:firstLine="720"/>
        <w:jc w:val="both"/>
        <w:textAlignment w:val="baseline"/>
        <w:rPr>
          <w:rFonts w:ascii="Arial" w:hAnsi="Arial"/>
          <w:spacing w:val="-3"/>
          <w:sz w:val="22"/>
          <w:szCs w:val="22"/>
        </w:rPr>
      </w:pPr>
      <w:r w:rsidRPr="000B6B7A">
        <w:rPr>
          <w:rFonts w:ascii="Arial" w:hAnsi="Arial"/>
          <w:spacing w:val="-3"/>
          <w:sz w:val="22"/>
          <w:szCs w:val="22"/>
        </w:rPr>
        <w:t xml:space="preserve">In 1975, the Appellate Division, First Department, opined that a 1970 definition of “explosive” in Labor Law § 451 applied to the Penal Law in the adjudication of that term in an arson statute. </w:t>
      </w:r>
      <w:r w:rsidRPr="000B6B7A">
        <w:rPr>
          <w:rFonts w:ascii="Arial" w:hAnsi="Arial"/>
          <w:i/>
          <w:spacing w:val="-3"/>
          <w:sz w:val="22"/>
          <w:szCs w:val="22"/>
        </w:rPr>
        <w:t>People v McCrawford</w:t>
      </w:r>
      <w:r w:rsidRPr="000B6B7A">
        <w:rPr>
          <w:rFonts w:ascii="Arial" w:hAnsi="Arial"/>
          <w:spacing w:val="-3"/>
          <w:sz w:val="22"/>
          <w:szCs w:val="22"/>
        </w:rPr>
        <w:t xml:space="preserve">, 47 AD2d 318 (1st Dept. 1975). (That Labor Law definition was amended after the </w:t>
      </w:r>
      <w:r w:rsidRPr="000B6B7A">
        <w:rPr>
          <w:rFonts w:ascii="Arial" w:hAnsi="Arial"/>
          <w:i/>
          <w:spacing w:val="-3"/>
          <w:sz w:val="22"/>
          <w:szCs w:val="22"/>
        </w:rPr>
        <w:t xml:space="preserve">McCrawford </w:t>
      </w:r>
      <w:r w:rsidRPr="000B6B7A">
        <w:rPr>
          <w:rFonts w:ascii="Arial" w:hAnsi="Arial"/>
          <w:spacing w:val="-3"/>
          <w:sz w:val="22"/>
          <w:szCs w:val="22"/>
        </w:rPr>
        <w:t xml:space="preserve">decision. L. 2009, c. 57.) </w:t>
      </w:r>
      <w:r w:rsidRPr="000B6B7A">
        <w:rPr>
          <w:rFonts w:ascii="Arial" w:hAnsi="Arial"/>
          <w:i/>
          <w:spacing w:val="-3"/>
          <w:sz w:val="22"/>
          <w:szCs w:val="22"/>
        </w:rPr>
        <w:t>But see Matter of Perry</w:t>
      </w:r>
      <w:r w:rsidRPr="000B6B7A">
        <w:rPr>
          <w:rFonts w:ascii="Arial" w:hAnsi="Arial"/>
          <w:spacing w:val="-3"/>
          <w:sz w:val="22"/>
          <w:szCs w:val="22"/>
        </w:rPr>
        <w:t xml:space="preserve">, 232 A.D.2d 225 (1st Dept., 1996) (in sustaining a Family Court petition for possession of an explosive, the Court cited </w:t>
      </w:r>
      <w:r w:rsidRPr="000B6B7A">
        <w:rPr>
          <w:rFonts w:ascii="Arial" w:hAnsi="Arial"/>
          <w:i/>
          <w:spacing w:val="-3"/>
          <w:sz w:val="22"/>
          <w:szCs w:val="22"/>
        </w:rPr>
        <w:t xml:space="preserve">Cruz </w:t>
      </w:r>
      <w:r w:rsidRPr="000B6B7A">
        <w:rPr>
          <w:rFonts w:ascii="Arial" w:hAnsi="Arial"/>
          <w:spacing w:val="-3"/>
          <w:sz w:val="22"/>
          <w:szCs w:val="22"/>
        </w:rPr>
        <w:t>for the proposition that the language of the petition "apprise[d] respondent of the conduct of which he stood accused, giving the term ‘explosive' or ‘incendiary' device, which is not specifically defined in the Penal Law, its everyday meaning.")</w:t>
      </w:r>
    </w:p>
    <w:p w14:paraId="7BA14EFB" w14:textId="395F7EB1" w:rsidR="008170E9" w:rsidRPr="000B6B7A" w:rsidRDefault="008170E9" w:rsidP="000B6B7A">
      <w:pPr>
        <w:kinsoku w:val="0"/>
        <w:overflowPunct w:val="0"/>
        <w:autoSpaceDE/>
        <w:autoSpaceDN/>
        <w:adjustRightInd/>
        <w:ind w:firstLine="720"/>
        <w:jc w:val="both"/>
        <w:textAlignment w:val="baseline"/>
        <w:rPr>
          <w:rFonts w:ascii="Arial" w:hAnsi="Arial"/>
          <w:spacing w:val="-2"/>
          <w:sz w:val="22"/>
          <w:szCs w:val="22"/>
        </w:rPr>
      </w:pPr>
      <w:r w:rsidRPr="000B6B7A">
        <w:rPr>
          <w:rFonts w:ascii="Arial" w:hAnsi="Arial"/>
          <w:spacing w:val="-2"/>
          <w:sz w:val="22"/>
          <w:szCs w:val="22"/>
        </w:rPr>
        <w:t xml:space="preserve">In 2001, the Appellate Division, Third Department, citing </w:t>
      </w:r>
      <w:r w:rsidRPr="000B6B7A">
        <w:rPr>
          <w:rFonts w:ascii="Arial" w:hAnsi="Arial"/>
          <w:i/>
          <w:spacing w:val="-2"/>
          <w:sz w:val="22"/>
          <w:szCs w:val="22"/>
        </w:rPr>
        <w:t>Cruz</w:t>
      </w:r>
      <w:r w:rsidRPr="000B6B7A">
        <w:rPr>
          <w:rFonts w:ascii="Arial" w:hAnsi="Arial"/>
          <w:spacing w:val="-2"/>
          <w:sz w:val="22"/>
          <w:szCs w:val="22"/>
        </w:rPr>
        <w:t xml:space="preserve">, stated that "the term ‘explosive substance' retains its everyday common sense meaning since it is undefined in the Penal Law." </w:t>
      </w:r>
      <w:r w:rsidRPr="000B6B7A">
        <w:rPr>
          <w:rFonts w:ascii="Arial" w:hAnsi="Arial"/>
          <w:i/>
          <w:spacing w:val="-2"/>
          <w:sz w:val="22"/>
          <w:szCs w:val="22"/>
        </w:rPr>
        <w:t>People v. Ward</w:t>
      </w:r>
      <w:r w:rsidRPr="000B6B7A">
        <w:rPr>
          <w:rFonts w:ascii="Arial" w:hAnsi="Arial"/>
          <w:spacing w:val="-2"/>
          <w:sz w:val="22"/>
          <w:szCs w:val="22"/>
        </w:rPr>
        <w:t xml:space="preserve">, 282 A.D.2d 819 (3rd Dept., 2001). </w:t>
      </w:r>
      <w:r w:rsidRPr="000B6B7A">
        <w:rPr>
          <w:rFonts w:ascii="Arial" w:hAnsi="Arial"/>
          <w:i/>
          <w:spacing w:val="-2"/>
          <w:sz w:val="22"/>
          <w:szCs w:val="22"/>
        </w:rPr>
        <w:t xml:space="preserve">See also People v. Getman, </w:t>
      </w:r>
      <w:r w:rsidRPr="000B6B7A">
        <w:rPr>
          <w:rFonts w:ascii="Arial" w:hAnsi="Arial"/>
          <w:spacing w:val="-2"/>
          <w:sz w:val="22"/>
          <w:szCs w:val="22"/>
        </w:rPr>
        <w:t xml:space="preserve">188 Misc.2d 809 (County Court, </w:t>
      </w:r>
      <w:r w:rsidR="006F611B" w:rsidRPr="000B6B7A">
        <w:rPr>
          <w:rFonts w:ascii="Arial" w:hAnsi="Arial"/>
          <w:spacing w:val="-2"/>
          <w:sz w:val="22"/>
          <w:szCs w:val="22"/>
        </w:rPr>
        <w:t>2001) (</w:t>
      </w:r>
      <w:r w:rsidRPr="000B6B7A">
        <w:rPr>
          <w:rFonts w:ascii="Arial" w:hAnsi="Arial"/>
          <w:spacing w:val="-2"/>
          <w:sz w:val="22"/>
          <w:szCs w:val="22"/>
        </w:rPr>
        <w:t>“this court finds that the essence of the term ‘explosive substance’ is something which is capable of exploding and causing death or injury to person or property”).</w:t>
      </w:r>
    </w:p>
    <w:p w14:paraId="765FF435" w14:textId="77777777" w:rsidR="008170E9" w:rsidRDefault="008170E9">
      <w:pPr>
        <w:widowControl/>
        <w:rPr>
          <w:sz w:val="24"/>
        </w:rPr>
        <w:sectPr w:rsidR="008170E9">
          <w:pgSz w:w="12240" w:h="15840"/>
          <w:pgMar w:top="1080" w:right="2140" w:bottom="304" w:left="2160" w:header="720" w:footer="0" w:gutter="0"/>
          <w:cols w:space="720"/>
          <w:noEndnote/>
        </w:sectPr>
      </w:pPr>
    </w:p>
    <w:p w14:paraId="5A288D5D" w14:textId="77777777" w:rsidR="008170E9" w:rsidRDefault="008170E9">
      <w:pPr>
        <w:kinsoku w:val="0"/>
        <w:overflowPunct w:val="0"/>
        <w:autoSpaceDE/>
        <w:autoSpaceDN/>
        <w:adjustRightInd/>
        <w:spacing w:before="5" w:line="324" w:lineRule="exact"/>
        <w:ind w:firstLine="720"/>
        <w:jc w:val="both"/>
        <w:textAlignment w:val="baseline"/>
        <w:rPr>
          <w:rFonts w:ascii="Arial" w:hAnsi="Arial"/>
          <w:sz w:val="28"/>
        </w:rPr>
      </w:pPr>
      <w:r>
        <w:rPr>
          <w:rFonts w:ascii="Arial" w:hAnsi="Arial"/>
          <w:sz w:val="28"/>
        </w:rPr>
        <w:lastRenderedPageBreak/>
        <w:t>The following terms used in that definition have a special meaning:</w:t>
      </w:r>
    </w:p>
    <w:p w14:paraId="60C40937" w14:textId="77777777" w:rsidR="008170E9" w:rsidRDefault="008170E9">
      <w:pPr>
        <w:kinsoku w:val="0"/>
        <w:overflowPunct w:val="0"/>
        <w:autoSpaceDE/>
        <w:autoSpaceDN/>
        <w:adjustRightInd/>
        <w:spacing w:before="323" w:line="324" w:lineRule="exact"/>
        <w:ind w:firstLine="720"/>
        <w:jc w:val="both"/>
        <w:textAlignment w:val="baseline"/>
        <w:rPr>
          <w:rFonts w:ascii="Arial" w:hAnsi="Arial"/>
          <w:spacing w:val="-4"/>
          <w:sz w:val="17"/>
        </w:rPr>
      </w:pPr>
      <w:r>
        <w:rPr>
          <w:rFonts w:ascii="Arial" w:hAnsi="Arial"/>
          <w:spacing w:val="-4"/>
          <w:sz w:val="28"/>
        </w:rPr>
        <w:t>POSSESS means to have physical possession or otherwise to exercise dominion or control over tangible property.</w:t>
      </w:r>
      <w:r>
        <w:rPr>
          <w:rFonts w:ascii="Arial" w:hAnsi="Arial"/>
          <w:spacing w:val="-4"/>
          <w:sz w:val="28"/>
          <w:vertAlign w:val="superscript"/>
        </w:rPr>
        <w:t>4</w:t>
      </w:r>
    </w:p>
    <w:p w14:paraId="5BA27A6A" w14:textId="77777777" w:rsidR="008170E9" w:rsidRDefault="008170E9">
      <w:pPr>
        <w:kinsoku w:val="0"/>
        <w:overflowPunct w:val="0"/>
        <w:autoSpaceDE/>
        <w:autoSpaceDN/>
        <w:adjustRightInd/>
        <w:spacing w:before="316" w:line="324" w:lineRule="exact"/>
        <w:ind w:firstLine="720"/>
        <w:jc w:val="both"/>
        <w:textAlignment w:val="baseline"/>
        <w:rPr>
          <w:rFonts w:ascii="Arial" w:hAnsi="Arial"/>
          <w:spacing w:val="-4"/>
          <w:sz w:val="17"/>
        </w:rPr>
      </w:pPr>
      <w:r>
        <w:rPr>
          <w:rFonts w:ascii="Arial" w:hAnsi="Arial"/>
          <w:spacing w:val="-4"/>
          <w:sz w:val="28"/>
        </w:rPr>
        <w:t>A person KNOWINGLY possesses any explosive substance when that person is aware that he or she is in possession of such an explosive substance.</w:t>
      </w:r>
      <w:r>
        <w:rPr>
          <w:rFonts w:ascii="Arial" w:hAnsi="Arial"/>
          <w:spacing w:val="-4"/>
          <w:sz w:val="28"/>
          <w:vertAlign w:val="superscript"/>
        </w:rPr>
        <w:t>5</w:t>
      </w:r>
    </w:p>
    <w:p w14:paraId="033F22E2" w14:textId="77777777" w:rsidR="008170E9" w:rsidRDefault="008170E9">
      <w:pPr>
        <w:kinsoku w:val="0"/>
        <w:overflowPunct w:val="0"/>
        <w:autoSpaceDE/>
        <w:autoSpaceDN/>
        <w:adjustRightInd/>
        <w:spacing w:before="330" w:line="324" w:lineRule="exact"/>
        <w:ind w:firstLine="720"/>
        <w:jc w:val="both"/>
        <w:textAlignment w:val="baseline"/>
        <w:rPr>
          <w:rFonts w:ascii="Arial" w:hAnsi="Arial"/>
          <w:sz w:val="28"/>
        </w:rPr>
      </w:pPr>
      <w:r>
        <w:rPr>
          <w:rFonts w:ascii="Arial" w:hAnsi="Arial"/>
          <w:sz w:val="28"/>
        </w:rPr>
        <w:t>INTENT means conscious objective or purpose.</w:t>
      </w:r>
      <w:r>
        <w:rPr>
          <w:rFonts w:ascii="Arial" w:hAnsi="Arial"/>
          <w:sz w:val="28"/>
          <w:vertAlign w:val="superscript"/>
        </w:rPr>
        <w:t>6</w:t>
      </w:r>
      <w:r>
        <w:rPr>
          <w:rFonts w:ascii="Arial" w:hAnsi="Arial"/>
          <w:sz w:val="28"/>
        </w:rPr>
        <w:t xml:space="preserve"> Thus, a person acts with intent to use an explosive substance against the person or property of another when his or her conscious objective or purpose is to use an explosive substance against the person or property of another.</w:t>
      </w:r>
    </w:p>
    <w:p w14:paraId="2829DA92" w14:textId="77777777" w:rsidR="008170E9" w:rsidRDefault="008170E9">
      <w:pPr>
        <w:kinsoku w:val="0"/>
        <w:overflowPunct w:val="0"/>
        <w:autoSpaceDE/>
        <w:autoSpaceDN/>
        <w:adjustRightInd/>
        <w:spacing w:before="327" w:line="324" w:lineRule="exact"/>
        <w:ind w:firstLine="720"/>
        <w:jc w:val="both"/>
        <w:textAlignment w:val="baseline"/>
        <w:rPr>
          <w:rFonts w:ascii="Arial" w:hAnsi="Arial"/>
          <w:sz w:val="28"/>
        </w:rPr>
      </w:pPr>
      <w:r>
        <w:rPr>
          <w:rFonts w:ascii="Arial" w:hAnsi="Arial"/>
          <w:sz w:val="28"/>
        </w:rPr>
        <w:t>Under our law, the possession by any person of an explosive substance is presumptive evidence of possessing such explosive substance with intent to use the same unlawfully against the person or property of another if such person is not licensed or otherwise authorized to possess such substance.</w:t>
      </w:r>
      <w:r>
        <w:rPr>
          <w:rFonts w:ascii="Arial" w:hAnsi="Arial"/>
          <w:sz w:val="28"/>
          <w:vertAlign w:val="superscript"/>
        </w:rPr>
        <w:t>7</w:t>
      </w:r>
      <w:r>
        <w:rPr>
          <w:rFonts w:ascii="Arial" w:hAnsi="Arial"/>
          <w:sz w:val="17"/>
        </w:rPr>
        <w:t xml:space="preserve"> </w:t>
      </w:r>
      <w:r>
        <w:rPr>
          <w:rFonts w:ascii="Arial" w:hAnsi="Arial"/>
          <w:sz w:val="28"/>
        </w:rPr>
        <w:t>What this means is that, if the People have proven beyond a reasonable doubt that the defendant knowingly possessed an explosive substance and that he/she was not licensed or otherwise authorized to possess it, then you may, but you are not required to, infer from those facts that the defendant possessed such explosive substance with the intent to use it unlawfully against the person or property of another.</w:t>
      </w:r>
    </w:p>
    <w:p w14:paraId="68B2DBCB" w14:textId="77777777" w:rsidR="008170E9" w:rsidRDefault="008170E9">
      <w:pPr>
        <w:kinsoku w:val="0"/>
        <w:overflowPunct w:val="0"/>
        <w:autoSpaceDE/>
        <w:autoSpaceDN/>
        <w:adjustRightInd/>
        <w:spacing w:before="324" w:after="225" w:line="324"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 beyond a reasonable doubt, each of the following three elements:</w:t>
      </w:r>
    </w:p>
    <w:p w14:paraId="30A6F9E7" w14:textId="7CD2B439" w:rsidR="008170E9" w:rsidRDefault="00A9757B">
      <w:pPr>
        <w:kinsoku w:val="0"/>
        <w:overflowPunct w:val="0"/>
        <w:autoSpaceDE/>
        <w:autoSpaceDN/>
        <w:adjustRightInd/>
        <w:spacing w:before="259" w:line="277" w:lineRule="exact"/>
        <w:jc w:val="both"/>
        <w:textAlignment w:val="baseline"/>
        <w:rPr>
          <w:rFonts w:ascii="Arial" w:hAnsi="Arial"/>
          <w:sz w:val="24"/>
        </w:rPr>
      </w:pPr>
      <w:r>
        <w:rPr>
          <w:noProof/>
        </w:rPr>
        <mc:AlternateContent>
          <mc:Choice Requires="wps">
            <w:drawing>
              <wp:anchor distT="0" distB="0" distL="0" distR="0" simplePos="0" relativeHeight="251659264" behindDoc="0" locked="0" layoutInCell="0" allowOverlap="1" wp14:anchorId="3852F6AC" wp14:editId="7DB0A5B9">
                <wp:simplePos x="0" y="0"/>
                <wp:positionH relativeFrom="page">
                  <wp:posOffset>1368425</wp:posOffset>
                </wp:positionH>
                <wp:positionV relativeFrom="page">
                  <wp:posOffset>7425055</wp:posOffset>
                </wp:positionV>
                <wp:extent cx="183261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E60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584.65pt" to="252.0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O+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" o:allowincell="f" strokeweight="1.2pt">
                <w10:wrap type="square" anchorx="page" anchory="page"/>
              </v:line>
            </w:pict>
          </mc:Fallback>
        </mc:AlternateContent>
      </w:r>
      <w:r w:rsidR="008170E9">
        <w:rPr>
          <w:rFonts w:ascii="Arial" w:hAnsi="Arial"/>
          <w:sz w:val="14"/>
          <w:vertAlign w:val="superscript"/>
        </w:rPr>
        <w:t>4</w:t>
      </w:r>
      <w:r w:rsidR="008170E9">
        <w:rPr>
          <w:rFonts w:ascii="Arial" w:hAnsi="Arial"/>
          <w:i/>
          <w:sz w:val="24"/>
        </w:rPr>
        <w:t xml:space="preserve">See </w:t>
      </w:r>
      <w:r w:rsidR="008170E9">
        <w:rPr>
          <w:rFonts w:ascii="Arial" w:hAnsi="Arial"/>
          <w:sz w:val="24"/>
        </w:rPr>
        <w:t>Penal Law § 10.00(8). Where constructive possession is alleged, or where the People rely on a statutory presumption of possession, insert the appropriate instruction from the "Additional Charges" section at the end of this chapter.</w:t>
      </w:r>
    </w:p>
    <w:p w14:paraId="10CDCFC3" w14:textId="77777777" w:rsidR="008170E9" w:rsidRDefault="008170E9">
      <w:pPr>
        <w:kinsoku w:val="0"/>
        <w:overflowPunct w:val="0"/>
        <w:autoSpaceDE/>
        <w:autoSpaceDN/>
        <w:adjustRightInd/>
        <w:spacing w:line="517" w:lineRule="exact"/>
        <w:ind w:right="4896"/>
        <w:jc w:val="both"/>
        <w:textAlignment w:val="baseline"/>
        <w:rPr>
          <w:rFonts w:ascii="Arial" w:hAnsi="Arial"/>
          <w:spacing w:val="-2"/>
          <w:sz w:val="24"/>
        </w:rPr>
      </w:pPr>
      <w:r>
        <w:rPr>
          <w:rFonts w:ascii="Arial" w:hAnsi="Arial"/>
          <w:spacing w:val="-2"/>
          <w:sz w:val="14"/>
          <w:vertAlign w:val="superscript"/>
        </w:rPr>
        <w:t>5</w:t>
      </w:r>
      <w:r>
        <w:rPr>
          <w:rFonts w:ascii="Arial" w:hAnsi="Arial"/>
          <w:i/>
          <w:spacing w:val="-2"/>
          <w:sz w:val="24"/>
        </w:rPr>
        <w:t xml:space="preserve">See </w:t>
      </w:r>
      <w:r>
        <w:rPr>
          <w:rFonts w:ascii="Arial" w:hAnsi="Arial"/>
          <w:spacing w:val="-2"/>
          <w:sz w:val="24"/>
        </w:rPr>
        <w:t xml:space="preserve">Penal Law § 15.05(2). </w:t>
      </w:r>
      <w:r>
        <w:rPr>
          <w:rFonts w:ascii="Arial" w:hAnsi="Arial"/>
          <w:spacing w:val="-2"/>
          <w:sz w:val="14"/>
          <w:vertAlign w:val="superscript"/>
        </w:rPr>
        <w:t>6</w:t>
      </w:r>
      <w:r>
        <w:rPr>
          <w:rFonts w:ascii="Arial" w:hAnsi="Arial"/>
          <w:i/>
          <w:spacing w:val="-2"/>
          <w:sz w:val="24"/>
        </w:rPr>
        <w:t xml:space="preserve">See </w:t>
      </w:r>
      <w:r>
        <w:rPr>
          <w:rFonts w:ascii="Arial" w:hAnsi="Arial"/>
          <w:spacing w:val="-2"/>
          <w:sz w:val="24"/>
        </w:rPr>
        <w:t xml:space="preserve">Penal Law § 15.05(1). </w:t>
      </w:r>
      <w:r>
        <w:rPr>
          <w:rFonts w:ascii="Arial" w:hAnsi="Arial"/>
          <w:spacing w:val="-2"/>
          <w:sz w:val="14"/>
          <w:vertAlign w:val="superscript"/>
        </w:rPr>
        <w:t>7</w:t>
      </w:r>
      <w:r>
        <w:rPr>
          <w:rFonts w:ascii="Arial" w:hAnsi="Arial"/>
          <w:i/>
          <w:spacing w:val="-2"/>
          <w:sz w:val="24"/>
        </w:rPr>
        <w:t xml:space="preserve">See </w:t>
      </w:r>
      <w:r>
        <w:rPr>
          <w:rFonts w:ascii="Arial" w:hAnsi="Arial"/>
          <w:spacing w:val="-2"/>
          <w:sz w:val="24"/>
        </w:rPr>
        <w:t>Penal Law § 265.15(4).</w:t>
      </w:r>
    </w:p>
    <w:p w14:paraId="42A83233" w14:textId="77777777" w:rsidR="008170E9" w:rsidRDefault="008170E9">
      <w:pPr>
        <w:widowControl/>
        <w:rPr>
          <w:sz w:val="24"/>
        </w:rPr>
        <w:sectPr w:rsidR="008170E9">
          <w:footerReference w:type="default" r:id="rId7"/>
          <w:pgSz w:w="12240" w:h="15840"/>
          <w:pgMar w:top="1080" w:right="2145" w:bottom="587" w:left="2155" w:header="720" w:footer="773" w:gutter="0"/>
          <w:cols w:space="720"/>
          <w:noEndnote/>
        </w:sectPr>
      </w:pPr>
    </w:p>
    <w:p w14:paraId="499A9782" w14:textId="79BB83BA" w:rsidR="008170E9" w:rsidRDefault="008170E9">
      <w:pPr>
        <w:numPr>
          <w:ilvl w:val="0"/>
          <w:numId w:val="1"/>
        </w:numPr>
        <w:kinsoku w:val="0"/>
        <w:overflowPunct w:val="0"/>
        <w:autoSpaceDE/>
        <w:autoSpaceDN/>
        <w:adjustRightInd/>
        <w:spacing w:line="325" w:lineRule="exact"/>
        <w:jc w:val="both"/>
        <w:textAlignment w:val="baseline"/>
        <w:rPr>
          <w:rFonts w:ascii="Arial" w:hAnsi="Arial"/>
          <w:sz w:val="28"/>
        </w:rPr>
      </w:pPr>
      <w:r>
        <w:rPr>
          <w:rFonts w:ascii="Arial" w:hAnsi="Arial"/>
          <w:sz w:val="28"/>
        </w:rPr>
        <w:lastRenderedPageBreak/>
        <w:t xml:space="preserve">That on or </w:t>
      </w:r>
      <w:r w:rsidR="006F611B">
        <w:rPr>
          <w:rFonts w:ascii="Arial" w:hAnsi="Arial"/>
          <w:sz w:val="28"/>
        </w:rPr>
        <w:t xml:space="preserve">about </w:t>
      </w:r>
      <w:r w:rsidR="006F611B">
        <w:rPr>
          <w:rFonts w:ascii="Arial" w:hAnsi="Arial"/>
          <w:i/>
          <w:sz w:val="23"/>
          <w:u w:val="single"/>
        </w:rPr>
        <w:t>(</w:t>
      </w:r>
      <w:r>
        <w:rPr>
          <w:rFonts w:ascii="Arial" w:hAnsi="Arial"/>
          <w:i/>
          <w:sz w:val="23"/>
          <w:u w:val="single"/>
        </w:rPr>
        <w:t>date)</w:t>
      </w:r>
      <w:r>
        <w:rPr>
          <w:rFonts w:ascii="Arial" w:hAnsi="Arial"/>
          <w:sz w:val="28"/>
        </w:rPr>
        <w:t xml:space="preserve">, in the county of </w:t>
      </w:r>
      <w:r>
        <w:rPr>
          <w:rFonts w:ascii="Arial" w:hAnsi="Arial"/>
          <w:i/>
          <w:sz w:val="23"/>
          <w:u w:val="single"/>
        </w:rPr>
        <w:t>(county)</w:t>
      </w:r>
      <w:r>
        <w:rPr>
          <w:rFonts w:ascii="Arial" w:hAnsi="Arial"/>
          <w:sz w:val="28"/>
        </w:rPr>
        <w:t xml:space="preserve">, the defendant, </w:t>
      </w:r>
      <w:r>
        <w:rPr>
          <w:rFonts w:ascii="Arial" w:hAnsi="Arial"/>
          <w:i/>
          <w:sz w:val="23"/>
          <w:u w:val="single"/>
        </w:rPr>
        <w:t>(defendant's name)</w:t>
      </w:r>
      <w:r>
        <w:rPr>
          <w:rFonts w:ascii="Arial" w:hAnsi="Arial"/>
          <w:sz w:val="28"/>
        </w:rPr>
        <w:t xml:space="preserve"> possessed an explosive substance;</w:t>
      </w:r>
    </w:p>
    <w:p w14:paraId="4AB32CEB" w14:textId="77777777" w:rsidR="008170E9" w:rsidRDefault="008170E9">
      <w:pPr>
        <w:numPr>
          <w:ilvl w:val="0"/>
          <w:numId w:val="1"/>
        </w:numPr>
        <w:kinsoku w:val="0"/>
        <w:overflowPunct w:val="0"/>
        <w:autoSpaceDE/>
        <w:autoSpaceDN/>
        <w:adjustRightInd/>
        <w:spacing w:before="333" w:line="315" w:lineRule="exact"/>
        <w:jc w:val="both"/>
        <w:textAlignment w:val="baseline"/>
        <w:rPr>
          <w:rFonts w:ascii="Arial" w:hAnsi="Arial"/>
          <w:sz w:val="28"/>
        </w:rPr>
      </w:pPr>
      <w:r>
        <w:rPr>
          <w:rFonts w:ascii="Arial" w:hAnsi="Arial"/>
          <w:sz w:val="28"/>
        </w:rPr>
        <w:t>That the defendant did so knowingly; and</w:t>
      </w:r>
    </w:p>
    <w:p w14:paraId="56CF1347" w14:textId="77777777" w:rsidR="008170E9" w:rsidRDefault="008170E9">
      <w:pPr>
        <w:numPr>
          <w:ilvl w:val="0"/>
          <w:numId w:val="1"/>
        </w:numPr>
        <w:kinsoku w:val="0"/>
        <w:overflowPunct w:val="0"/>
        <w:autoSpaceDE/>
        <w:autoSpaceDN/>
        <w:adjustRightInd/>
        <w:spacing w:before="326" w:line="322" w:lineRule="exact"/>
        <w:jc w:val="both"/>
        <w:textAlignment w:val="baseline"/>
        <w:rPr>
          <w:rFonts w:ascii="Arial" w:hAnsi="Arial"/>
          <w:sz w:val="28"/>
        </w:rPr>
      </w:pPr>
      <w:r>
        <w:rPr>
          <w:rFonts w:ascii="Arial" w:hAnsi="Arial"/>
          <w:sz w:val="28"/>
        </w:rPr>
        <w:t>That the defendant did so with the intent to use it unlawfully against the person or property of another.</w:t>
      </w:r>
    </w:p>
    <w:p w14:paraId="612377D0" w14:textId="77777777" w:rsidR="008170E9" w:rsidRDefault="008170E9">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28B84B6B" w14:textId="77777777" w:rsidR="008170E9" w:rsidRDefault="008170E9">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sectPr w:rsidR="008170E9" w:rsidSect="008170E9">
      <w:pgSz w:w="12240" w:h="15840"/>
      <w:pgMar w:top="1080" w:right="2145" w:bottom="587" w:left="2155" w:header="720" w:footer="7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0A47" w14:textId="77777777" w:rsidR="00A13EC0" w:rsidRDefault="00A13EC0" w:rsidP="008170E9">
      <w:r>
        <w:separator/>
      </w:r>
    </w:p>
  </w:endnote>
  <w:endnote w:type="continuationSeparator" w:id="0">
    <w:p w14:paraId="4A738746" w14:textId="77777777" w:rsidR="00A13EC0" w:rsidRDefault="00A13EC0" w:rsidP="0081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1B87" w14:textId="77777777" w:rsidR="008170E9" w:rsidRDefault="008170E9">
    <w:pPr>
      <w:keepNext/>
      <w:keepLines/>
      <w:tabs>
        <w:tab w:val="left" w:pos="3840"/>
      </w:tabs>
      <w:kinsoku w:val="0"/>
      <w:overflowPunct w:val="0"/>
      <w:autoSpaceDE/>
      <w:autoSpaceDN/>
      <w:adjustRightInd/>
      <w:spacing w:line="265" w:lineRule="exact"/>
      <w:textAlignment w:val="baseline"/>
      <w:rPr>
        <w:sz w:val="24"/>
      </w:rPr>
    </w:pPr>
    <w:r>
      <w:rPr>
        <w:sz w:val="24"/>
      </w:rPr>
      <w:tab/>
    </w:r>
    <w:r>
      <w:rPr>
        <w:sz w:val="24"/>
      </w:rPr>
      <w:fldChar w:fldCharType="begin"/>
    </w:r>
    <w:r>
      <w:rPr>
        <w:sz w:val="24"/>
      </w:rPr>
      <w:instrText xml:space="preserve"> PAGE </w:instrText>
    </w:r>
    <w:r>
      <w:rPr>
        <w:sz w:val="24"/>
      </w:rPr>
      <w:fldChar w:fldCharType="separate"/>
    </w:r>
    <w:r>
      <w:rPr>
        <w:sz w:val="24"/>
      </w:rPr>
      <w:t>3</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3CB2" w14:textId="77777777" w:rsidR="00A13EC0" w:rsidRDefault="00A13EC0" w:rsidP="008170E9">
      <w:r>
        <w:separator/>
      </w:r>
    </w:p>
  </w:footnote>
  <w:footnote w:type="continuationSeparator" w:id="0">
    <w:p w14:paraId="73FB1195" w14:textId="77777777" w:rsidR="00A13EC0" w:rsidRDefault="00A13EC0" w:rsidP="00817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BF3"/>
    <w:multiLevelType w:val="singleLevel"/>
    <w:tmpl w:val="5B2B6D96"/>
    <w:lvl w:ilvl="0">
      <w:start w:val="1"/>
      <w:numFmt w:val="decimal"/>
      <w:lvlText w:val="%1."/>
      <w:lvlJc w:val="left"/>
      <w:pPr>
        <w:tabs>
          <w:tab w:val="num" w:pos="1440"/>
        </w:tabs>
        <w:ind w:left="1440" w:hanging="720"/>
      </w:pPr>
      <w:rPr>
        <w:rFonts w:ascii="Arial" w:hAnsi="Arial"/>
        <w:snapToGrid/>
        <w:sz w:val="28"/>
      </w:rPr>
    </w:lvl>
  </w:abstractNum>
  <w:num w:numId="1" w16cid:durableId="201244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E9"/>
    <w:rsid w:val="000B6B7A"/>
    <w:rsid w:val="006F611B"/>
    <w:rsid w:val="008170E9"/>
    <w:rsid w:val="0085093B"/>
    <w:rsid w:val="00A13EC0"/>
    <w:rsid w:val="00A9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AEB74"/>
  <w14:defaultImageDpi w14:val="0"/>
  <w15:docId w15:val="{6541E82B-9954-48F7-BC95-EBDCC08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4451</Characters>
  <Application>Microsoft Office Word</Application>
  <DocSecurity>0</DocSecurity>
  <Lines>96</Lines>
  <Paragraphs>30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cp:revision>
  <dcterms:created xsi:type="dcterms:W3CDTF">2021-01-28T21:37:00Z</dcterms:created>
  <dcterms:modified xsi:type="dcterms:W3CDTF">2022-12-01T22:45:00Z</dcterms:modified>
</cp:coreProperties>
</file>