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5926" w14:textId="49683A05" w:rsidR="00C0087E" w:rsidRPr="00814AC8" w:rsidRDefault="0010040C" w:rsidP="00B2540B">
      <w:pPr>
        <w:spacing w:line="276" w:lineRule="auto"/>
        <w:ind w:left="0"/>
        <w:jc w:val="center"/>
        <w:rPr>
          <w:rFonts w:ascii="Arial" w:hAnsi="Arial" w:cs="Arial"/>
          <w:b/>
          <w:bCs/>
          <w:sz w:val="28"/>
          <w:szCs w:val="28"/>
        </w:rPr>
      </w:pPr>
      <w:r w:rsidRPr="00814AC8">
        <w:rPr>
          <w:rFonts w:ascii="Arial" w:hAnsi="Arial" w:cs="Arial"/>
          <w:b/>
          <w:bCs/>
          <w:sz w:val="28"/>
          <w:szCs w:val="28"/>
        </w:rPr>
        <w:t>TRANSPORT OF WEAPONS AND</w:t>
      </w:r>
    </w:p>
    <w:p w14:paraId="3966D6AE" w14:textId="50B8EF17" w:rsidR="008D56E1" w:rsidRPr="00814AC8" w:rsidRDefault="0010040C" w:rsidP="00B2540B">
      <w:pPr>
        <w:spacing w:line="276" w:lineRule="auto"/>
        <w:ind w:left="0"/>
        <w:jc w:val="center"/>
        <w:rPr>
          <w:rFonts w:ascii="Arial" w:hAnsi="Arial" w:cs="Arial"/>
          <w:b/>
          <w:bCs/>
          <w:sz w:val="28"/>
          <w:szCs w:val="28"/>
        </w:rPr>
      </w:pPr>
      <w:r w:rsidRPr="00814AC8">
        <w:rPr>
          <w:rFonts w:ascii="Arial" w:hAnsi="Arial" w:cs="Arial"/>
          <w:b/>
          <w:bCs/>
          <w:sz w:val="28"/>
          <w:szCs w:val="28"/>
        </w:rPr>
        <w:t>DANGEROUS INSTRUMENTS AND APPLIANCES</w:t>
      </w:r>
      <w:r w:rsidR="008D56E1" w:rsidRPr="00814AC8">
        <w:rPr>
          <w:rStyle w:val="FootnoteReference"/>
          <w:rFonts w:ascii="Arial" w:hAnsi="Arial" w:cs="Arial"/>
          <w:b/>
          <w:bCs/>
          <w:sz w:val="28"/>
          <w:szCs w:val="28"/>
        </w:rPr>
        <w:footnoteReference w:id="1"/>
      </w:r>
    </w:p>
    <w:p w14:paraId="36993AAA" w14:textId="43DDAB54" w:rsidR="00FA3DAE" w:rsidRPr="00814AC8" w:rsidRDefault="00FA3DAE" w:rsidP="00B2540B">
      <w:pPr>
        <w:spacing w:line="276" w:lineRule="auto"/>
        <w:ind w:left="0"/>
        <w:jc w:val="center"/>
        <w:rPr>
          <w:rFonts w:ascii="Arial" w:hAnsi="Arial" w:cs="Arial"/>
          <w:b/>
          <w:bCs/>
          <w:sz w:val="28"/>
          <w:szCs w:val="28"/>
        </w:rPr>
      </w:pPr>
      <w:r w:rsidRPr="00814AC8">
        <w:rPr>
          <w:rFonts w:ascii="Arial" w:hAnsi="Arial" w:cs="Arial"/>
          <w:b/>
          <w:bCs/>
          <w:sz w:val="28"/>
          <w:szCs w:val="28"/>
        </w:rPr>
        <w:t>Penal Law § 265.10(2) (sentence 1)</w:t>
      </w:r>
    </w:p>
    <w:p w14:paraId="681FB76E" w14:textId="26CFDD33" w:rsidR="00FA3DAE" w:rsidRDefault="00FA3DAE" w:rsidP="00B2540B">
      <w:pPr>
        <w:spacing w:line="276" w:lineRule="auto"/>
        <w:ind w:left="0"/>
        <w:jc w:val="center"/>
        <w:rPr>
          <w:rFonts w:ascii="Arial" w:hAnsi="Arial" w:cs="Arial"/>
          <w:b/>
          <w:bCs/>
          <w:sz w:val="28"/>
          <w:szCs w:val="28"/>
        </w:rPr>
      </w:pPr>
      <w:r w:rsidRPr="00074356">
        <w:rPr>
          <w:rFonts w:ascii="Arial" w:hAnsi="Arial" w:cs="Arial"/>
          <w:b/>
          <w:bCs/>
          <w:sz w:val="28"/>
          <w:szCs w:val="28"/>
        </w:rPr>
        <w:t>(Committed on or after May 30, 2019)</w:t>
      </w:r>
    </w:p>
    <w:p w14:paraId="7EB85EC4" w14:textId="77777777" w:rsidR="004C1807" w:rsidRPr="00C30DDD" w:rsidRDefault="004C1807" w:rsidP="004C1807">
      <w:pPr>
        <w:widowControl w:val="0"/>
        <w:autoSpaceDE w:val="0"/>
        <w:autoSpaceDN w:val="0"/>
        <w:adjustRightInd w:val="0"/>
        <w:spacing w:line="276" w:lineRule="auto"/>
        <w:ind w:left="0"/>
        <w:jc w:val="center"/>
        <w:rPr>
          <w:rFonts w:ascii="Arial" w:eastAsia="Yu Gothic UI" w:hAnsi="Arial" w:cs="Arial"/>
          <w:sz w:val="22"/>
        </w:rPr>
      </w:pPr>
      <w:r w:rsidRPr="00C30DDD">
        <w:rPr>
          <w:rFonts w:ascii="Arial" w:eastAsiaTheme="minorEastAsia" w:hAnsi="Arial" w:cs="Arial"/>
          <w:sz w:val="22"/>
        </w:rPr>
        <w:t>(Revised Dec 2022)</w:t>
      </w:r>
      <w:r w:rsidRPr="00C30DDD">
        <w:rPr>
          <w:rFonts w:ascii="Arial" w:eastAsiaTheme="minorEastAsia" w:hAnsi="Arial" w:cs="Arial"/>
          <w:sz w:val="22"/>
          <w:vertAlign w:val="superscript"/>
        </w:rPr>
        <w:footnoteReference w:id="2"/>
      </w:r>
    </w:p>
    <w:p w14:paraId="4B255ED7" w14:textId="77777777" w:rsidR="00955BD7" w:rsidRPr="00814AC8" w:rsidRDefault="00955BD7" w:rsidP="00C0087E">
      <w:pPr>
        <w:spacing w:line="276" w:lineRule="auto"/>
        <w:rPr>
          <w:rFonts w:ascii="Arial" w:hAnsi="Arial" w:cs="Arial"/>
          <w:sz w:val="28"/>
          <w:szCs w:val="28"/>
        </w:rPr>
      </w:pPr>
    </w:p>
    <w:p w14:paraId="17ADE7E7" w14:textId="165A9087" w:rsidR="008D56E1" w:rsidRPr="00814AC8" w:rsidRDefault="00FA3DAE" w:rsidP="0074436B">
      <w:pPr>
        <w:spacing w:line="276" w:lineRule="auto"/>
        <w:ind w:left="0" w:firstLine="720"/>
        <w:rPr>
          <w:rFonts w:ascii="Arial" w:hAnsi="Arial" w:cs="Arial"/>
          <w:sz w:val="28"/>
          <w:szCs w:val="28"/>
        </w:rPr>
      </w:pPr>
      <w:r w:rsidRPr="00814AC8">
        <w:rPr>
          <w:rFonts w:ascii="Arial" w:hAnsi="Arial" w:cs="Arial"/>
          <w:sz w:val="28"/>
          <w:szCs w:val="28"/>
        </w:rPr>
        <w:t>The (</w:t>
      </w:r>
      <w:r w:rsidRPr="00814AC8">
        <w:rPr>
          <w:rFonts w:ascii="Arial" w:hAnsi="Arial" w:cs="Arial"/>
          <w:i/>
          <w:iCs/>
          <w:sz w:val="28"/>
          <w:szCs w:val="28"/>
          <w:u w:val="single"/>
        </w:rPr>
        <w:t>specify</w:t>
      </w:r>
      <w:r w:rsidRPr="00814AC8">
        <w:rPr>
          <w:rFonts w:ascii="Arial" w:hAnsi="Arial" w:cs="Arial"/>
          <w:sz w:val="28"/>
          <w:szCs w:val="28"/>
        </w:rPr>
        <w:t xml:space="preserve">) count is </w:t>
      </w:r>
      <w:bookmarkStart w:id="0" w:name="_Hlk59791596"/>
      <w:r w:rsidRPr="00814AC8">
        <w:rPr>
          <w:rFonts w:ascii="Arial" w:hAnsi="Arial" w:cs="Arial"/>
          <w:sz w:val="28"/>
          <w:szCs w:val="28"/>
        </w:rPr>
        <w:t>Transport of Weapons and Dangerous Instruments and Appliances</w:t>
      </w:r>
      <w:bookmarkEnd w:id="0"/>
      <w:r w:rsidRPr="00814AC8">
        <w:rPr>
          <w:rFonts w:ascii="Arial" w:hAnsi="Arial" w:cs="Arial"/>
          <w:sz w:val="28"/>
          <w:szCs w:val="28"/>
        </w:rPr>
        <w:t>.</w:t>
      </w:r>
    </w:p>
    <w:p w14:paraId="55E07AEE" w14:textId="77777777" w:rsidR="008D56E1" w:rsidRPr="00814AC8" w:rsidRDefault="008D56E1" w:rsidP="0074436B">
      <w:pPr>
        <w:spacing w:line="276" w:lineRule="auto"/>
        <w:ind w:left="0"/>
        <w:rPr>
          <w:rFonts w:ascii="Arial" w:hAnsi="Arial" w:cs="Arial"/>
          <w:sz w:val="28"/>
          <w:szCs w:val="28"/>
        </w:rPr>
      </w:pPr>
    </w:p>
    <w:p w14:paraId="6D12DBCB" w14:textId="5B905BAB" w:rsidR="00FA3DAE" w:rsidRPr="00814AC8" w:rsidRDefault="00FA3DAE" w:rsidP="0074436B">
      <w:pPr>
        <w:spacing w:line="276" w:lineRule="auto"/>
        <w:ind w:left="0" w:firstLine="720"/>
        <w:rPr>
          <w:rFonts w:ascii="Arial" w:hAnsi="Arial" w:cs="Arial"/>
          <w:sz w:val="28"/>
          <w:szCs w:val="28"/>
        </w:rPr>
      </w:pPr>
      <w:r w:rsidRPr="00814AC8">
        <w:rPr>
          <w:rFonts w:ascii="Arial" w:hAnsi="Arial" w:cs="Arial"/>
          <w:sz w:val="28"/>
          <w:szCs w:val="28"/>
        </w:rPr>
        <w:t>Under our law</w:t>
      </w:r>
      <w:r w:rsidR="001A483C" w:rsidRPr="00814AC8">
        <w:rPr>
          <w:rFonts w:ascii="Arial" w:hAnsi="Arial" w:cs="Arial"/>
          <w:sz w:val="28"/>
          <w:szCs w:val="28"/>
        </w:rPr>
        <w:t>,</w:t>
      </w:r>
      <w:r w:rsidRPr="00814AC8">
        <w:rPr>
          <w:rFonts w:ascii="Arial" w:hAnsi="Arial" w:cs="Arial"/>
          <w:sz w:val="28"/>
          <w:szCs w:val="28"/>
        </w:rPr>
        <w:t xml:space="preserve"> a</w:t>
      </w:r>
      <w:r w:rsidR="008D56E1" w:rsidRPr="00814AC8">
        <w:rPr>
          <w:rFonts w:ascii="Arial" w:hAnsi="Arial" w:cs="Arial"/>
          <w:sz w:val="28"/>
          <w:szCs w:val="28"/>
        </w:rPr>
        <w:t xml:space="preserve"> person </w:t>
      </w:r>
      <w:r w:rsidR="001A483C" w:rsidRPr="00814AC8">
        <w:rPr>
          <w:rFonts w:ascii="Arial" w:hAnsi="Arial" w:cs="Arial"/>
          <w:sz w:val="28"/>
          <w:szCs w:val="28"/>
        </w:rPr>
        <w:t xml:space="preserve">is guilty of </w:t>
      </w:r>
      <w:r w:rsidR="00C739C7" w:rsidRPr="00814AC8">
        <w:rPr>
          <w:rFonts w:ascii="Arial" w:hAnsi="Arial" w:cs="Arial"/>
          <w:sz w:val="28"/>
          <w:szCs w:val="28"/>
        </w:rPr>
        <w:t>the Transport of Weapons and Dangerous Instruments and Appliances when that person</w:t>
      </w:r>
      <w:r w:rsidR="008D56E1" w:rsidRPr="00814AC8">
        <w:rPr>
          <w:rFonts w:ascii="Arial" w:hAnsi="Arial" w:cs="Arial"/>
          <w:sz w:val="28"/>
          <w:szCs w:val="28"/>
        </w:rPr>
        <w:t xml:space="preserve"> </w:t>
      </w:r>
      <w:r w:rsidR="001B10F6" w:rsidRPr="00814AC8">
        <w:rPr>
          <w:rFonts w:ascii="Arial" w:hAnsi="Arial" w:cs="Arial"/>
          <w:sz w:val="28"/>
          <w:szCs w:val="28"/>
        </w:rPr>
        <w:t>knowingly</w:t>
      </w:r>
      <w:r w:rsidR="001B10F6" w:rsidRPr="00814AC8">
        <w:rPr>
          <w:rStyle w:val="FootnoteReference"/>
          <w:rFonts w:ascii="Arial" w:hAnsi="Arial" w:cs="Arial"/>
          <w:sz w:val="28"/>
          <w:szCs w:val="28"/>
        </w:rPr>
        <w:footnoteReference w:id="3"/>
      </w:r>
      <w:r w:rsidR="001B10F6" w:rsidRPr="00814AC8">
        <w:rPr>
          <w:rFonts w:ascii="Arial" w:hAnsi="Arial" w:cs="Arial"/>
          <w:sz w:val="28"/>
          <w:szCs w:val="28"/>
        </w:rPr>
        <w:t xml:space="preserve"> </w:t>
      </w:r>
      <w:r w:rsidR="008D56E1" w:rsidRPr="00814AC8">
        <w:rPr>
          <w:rFonts w:ascii="Arial" w:hAnsi="Arial" w:cs="Arial"/>
          <w:sz w:val="28"/>
          <w:szCs w:val="28"/>
        </w:rPr>
        <w:t>transports or ships</w:t>
      </w:r>
      <w:r w:rsidR="00C739C7" w:rsidRPr="00814AC8">
        <w:rPr>
          <w:rFonts w:ascii="Arial" w:hAnsi="Arial" w:cs="Arial"/>
          <w:sz w:val="28"/>
          <w:szCs w:val="28"/>
        </w:rPr>
        <w:t>:</w:t>
      </w:r>
    </w:p>
    <w:p w14:paraId="4C1999E5" w14:textId="77777777" w:rsidR="00C739C7" w:rsidRPr="00814AC8" w:rsidRDefault="00C739C7" w:rsidP="0074436B">
      <w:pPr>
        <w:spacing w:line="276" w:lineRule="auto"/>
        <w:ind w:left="0" w:firstLine="720"/>
        <w:rPr>
          <w:rFonts w:ascii="Arial" w:hAnsi="Arial" w:cs="Arial"/>
          <w:sz w:val="28"/>
          <w:szCs w:val="28"/>
        </w:rPr>
      </w:pPr>
    </w:p>
    <w:p w14:paraId="5B8205A2" w14:textId="74FE51CA" w:rsidR="00FA3DAE" w:rsidRPr="00814AC8" w:rsidRDefault="00FA3DAE" w:rsidP="0074436B">
      <w:pPr>
        <w:spacing w:line="276" w:lineRule="auto"/>
        <w:ind w:left="0" w:firstLine="720"/>
        <w:jc w:val="left"/>
        <w:rPr>
          <w:rFonts w:ascii="Arial" w:hAnsi="Arial" w:cs="Arial"/>
          <w:i/>
          <w:iCs/>
          <w:sz w:val="28"/>
          <w:szCs w:val="28"/>
          <w:u w:val="single"/>
        </w:rPr>
      </w:pPr>
      <w:r w:rsidRPr="00814AC8">
        <w:rPr>
          <w:rFonts w:ascii="Arial" w:hAnsi="Arial" w:cs="Arial"/>
          <w:i/>
          <w:iCs/>
          <w:sz w:val="28"/>
          <w:szCs w:val="28"/>
          <w:u w:val="single"/>
        </w:rPr>
        <w:t xml:space="preserve">Select appropriate </w:t>
      </w:r>
      <w:r w:rsidR="005F0A17" w:rsidRPr="00814AC8">
        <w:rPr>
          <w:rFonts w:ascii="Arial" w:hAnsi="Arial" w:cs="Arial"/>
          <w:i/>
          <w:iCs/>
          <w:sz w:val="28"/>
          <w:szCs w:val="28"/>
          <w:u w:val="single"/>
        </w:rPr>
        <w:t>alternative</w:t>
      </w:r>
      <w:r w:rsidRPr="00814AC8">
        <w:rPr>
          <w:rFonts w:ascii="Arial" w:hAnsi="Arial" w:cs="Arial"/>
          <w:i/>
          <w:iCs/>
          <w:sz w:val="28"/>
          <w:szCs w:val="28"/>
          <w:u w:val="single"/>
        </w:rPr>
        <w:t>(s):</w:t>
      </w:r>
    </w:p>
    <w:p w14:paraId="2CF6DE87" w14:textId="27F55802" w:rsidR="00FA3DAE" w:rsidRPr="00814AC8" w:rsidRDefault="005F0A17" w:rsidP="0074436B">
      <w:pPr>
        <w:spacing w:line="276" w:lineRule="auto"/>
        <w:ind w:left="0" w:firstLine="720"/>
        <w:rPr>
          <w:rFonts w:ascii="Arial" w:hAnsi="Arial" w:cs="Arial"/>
          <w:sz w:val="28"/>
          <w:szCs w:val="28"/>
        </w:rPr>
      </w:pPr>
      <w:r w:rsidRPr="00814AC8">
        <w:rPr>
          <w:rFonts w:ascii="Arial" w:hAnsi="Arial" w:cs="Arial"/>
          <w:sz w:val="28"/>
          <w:szCs w:val="28"/>
        </w:rPr>
        <w:t xml:space="preserve">any </w:t>
      </w:r>
      <w:r w:rsidR="008D56E1" w:rsidRPr="00814AC8">
        <w:rPr>
          <w:rFonts w:ascii="Arial" w:hAnsi="Arial" w:cs="Arial"/>
          <w:sz w:val="28"/>
          <w:szCs w:val="28"/>
        </w:rPr>
        <w:t xml:space="preserve">machine-gun, </w:t>
      </w:r>
    </w:p>
    <w:p w14:paraId="0F97D0C7" w14:textId="5AF9C26C" w:rsidR="00FA3DAE" w:rsidRPr="00814AC8" w:rsidRDefault="005F0A17" w:rsidP="0074436B">
      <w:pPr>
        <w:spacing w:line="276" w:lineRule="auto"/>
        <w:ind w:left="0" w:firstLine="720"/>
        <w:rPr>
          <w:rFonts w:ascii="Arial" w:hAnsi="Arial" w:cs="Arial"/>
          <w:sz w:val="28"/>
          <w:szCs w:val="28"/>
        </w:rPr>
      </w:pPr>
      <w:r w:rsidRPr="00814AC8">
        <w:rPr>
          <w:rFonts w:ascii="Arial" w:hAnsi="Arial" w:cs="Arial"/>
          <w:sz w:val="28"/>
          <w:szCs w:val="28"/>
        </w:rPr>
        <w:t xml:space="preserve">any </w:t>
      </w:r>
      <w:r w:rsidR="008D56E1" w:rsidRPr="00814AC8">
        <w:rPr>
          <w:rFonts w:ascii="Arial" w:hAnsi="Arial" w:cs="Arial"/>
          <w:sz w:val="28"/>
          <w:szCs w:val="28"/>
        </w:rPr>
        <w:t xml:space="preserve">firearm silencer, </w:t>
      </w:r>
    </w:p>
    <w:p w14:paraId="4EB21A7E" w14:textId="589DE15E" w:rsidR="00FA3DAE" w:rsidRPr="00814AC8" w:rsidRDefault="005F0A17" w:rsidP="0074436B">
      <w:pPr>
        <w:spacing w:line="276" w:lineRule="auto"/>
        <w:ind w:left="0" w:firstLine="720"/>
        <w:rPr>
          <w:rFonts w:ascii="Arial" w:hAnsi="Arial" w:cs="Arial"/>
          <w:sz w:val="28"/>
          <w:szCs w:val="28"/>
        </w:rPr>
      </w:pPr>
      <w:r w:rsidRPr="00814AC8">
        <w:rPr>
          <w:rFonts w:ascii="Arial" w:hAnsi="Arial" w:cs="Arial"/>
          <w:sz w:val="28"/>
          <w:szCs w:val="28"/>
        </w:rPr>
        <w:t xml:space="preserve">any </w:t>
      </w:r>
      <w:r w:rsidR="008D56E1" w:rsidRPr="00814AC8">
        <w:rPr>
          <w:rFonts w:ascii="Arial" w:hAnsi="Arial" w:cs="Arial"/>
          <w:sz w:val="28"/>
          <w:szCs w:val="28"/>
        </w:rPr>
        <w:t>assault weapon</w:t>
      </w:r>
      <w:r w:rsidR="00FA3DAE" w:rsidRPr="00814AC8">
        <w:rPr>
          <w:rFonts w:ascii="Arial" w:hAnsi="Arial" w:cs="Arial"/>
          <w:sz w:val="28"/>
          <w:szCs w:val="28"/>
        </w:rPr>
        <w:t>,</w:t>
      </w:r>
    </w:p>
    <w:p w14:paraId="5A139F15" w14:textId="53BAC081" w:rsidR="00FA3DAE" w:rsidRPr="00814AC8" w:rsidRDefault="005F0A17" w:rsidP="0074436B">
      <w:pPr>
        <w:spacing w:line="276" w:lineRule="auto"/>
        <w:ind w:left="0" w:firstLine="720"/>
        <w:rPr>
          <w:rFonts w:ascii="Arial" w:hAnsi="Arial" w:cs="Arial"/>
          <w:sz w:val="28"/>
          <w:szCs w:val="28"/>
        </w:rPr>
      </w:pPr>
      <w:r w:rsidRPr="00814AC8">
        <w:rPr>
          <w:rFonts w:ascii="Arial" w:hAnsi="Arial" w:cs="Arial"/>
          <w:sz w:val="28"/>
          <w:szCs w:val="28"/>
        </w:rPr>
        <w:t xml:space="preserve">any </w:t>
      </w:r>
      <w:r w:rsidR="008D56E1" w:rsidRPr="00814AC8">
        <w:rPr>
          <w:rFonts w:ascii="Arial" w:hAnsi="Arial" w:cs="Arial"/>
          <w:sz w:val="28"/>
          <w:szCs w:val="28"/>
        </w:rPr>
        <w:t>large capacity ammunition feeding device</w:t>
      </w:r>
      <w:r w:rsidR="00FA3DAE" w:rsidRPr="00814AC8">
        <w:rPr>
          <w:rFonts w:ascii="Arial" w:hAnsi="Arial" w:cs="Arial"/>
          <w:sz w:val="28"/>
          <w:szCs w:val="28"/>
        </w:rPr>
        <w:t>,</w:t>
      </w:r>
    </w:p>
    <w:p w14:paraId="298FE4DE" w14:textId="62C57686" w:rsidR="00FA3DAE" w:rsidRPr="00814AC8" w:rsidRDefault="005F0A17" w:rsidP="0074436B">
      <w:pPr>
        <w:spacing w:line="276" w:lineRule="auto"/>
        <w:ind w:left="0" w:firstLine="720"/>
        <w:rPr>
          <w:rFonts w:ascii="Arial" w:hAnsi="Arial" w:cs="Arial"/>
          <w:sz w:val="28"/>
          <w:szCs w:val="28"/>
        </w:rPr>
      </w:pPr>
      <w:r w:rsidRPr="00814AC8">
        <w:rPr>
          <w:rFonts w:ascii="Arial" w:hAnsi="Arial" w:cs="Arial"/>
          <w:sz w:val="28"/>
          <w:szCs w:val="28"/>
        </w:rPr>
        <w:t xml:space="preserve">any </w:t>
      </w:r>
      <w:r w:rsidR="008D56E1" w:rsidRPr="00814AC8">
        <w:rPr>
          <w:rFonts w:ascii="Arial" w:hAnsi="Arial" w:cs="Arial"/>
          <w:sz w:val="28"/>
          <w:szCs w:val="28"/>
        </w:rPr>
        <w:t xml:space="preserve">disguised gun, </w:t>
      </w:r>
      <w:r w:rsidR="005B2019" w:rsidRPr="00814AC8">
        <w:rPr>
          <w:rFonts w:ascii="Arial" w:hAnsi="Arial" w:cs="Arial"/>
          <w:sz w:val="28"/>
          <w:szCs w:val="28"/>
        </w:rPr>
        <w:t>or</w:t>
      </w:r>
    </w:p>
    <w:p w14:paraId="71B98011" w14:textId="460A928B" w:rsidR="005F0A17" w:rsidRPr="00814AC8" w:rsidRDefault="008D56E1" w:rsidP="00583989">
      <w:pPr>
        <w:spacing w:line="276" w:lineRule="auto"/>
        <w:rPr>
          <w:rFonts w:ascii="Arial" w:hAnsi="Arial" w:cs="Arial"/>
          <w:sz w:val="28"/>
          <w:szCs w:val="28"/>
        </w:rPr>
      </w:pPr>
      <w:r w:rsidRPr="00814AC8">
        <w:rPr>
          <w:rFonts w:ascii="Arial" w:hAnsi="Arial" w:cs="Arial"/>
          <w:sz w:val="28"/>
          <w:szCs w:val="28"/>
        </w:rPr>
        <w:t>as merchandise</w:t>
      </w:r>
      <w:r w:rsidR="007445CB" w:rsidRPr="00814AC8">
        <w:rPr>
          <w:rFonts w:ascii="Arial" w:hAnsi="Arial" w:cs="Arial"/>
          <w:sz w:val="28"/>
          <w:szCs w:val="28"/>
        </w:rPr>
        <w:t>,</w:t>
      </w:r>
      <w:r w:rsidRPr="00814AC8">
        <w:rPr>
          <w:rFonts w:ascii="Arial" w:hAnsi="Arial" w:cs="Arial"/>
          <w:sz w:val="28"/>
          <w:szCs w:val="28"/>
        </w:rPr>
        <w:t xml:space="preserve"> five or more firearms</w:t>
      </w:r>
      <w:r w:rsidR="00583989" w:rsidRPr="00814AC8">
        <w:rPr>
          <w:rFonts w:ascii="Arial" w:hAnsi="Arial" w:cs="Arial"/>
          <w:sz w:val="28"/>
          <w:szCs w:val="28"/>
        </w:rPr>
        <w:t>.</w:t>
      </w:r>
    </w:p>
    <w:p w14:paraId="78DA8328" w14:textId="1BA03A17" w:rsidR="005F0A17" w:rsidRPr="00814AC8" w:rsidRDefault="005F0A17" w:rsidP="0074436B">
      <w:pPr>
        <w:spacing w:line="276" w:lineRule="auto"/>
        <w:ind w:left="0" w:firstLine="720"/>
        <w:rPr>
          <w:rFonts w:ascii="Arial" w:hAnsi="Arial" w:cs="Arial"/>
          <w:sz w:val="28"/>
          <w:szCs w:val="28"/>
        </w:rPr>
      </w:pPr>
    </w:p>
    <w:p w14:paraId="35F42014" w14:textId="2A028551" w:rsidR="005F0A17" w:rsidRDefault="001B10F6" w:rsidP="0074436B">
      <w:pPr>
        <w:spacing w:line="276" w:lineRule="auto"/>
        <w:ind w:left="0" w:firstLine="720"/>
        <w:rPr>
          <w:rFonts w:ascii="Arial" w:hAnsi="Arial" w:cs="Arial"/>
          <w:sz w:val="28"/>
          <w:szCs w:val="28"/>
        </w:rPr>
      </w:pPr>
      <w:r w:rsidRPr="00814AC8">
        <w:rPr>
          <w:rFonts w:ascii="Arial" w:hAnsi="Arial" w:cs="Arial"/>
          <w:sz w:val="28"/>
          <w:szCs w:val="28"/>
          <w:lang w:val="en-CA"/>
        </w:rPr>
        <w:fldChar w:fldCharType="begin"/>
      </w:r>
      <w:r w:rsidRPr="00814AC8">
        <w:rPr>
          <w:rFonts w:ascii="Arial" w:hAnsi="Arial" w:cs="Arial"/>
          <w:sz w:val="28"/>
          <w:szCs w:val="28"/>
          <w:lang w:val="en-CA"/>
        </w:rPr>
        <w:instrText xml:space="preserve"> SEQ CHAPTER \h \r 1</w:instrText>
      </w:r>
      <w:r w:rsidRPr="00814AC8">
        <w:rPr>
          <w:rFonts w:ascii="Arial" w:hAnsi="Arial" w:cs="Arial"/>
          <w:sz w:val="28"/>
          <w:szCs w:val="28"/>
          <w:lang w:val="en-CA"/>
        </w:rPr>
        <w:fldChar w:fldCharType="end"/>
      </w:r>
      <w:r w:rsidRPr="00814AC8">
        <w:rPr>
          <w:rFonts w:ascii="Arial" w:hAnsi="Arial" w:cs="Arial"/>
          <w:sz w:val="28"/>
          <w:szCs w:val="28"/>
        </w:rPr>
        <w:t>The following terms used in that definition have a special meaning:</w:t>
      </w:r>
    </w:p>
    <w:p w14:paraId="3DC13910" w14:textId="77777777" w:rsidR="003F55AD" w:rsidRPr="00814AC8" w:rsidRDefault="003F55AD" w:rsidP="0074436B">
      <w:pPr>
        <w:spacing w:line="276" w:lineRule="auto"/>
        <w:ind w:left="0" w:firstLine="720"/>
        <w:rPr>
          <w:rFonts w:ascii="Arial" w:hAnsi="Arial" w:cs="Arial"/>
          <w:sz w:val="28"/>
          <w:szCs w:val="28"/>
        </w:rPr>
      </w:pPr>
    </w:p>
    <w:p w14:paraId="3336C2A8" w14:textId="487C1DEF" w:rsidR="001B10F6" w:rsidRPr="00814AC8" w:rsidRDefault="001B10F6" w:rsidP="0074436B">
      <w:pPr>
        <w:spacing w:line="276" w:lineRule="auto"/>
        <w:ind w:left="0" w:firstLine="720"/>
        <w:rPr>
          <w:rFonts w:ascii="Arial" w:hAnsi="Arial" w:cs="Arial"/>
          <w:sz w:val="28"/>
          <w:szCs w:val="28"/>
        </w:rPr>
      </w:pPr>
      <w:r w:rsidRPr="00814AC8">
        <w:rPr>
          <w:rFonts w:ascii="Arial" w:hAnsi="Arial" w:cs="Arial"/>
          <w:sz w:val="28"/>
          <w:szCs w:val="28"/>
          <w:lang w:val="en-CA"/>
        </w:rPr>
        <w:fldChar w:fldCharType="begin"/>
      </w:r>
      <w:r w:rsidRPr="00814AC8">
        <w:rPr>
          <w:rFonts w:ascii="Arial" w:hAnsi="Arial" w:cs="Arial"/>
          <w:sz w:val="28"/>
          <w:szCs w:val="28"/>
          <w:lang w:val="en-CA"/>
        </w:rPr>
        <w:instrText xml:space="preserve"> SEQ CHAPTER \h \r 1</w:instrText>
      </w:r>
      <w:r w:rsidRPr="00814AC8">
        <w:rPr>
          <w:rFonts w:ascii="Arial" w:hAnsi="Arial" w:cs="Arial"/>
          <w:sz w:val="28"/>
          <w:szCs w:val="28"/>
          <w:lang w:val="en-CA"/>
        </w:rPr>
        <w:fldChar w:fldCharType="end"/>
      </w:r>
      <w:r w:rsidRPr="00814AC8">
        <w:rPr>
          <w:rFonts w:ascii="Arial" w:hAnsi="Arial" w:cs="Arial"/>
          <w:sz w:val="28"/>
          <w:szCs w:val="28"/>
        </w:rPr>
        <w:t>A person KNOWINGLY transports o</w:t>
      </w:r>
      <w:r w:rsidR="00B31310">
        <w:rPr>
          <w:rFonts w:ascii="Arial" w:hAnsi="Arial" w:cs="Arial"/>
          <w:sz w:val="28"/>
          <w:szCs w:val="28"/>
        </w:rPr>
        <w:t>r</w:t>
      </w:r>
      <w:r w:rsidRPr="00814AC8">
        <w:rPr>
          <w:rFonts w:ascii="Arial" w:hAnsi="Arial" w:cs="Arial"/>
          <w:sz w:val="28"/>
          <w:szCs w:val="28"/>
        </w:rPr>
        <w:t xml:space="preserve"> ships a </w:t>
      </w:r>
      <w:r w:rsidRPr="00814AC8">
        <w:rPr>
          <w:rFonts w:ascii="Arial" w:hAnsi="Arial" w:cs="Arial"/>
          <w:i/>
          <w:iCs/>
          <w:sz w:val="28"/>
          <w:szCs w:val="28"/>
          <w:u w:val="single"/>
        </w:rPr>
        <w:t xml:space="preserve"> (specify) </w:t>
      </w:r>
      <w:r w:rsidRPr="00814AC8">
        <w:rPr>
          <w:rFonts w:ascii="Arial" w:hAnsi="Arial" w:cs="Arial"/>
          <w:sz w:val="28"/>
          <w:szCs w:val="28"/>
        </w:rPr>
        <w:t xml:space="preserve"> when that person is aware that he or she is doing so.</w:t>
      </w:r>
      <w:r w:rsidRPr="00814AC8">
        <w:rPr>
          <w:rStyle w:val="FootnoteReference"/>
          <w:rFonts w:ascii="Arial" w:hAnsi="Arial" w:cs="Arial"/>
          <w:sz w:val="28"/>
          <w:szCs w:val="28"/>
        </w:rPr>
        <w:footnoteReference w:id="4"/>
      </w:r>
    </w:p>
    <w:p w14:paraId="631838FE" w14:textId="77777777" w:rsidR="00955BD7" w:rsidRPr="00814AC8" w:rsidRDefault="00955BD7" w:rsidP="0074436B">
      <w:pPr>
        <w:spacing w:line="276" w:lineRule="auto"/>
        <w:ind w:left="0" w:firstLine="720"/>
        <w:rPr>
          <w:rFonts w:ascii="Arial" w:hAnsi="Arial" w:cs="Arial"/>
          <w:sz w:val="28"/>
          <w:szCs w:val="28"/>
        </w:rPr>
      </w:pPr>
    </w:p>
    <w:p w14:paraId="5809E859" w14:textId="0ED200A7" w:rsidR="00873A7F" w:rsidRPr="00814AC8" w:rsidRDefault="00873A7F" w:rsidP="004C4BFE">
      <w:pPr>
        <w:spacing w:line="276" w:lineRule="auto"/>
        <w:ind w:left="0"/>
        <w:rPr>
          <w:rFonts w:ascii="Arial" w:hAnsi="Arial" w:cs="Arial"/>
          <w:i/>
          <w:iCs/>
          <w:sz w:val="28"/>
          <w:szCs w:val="28"/>
          <w:u w:val="single"/>
        </w:rPr>
      </w:pPr>
      <w:r w:rsidRPr="00814AC8">
        <w:rPr>
          <w:rFonts w:ascii="Arial" w:hAnsi="Arial" w:cs="Arial"/>
          <w:i/>
          <w:iCs/>
          <w:sz w:val="28"/>
          <w:szCs w:val="28"/>
          <w:u w:val="single"/>
        </w:rPr>
        <w:t xml:space="preserve">Select appropriate </w:t>
      </w:r>
      <w:r w:rsidR="00E224BE" w:rsidRPr="00814AC8">
        <w:rPr>
          <w:rFonts w:ascii="Arial" w:hAnsi="Arial" w:cs="Arial"/>
          <w:i/>
          <w:iCs/>
          <w:sz w:val="28"/>
          <w:szCs w:val="28"/>
          <w:u w:val="single"/>
        </w:rPr>
        <w:t>definition(s):</w:t>
      </w:r>
    </w:p>
    <w:p w14:paraId="06F23974" w14:textId="4FAE4A28" w:rsidR="00DE4AC0" w:rsidRPr="00814AC8" w:rsidRDefault="00ED5403" w:rsidP="0074436B">
      <w:pPr>
        <w:spacing w:line="240" w:lineRule="auto"/>
        <w:ind w:left="0" w:firstLine="720"/>
        <w:rPr>
          <w:rFonts w:ascii="Arial" w:hAnsi="Arial" w:cs="Arial"/>
          <w:sz w:val="28"/>
          <w:szCs w:val="28"/>
        </w:rPr>
      </w:pPr>
      <w:r w:rsidRPr="00814AC8">
        <w:rPr>
          <w:rFonts w:ascii="Arial" w:hAnsi="Arial" w:cs="Arial"/>
          <w:sz w:val="28"/>
          <w:szCs w:val="28"/>
        </w:rPr>
        <w:t xml:space="preserve">MACHINE-GUN </w:t>
      </w:r>
      <w:r w:rsidR="00DE4AC0" w:rsidRPr="00814AC8">
        <w:rPr>
          <w:rFonts w:ascii="Arial" w:hAnsi="Arial" w:cs="Arial"/>
          <w:sz w:val="28"/>
          <w:szCs w:val="28"/>
        </w:rPr>
        <w:t>means a weapon of any description, irrespective of size, by whatever name known, loaded or unloaded, from which a number of shots or bullets may be rapidly or automatically discharged from a magazine with one continuous pull of the trigger and includes a sub-machine gun.</w:t>
      </w:r>
      <w:r w:rsidR="004C4BFE" w:rsidRPr="00814AC8">
        <w:rPr>
          <w:rStyle w:val="FootnoteReference"/>
          <w:rFonts w:ascii="Arial" w:hAnsi="Arial" w:cs="Arial"/>
          <w:sz w:val="28"/>
          <w:szCs w:val="28"/>
        </w:rPr>
        <w:footnoteReference w:id="5"/>
      </w:r>
    </w:p>
    <w:p w14:paraId="1592D5B5" w14:textId="77777777" w:rsidR="00DE4AC0" w:rsidRPr="00814AC8" w:rsidRDefault="00DE4AC0" w:rsidP="0074436B">
      <w:pPr>
        <w:spacing w:line="240" w:lineRule="auto"/>
        <w:ind w:left="0" w:firstLine="720"/>
        <w:rPr>
          <w:rFonts w:ascii="Arial" w:hAnsi="Arial" w:cs="Arial"/>
          <w:sz w:val="28"/>
          <w:szCs w:val="28"/>
        </w:rPr>
      </w:pPr>
    </w:p>
    <w:p w14:paraId="3D1D4DEE" w14:textId="618ED953" w:rsidR="00DE4AC0" w:rsidRPr="00814AC8" w:rsidRDefault="00ED5403" w:rsidP="0074436B">
      <w:pPr>
        <w:spacing w:line="240" w:lineRule="auto"/>
        <w:ind w:left="0" w:firstLine="720"/>
        <w:rPr>
          <w:rFonts w:ascii="Arial" w:hAnsi="Arial" w:cs="Arial"/>
          <w:sz w:val="28"/>
          <w:szCs w:val="28"/>
        </w:rPr>
      </w:pPr>
      <w:r w:rsidRPr="00814AC8">
        <w:rPr>
          <w:rFonts w:ascii="Arial" w:hAnsi="Arial" w:cs="Arial"/>
          <w:sz w:val="28"/>
          <w:szCs w:val="28"/>
        </w:rPr>
        <w:t xml:space="preserve">FIREARM SILENCER </w:t>
      </w:r>
      <w:r w:rsidR="00DE4AC0" w:rsidRPr="00814AC8">
        <w:rPr>
          <w:rFonts w:ascii="Arial" w:hAnsi="Arial" w:cs="Arial"/>
          <w:sz w:val="28"/>
          <w:szCs w:val="28"/>
        </w:rPr>
        <w:t>means any instrument, attachment, weapon or appliance for causing the firing of any gun, revolver, pistol or other firearms to be silent, or intended to lessen or muffle the noise of the firing of any gun, revolver, pistol or other firearm</w:t>
      </w:r>
      <w:r w:rsidR="00333325">
        <w:rPr>
          <w:rFonts w:ascii="Arial" w:hAnsi="Arial" w:cs="Arial"/>
          <w:sz w:val="28"/>
          <w:szCs w:val="28"/>
        </w:rPr>
        <w:t>s</w:t>
      </w:r>
      <w:r w:rsidR="00DE4AC0" w:rsidRPr="00814AC8">
        <w:rPr>
          <w:rFonts w:ascii="Arial" w:hAnsi="Arial" w:cs="Arial"/>
          <w:sz w:val="28"/>
          <w:szCs w:val="28"/>
        </w:rPr>
        <w:t>.</w:t>
      </w:r>
      <w:r w:rsidR="004C4BFE" w:rsidRPr="00814AC8">
        <w:rPr>
          <w:rStyle w:val="FootnoteReference"/>
          <w:rFonts w:ascii="Arial" w:hAnsi="Arial" w:cs="Arial"/>
          <w:sz w:val="28"/>
          <w:szCs w:val="28"/>
        </w:rPr>
        <w:footnoteReference w:id="6"/>
      </w:r>
    </w:p>
    <w:p w14:paraId="1C28F241" w14:textId="111DFC2A" w:rsidR="00A272FA" w:rsidRPr="00814AC8" w:rsidRDefault="00ED5403" w:rsidP="00A272FA">
      <w:pPr>
        <w:widowControl w:val="0"/>
        <w:kinsoku w:val="0"/>
        <w:overflowPunct w:val="0"/>
        <w:spacing w:before="319" w:line="320" w:lineRule="exact"/>
        <w:ind w:left="0" w:firstLine="720"/>
        <w:textAlignment w:val="baseline"/>
        <w:rPr>
          <w:rFonts w:ascii="Arial" w:hAnsi="Arial" w:cs="Arial"/>
          <w:b/>
          <w:bCs/>
          <w:sz w:val="28"/>
          <w:szCs w:val="28"/>
        </w:rPr>
      </w:pPr>
      <w:r w:rsidRPr="00814AC8">
        <w:rPr>
          <w:rFonts w:ascii="Arial" w:hAnsi="Arial" w:cs="Arial"/>
          <w:sz w:val="28"/>
          <w:szCs w:val="28"/>
        </w:rPr>
        <w:t xml:space="preserve">ASSAULT WEAPON </w:t>
      </w:r>
      <w:r w:rsidR="004F7BAC" w:rsidRPr="00814AC8">
        <w:rPr>
          <w:rFonts w:ascii="Arial" w:hAnsi="Arial" w:cs="Arial"/>
          <w:sz w:val="28"/>
          <w:szCs w:val="28"/>
        </w:rPr>
        <w:t>means</w:t>
      </w:r>
      <w:r w:rsidR="004C4BFE" w:rsidRPr="00814AC8">
        <w:rPr>
          <w:rFonts w:ascii="Arial" w:hAnsi="Arial" w:cs="Arial"/>
          <w:sz w:val="28"/>
          <w:szCs w:val="28"/>
        </w:rPr>
        <w:t xml:space="preserve"> </w:t>
      </w:r>
      <w:r w:rsidR="00290B84" w:rsidRPr="00814AC8">
        <w:rPr>
          <w:rFonts w:ascii="Arial" w:hAnsi="Arial" w:cs="Arial"/>
          <w:sz w:val="28"/>
          <w:szCs w:val="28"/>
        </w:rPr>
        <w:t>(</w:t>
      </w:r>
      <w:r w:rsidR="00290B84" w:rsidRPr="00814AC8">
        <w:rPr>
          <w:rFonts w:ascii="Arial" w:hAnsi="Arial" w:cs="Arial"/>
          <w:i/>
          <w:iCs/>
          <w:sz w:val="28"/>
          <w:szCs w:val="28"/>
          <w:u w:val="single"/>
        </w:rPr>
        <w:t xml:space="preserve">specify </w:t>
      </w:r>
      <w:r w:rsidR="00157360" w:rsidRPr="00814AC8">
        <w:rPr>
          <w:rFonts w:ascii="Arial" w:hAnsi="Arial" w:cs="Arial"/>
          <w:i/>
          <w:iCs/>
          <w:sz w:val="28"/>
          <w:szCs w:val="28"/>
          <w:u w:val="single"/>
        </w:rPr>
        <w:t>appropriate portion of the definition</w:t>
      </w:r>
      <w:r w:rsidR="00AD5ADD" w:rsidRPr="00814AC8">
        <w:rPr>
          <w:rFonts w:ascii="Arial" w:hAnsi="Arial" w:cs="Arial"/>
          <w:i/>
          <w:iCs/>
          <w:sz w:val="28"/>
          <w:szCs w:val="28"/>
          <w:u w:val="single"/>
        </w:rPr>
        <w:t xml:space="preserve"> in Penal Law § 265.00[22]</w:t>
      </w:r>
      <w:r w:rsidR="00157360" w:rsidRPr="00814AC8">
        <w:rPr>
          <w:rFonts w:ascii="Arial" w:hAnsi="Arial" w:cs="Arial"/>
          <w:sz w:val="28"/>
          <w:szCs w:val="28"/>
        </w:rPr>
        <w:t>).</w:t>
      </w:r>
      <w:r w:rsidR="00F44CC2" w:rsidRPr="00814AC8">
        <w:rPr>
          <w:rFonts w:ascii="Arial" w:hAnsi="Arial" w:cs="Arial"/>
          <w:sz w:val="28"/>
          <w:szCs w:val="28"/>
        </w:rPr>
        <w:t xml:space="preserve"> </w:t>
      </w:r>
      <w:r w:rsidR="00A272FA" w:rsidRPr="00814AC8">
        <w:rPr>
          <w:rFonts w:ascii="Arial" w:hAnsi="Arial" w:cs="Arial"/>
          <w:sz w:val="28"/>
          <w:szCs w:val="28"/>
        </w:rPr>
        <w:t xml:space="preserve"> The “assault weapon” need not be loaded but it must be operable.  To be operable, an “assault weapon” must be capable of discharging ammunition</w:t>
      </w:r>
      <w:r w:rsidR="00221515" w:rsidRPr="00814AC8">
        <w:rPr>
          <w:rFonts w:ascii="Arial" w:hAnsi="Arial" w:cs="Arial"/>
          <w:sz w:val="28"/>
          <w:szCs w:val="28"/>
        </w:rPr>
        <w:t>.</w:t>
      </w:r>
      <w:r w:rsidR="00A272FA" w:rsidRPr="00814AC8">
        <w:rPr>
          <w:rStyle w:val="FootnoteReference"/>
          <w:rFonts w:ascii="Arial" w:hAnsi="Arial" w:cs="Arial"/>
          <w:sz w:val="28"/>
          <w:szCs w:val="28"/>
        </w:rPr>
        <w:footnoteReference w:id="7"/>
      </w:r>
    </w:p>
    <w:p w14:paraId="5ADA9ADA" w14:textId="2AFC792F" w:rsidR="00740636" w:rsidRPr="00814AC8" w:rsidRDefault="004F7BAC" w:rsidP="00740636">
      <w:pPr>
        <w:spacing w:line="276" w:lineRule="auto"/>
        <w:ind w:left="0" w:firstLine="720"/>
        <w:rPr>
          <w:rFonts w:ascii="Arial" w:hAnsi="Arial" w:cs="Arial"/>
          <w:sz w:val="28"/>
          <w:szCs w:val="28"/>
        </w:rPr>
      </w:pPr>
      <w:r w:rsidRPr="00814AC8">
        <w:rPr>
          <w:rFonts w:ascii="Arial" w:hAnsi="Arial" w:cs="Arial"/>
          <w:sz w:val="28"/>
          <w:szCs w:val="28"/>
        </w:rPr>
        <w:tab/>
      </w:r>
    </w:p>
    <w:p w14:paraId="160BD556" w14:textId="77777777" w:rsidR="0091683D" w:rsidRPr="00F54CB4" w:rsidRDefault="0091683D" w:rsidP="0091683D">
      <w:pPr>
        <w:spacing w:line="240" w:lineRule="auto"/>
        <w:ind w:left="0" w:firstLine="720"/>
        <w:rPr>
          <w:rFonts w:ascii="Arial" w:eastAsiaTheme="minorEastAsia" w:hAnsi="Arial" w:cs="Arial"/>
          <w:sz w:val="28"/>
          <w:szCs w:val="28"/>
        </w:rPr>
      </w:pPr>
      <w:r w:rsidRPr="00F54CB4">
        <w:rPr>
          <w:rFonts w:ascii="Arial" w:eastAsiaTheme="minorEastAsia" w:hAnsi="Arial" w:cs="Arial"/>
          <w:sz w:val="28"/>
          <w:szCs w:val="28"/>
        </w:rPr>
        <w:t>LARGE CAPACITY AMMUNITION FEEDING DEVICE a magazine, belt, drum, feed strip, or similar device, that has a capacity of, or that can be readily restored or converted to accept, more than ten rounds of a</w:t>
      </w:r>
      <w:r w:rsidRPr="00F54CB4">
        <w:rPr>
          <w:rFonts w:ascii="Arial" w:hAnsi="Arial" w:cs="Arial"/>
          <w:sz w:val="28"/>
          <w:szCs w:val="28"/>
        </w:rPr>
        <w:t>mmunition</w:t>
      </w:r>
      <w:r w:rsidRPr="00F54CB4">
        <w:rPr>
          <w:rFonts w:ascii="Arial" w:eastAsiaTheme="minorEastAsia" w:hAnsi="Arial" w:cs="Arial"/>
          <w:sz w:val="28"/>
          <w:szCs w:val="28"/>
        </w:rPr>
        <w:t>.</w:t>
      </w:r>
      <w:r w:rsidRPr="00F54CB4">
        <w:rPr>
          <w:rFonts w:ascii="Arial" w:eastAsia="Yu Gothic UI" w:hAnsi="Arial" w:cs="Arial"/>
          <w:sz w:val="28"/>
          <w:szCs w:val="28"/>
          <w:vertAlign w:val="superscript"/>
        </w:rPr>
        <w:footnoteReference w:id="8"/>
      </w:r>
    </w:p>
    <w:p w14:paraId="5889AF8D" w14:textId="3DD70548" w:rsidR="0014348C" w:rsidRPr="00814AC8" w:rsidRDefault="00BE0C28" w:rsidP="0074436B">
      <w:pPr>
        <w:spacing w:line="276" w:lineRule="auto"/>
        <w:ind w:left="0" w:firstLine="720"/>
        <w:rPr>
          <w:rFonts w:ascii="Arial" w:hAnsi="Arial" w:cs="Arial"/>
          <w:sz w:val="28"/>
          <w:szCs w:val="28"/>
        </w:rPr>
      </w:pPr>
      <w:r w:rsidRPr="00814AC8">
        <w:rPr>
          <w:rFonts w:ascii="Arial" w:hAnsi="Arial" w:cs="Arial"/>
          <w:sz w:val="28"/>
          <w:szCs w:val="28"/>
        </w:rPr>
        <w:t xml:space="preserve">DISGUISED GUN </w:t>
      </w:r>
      <w:r w:rsidR="0014348C" w:rsidRPr="00814AC8">
        <w:rPr>
          <w:rFonts w:ascii="Arial" w:hAnsi="Arial" w:cs="Arial"/>
          <w:sz w:val="28"/>
          <w:szCs w:val="28"/>
        </w:rPr>
        <w:t>means any weapon or device capable of being concealed on the person from which a shot can be discharged through the energy of an explosive and is designed and intended to appear to be something other than a gun.</w:t>
      </w:r>
      <w:r w:rsidR="009C2DBC" w:rsidRPr="00814AC8">
        <w:rPr>
          <w:rStyle w:val="FootnoteReference"/>
          <w:rFonts w:ascii="Arial" w:hAnsi="Arial" w:cs="Arial"/>
          <w:sz w:val="28"/>
          <w:szCs w:val="28"/>
        </w:rPr>
        <w:footnoteReference w:id="9"/>
      </w:r>
    </w:p>
    <w:p w14:paraId="7B972F47" w14:textId="5D2FEA8C" w:rsidR="0014348C" w:rsidRPr="00814AC8" w:rsidRDefault="003F024F" w:rsidP="003F024F">
      <w:pPr>
        <w:widowControl w:val="0"/>
        <w:kinsoku w:val="0"/>
        <w:overflowPunct w:val="0"/>
        <w:spacing w:before="319" w:line="320" w:lineRule="exact"/>
        <w:ind w:left="0" w:firstLine="720"/>
        <w:textAlignment w:val="baseline"/>
        <w:rPr>
          <w:rFonts w:ascii="Arial" w:hAnsi="Arial" w:cs="Arial"/>
          <w:b/>
          <w:bCs/>
          <w:sz w:val="28"/>
          <w:szCs w:val="28"/>
        </w:rPr>
      </w:pPr>
      <w:r w:rsidRPr="00814AC8">
        <w:rPr>
          <w:rFonts w:ascii="Arial" w:eastAsiaTheme="minorEastAsia" w:hAnsi="Arial" w:cs="Arial"/>
          <w:spacing w:val="-1"/>
          <w:sz w:val="28"/>
          <w:szCs w:val="28"/>
        </w:rPr>
        <w:t>A FIREARM means any pistol or revolver.</w:t>
      </w:r>
      <w:r w:rsidRPr="00814AC8">
        <w:rPr>
          <w:rFonts w:ascii="Arial" w:eastAsiaTheme="minorEastAsia" w:hAnsi="Arial" w:cs="Arial"/>
          <w:spacing w:val="-1"/>
          <w:sz w:val="28"/>
          <w:szCs w:val="28"/>
          <w:vertAlign w:val="superscript"/>
        </w:rPr>
        <w:t xml:space="preserve">3  </w:t>
      </w:r>
      <w:bookmarkStart w:id="3" w:name="_Hlk59807715"/>
      <w:r w:rsidR="00602FC3" w:rsidRPr="00814AC8">
        <w:rPr>
          <w:rFonts w:ascii="Arial" w:hAnsi="Arial" w:cs="Arial"/>
          <w:sz w:val="28"/>
          <w:szCs w:val="28"/>
        </w:rPr>
        <w:t>T</w:t>
      </w:r>
      <w:r w:rsidR="003E4122" w:rsidRPr="00814AC8">
        <w:rPr>
          <w:rFonts w:ascii="Arial" w:hAnsi="Arial" w:cs="Arial"/>
          <w:sz w:val="28"/>
          <w:szCs w:val="28"/>
        </w:rPr>
        <w:t xml:space="preserve">he </w:t>
      </w:r>
      <w:r w:rsidR="00602FC3" w:rsidRPr="00814AC8">
        <w:rPr>
          <w:rFonts w:ascii="Arial" w:hAnsi="Arial" w:cs="Arial"/>
          <w:sz w:val="28"/>
          <w:szCs w:val="28"/>
        </w:rPr>
        <w:t xml:space="preserve">firearm </w:t>
      </w:r>
      <w:r w:rsidR="003E4122" w:rsidRPr="00814AC8">
        <w:rPr>
          <w:rFonts w:ascii="Arial" w:hAnsi="Arial" w:cs="Arial"/>
          <w:sz w:val="28"/>
          <w:szCs w:val="28"/>
        </w:rPr>
        <w:t xml:space="preserve">need not be loaded but it must be operable.  To be operable, </w:t>
      </w:r>
      <w:r w:rsidR="00602FC3" w:rsidRPr="00814AC8">
        <w:rPr>
          <w:rFonts w:ascii="Arial" w:hAnsi="Arial" w:cs="Arial"/>
          <w:sz w:val="28"/>
          <w:szCs w:val="28"/>
        </w:rPr>
        <w:t xml:space="preserve">a firearm </w:t>
      </w:r>
      <w:r w:rsidR="003E4122" w:rsidRPr="00814AC8">
        <w:rPr>
          <w:rFonts w:ascii="Arial" w:hAnsi="Arial" w:cs="Arial"/>
          <w:sz w:val="28"/>
          <w:szCs w:val="28"/>
        </w:rPr>
        <w:t>must be capable of discharging ammunition</w:t>
      </w:r>
      <w:r w:rsidR="001C634D">
        <w:rPr>
          <w:rFonts w:ascii="Arial" w:hAnsi="Arial" w:cs="Arial"/>
          <w:sz w:val="28"/>
          <w:szCs w:val="28"/>
        </w:rPr>
        <w:t>.</w:t>
      </w:r>
      <w:r w:rsidR="00DC66C8" w:rsidRPr="00814AC8">
        <w:rPr>
          <w:rStyle w:val="FootnoteReference"/>
          <w:rFonts w:ascii="Arial" w:hAnsi="Arial" w:cs="Arial"/>
          <w:sz w:val="28"/>
          <w:szCs w:val="28"/>
        </w:rPr>
        <w:footnoteReference w:id="10"/>
      </w:r>
    </w:p>
    <w:bookmarkEnd w:id="3"/>
    <w:p w14:paraId="1F5E9C33" w14:textId="49605403" w:rsidR="001B10F6" w:rsidRPr="00814AC8" w:rsidRDefault="00DE4AC0" w:rsidP="0074436B">
      <w:pPr>
        <w:spacing w:line="276" w:lineRule="auto"/>
        <w:ind w:left="0" w:firstLine="720"/>
        <w:rPr>
          <w:rFonts w:ascii="Arial" w:hAnsi="Arial" w:cs="Arial"/>
          <w:b/>
          <w:bCs/>
          <w:sz w:val="28"/>
          <w:szCs w:val="28"/>
        </w:rPr>
      </w:pPr>
      <w:r w:rsidRPr="00814AC8">
        <w:rPr>
          <w:rFonts w:ascii="Arial" w:hAnsi="Arial" w:cs="Arial"/>
          <w:b/>
          <w:bCs/>
          <w:sz w:val="28"/>
          <w:szCs w:val="28"/>
        </w:rPr>
        <w:tab/>
      </w:r>
    </w:p>
    <w:p w14:paraId="400A7FB4" w14:textId="2FEC1A85" w:rsidR="001B10F6" w:rsidRPr="00814AC8" w:rsidRDefault="001B10F6" w:rsidP="00602FC3">
      <w:pPr>
        <w:autoSpaceDE w:val="0"/>
        <w:autoSpaceDN w:val="0"/>
        <w:adjustRightInd w:val="0"/>
        <w:spacing w:line="276" w:lineRule="auto"/>
        <w:ind w:left="0" w:firstLine="720"/>
        <w:rPr>
          <w:rFonts w:ascii="Arial" w:hAnsi="Arial" w:cs="Arial"/>
          <w:sz w:val="28"/>
          <w:szCs w:val="28"/>
        </w:rPr>
      </w:pPr>
      <w:r w:rsidRPr="00814AC8">
        <w:rPr>
          <w:rFonts w:ascii="Arial" w:hAnsi="Arial" w:cs="Arial"/>
          <w:sz w:val="28"/>
          <w:szCs w:val="28"/>
          <w:lang w:val="en-CA"/>
        </w:rPr>
        <w:fldChar w:fldCharType="begin"/>
      </w:r>
      <w:r w:rsidRPr="00814AC8">
        <w:rPr>
          <w:rFonts w:ascii="Arial" w:hAnsi="Arial" w:cs="Arial"/>
          <w:sz w:val="28"/>
          <w:szCs w:val="28"/>
          <w:lang w:val="en-CA"/>
        </w:rPr>
        <w:instrText xml:space="preserve"> SEQ CHAPTER \h \r 1</w:instrText>
      </w:r>
      <w:r w:rsidRPr="00814AC8">
        <w:rPr>
          <w:rFonts w:ascii="Arial" w:hAnsi="Arial" w:cs="Arial"/>
          <w:sz w:val="28"/>
          <w:szCs w:val="28"/>
          <w:lang w:val="en-CA"/>
        </w:rPr>
        <w:fldChar w:fldCharType="end"/>
      </w:r>
      <w:r w:rsidRPr="00814AC8">
        <w:rPr>
          <w:rFonts w:ascii="Arial" w:hAnsi="Arial" w:cs="Arial"/>
          <w:sz w:val="28"/>
          <w:szCs w:val="28"/>
        </w:rPr>
        <w:t xml:space="preserve">In order for you to find the defendant guilty of this crime, the People are required to prove, from all the evidence in the case, beyond a reasonable doubt, each of the following </w:t>
      </w:r>
      <w:r w:rsidR="006F3E29">
        <w:rPr>
          <w:rFonts w:ascii="Arial" w:hAnsi="Arial" w:cs="Arial"/>
          <w:sz w:val="28"/>
          <w:szCs w:val="28"/>
        </w:rPr>
        <w:t>two</w:t>
      </w:r>
      <w:r w:rsidRPr="00814AC8">
        <w:rPr>
          <w:rFonts w:ascii="Arial" w:hAnsi="Arial" w:cs="Arial"/>
          <w:sz w:val="28"/>
          <w:szCs w:val="28"/>
        </w:rPr>
        <w:t xml:space="preserve"> elements:</w:t>
      </w:r>
    </w:p>
    <w:p w14:paraId="6DD1E30C" w14:textId="77777777" w:rsidR="001B10F6" w:rsidRPr="00814AC8" w:rsidRDefault="001B10F6" w:rsidP="00C0087E">
      <w:pPr>
        <w:autoSpaceDE w:val="0"/>
        <w:autoSpaceDN w:val="0"/>
        <w:adjustRightInd w:val="0"/>
        <w:spacing w:line="276" w:lineRule="auto"/>
        <w:ind w:left="0"/>
        <w:rPr>
          <w:rFonts w:ascii="Arial" w:hAnsi="Arial" w:cs="Arial"/>
          <w:sz w:val="28"/>
          <w:szCs w:val="28"/>
        </w:rPr>
      </w:pPr>
    </w:p>
    <w:p w14:paraId="6076505A" w14:textId="6134FA54" w:rsidR="00B77D36" w:rsidRPr="00814AC8" w:rsidRDefault="00604100" w:rsidP="00B77D36">
      <w:pPr>
        <w:spacing w:line="276" w:lineRule="auto"/>
        <w:ind w:left="0" w:firstLine="720"/>
        <w:rPr>
          <w:rFonts w:ascii="Arial" w:hAnsi="Arial" w:cs="Arial"/>
          <w:sz w:val="28"/>
          <w:szCs w:val="28"/>
        </w:rPr>
      </w:pPr>
      <w:r w:rsidRPr="00814AC8">
        <w:rPr>
          <w:rFonts w:ascii="Arial" w:hAnsi="Arial" w:cs="Arial"/>
          <w:sz w:val="28"/>
          <w:szCs w:val="28"/>
        </w:rPr>
        <w:t>1.</w:t>
      </w:r>
      <w:r w:rsidRPr="00814AC8">
        <w:rPr>
          <w:rFonts w:ascii="Arial" w:hAnsi="Arial" w:cs="Arial"/>
          <w:sz w:val="28"/>
          <w:szCs w:val="28"/>
        </w:rPr>
        <w:tab/>
        <w:t xml:space="preserve">That on or about </w:t>
      </w:r>
      <w:r w:rsidRPr="00814AC8">
        <w:rPr>
          <w:rFonts w:ascii="Arial" w:hAnsi="Arial" w:cs="Arial"/>
          <w:sz w:val="28"/>
          <w:szCs w:val="28"/>
          <w:u w:val="single"/>
        </w:rPr>
        <w:t xml:space="preserve"> (</w:t>
      </w:r>
      <w:r w:rsidRPr="00814AC8">
        <w:rPr>
          <w:rFonts w:ascii="Arial" w:hAnsi="Arial" w:cs="Arial"/>
          <w:i/>
          <w:iCs/>
          <w:sz w:val="28"/>
          <w:szCs w:val="28"/>
          <w:u w:val="single"/>
        </w:rPr>
        <w:t>date</w:t>
      </w:r>
      <w:r w:rsidRPr="00814AC8">
        <w:rPr>
          <w:rFonts w:ascii="Arial" w:hAnsi="Arial" w:cs="Arial"/>
          <w:sz w:val="28"/>
          <w:szCs w:val="28"/>
          <w:u w:val="single"/>
        </w:rPr>
        <w:t xml:space="preserve">) </w:t>
      </w:r>
      <w:r w:rsidRPr="00814AC8">
        <w:rPr>
          <w:rFonts w:ascii="Arial" w:hAnsi="Arial" w:cs="Arial"/>
          <w:sz w:val="28"/>
          <w:szCs w:val="28"/>
        </w:rPr>
        <w:t xml:space="preserve">, in the County of </w:t>
      </w:r>
      <w:r w:rsidRPr="00814AC8">
        <w:rPr>
          <w:rFonts w:ascii="Arial" w:hAnsi="Arial" w:cs="Arial"/>
          <w:sz w:val="28"/>
          <w:szCs w:val="28"/>
          <w:u w:val="single"/>
        </w:rPr>
        <w:t xml:space="preserve"> (County) </w:t>
      </w:r>
      <w:r w:rsidRPr="00814AC8">
        <w:rPr>
          <w:rFonts w:ascii="Arial" w:hAnsi="Arial" w:cs="Arial"/>
          <w:sz w:val="28"/>
          <w:szCs w:val="28"/>
        </w:rPr>
        <w:t xml:space="preserve">, the defendant, </w:t>
      </w:r>
      <w:r w:rsidRPr="00814AC8">
        <w:rPr>
          <w:rFonts w:ascii="Arial" w:hAnsi="Arial" w:cs="Arial"/>
          <w:sz w:val="28"/>
          <w:szCs w:val="28"/>
          <w:u w:val="single"/>
        </w:rPr>
        <w:t xml:space="preserve"> (</w:t>
      </w:r>
      <w:r w:rsidRPr="00814AC8">
        <w:rPr>
          <w:rFonts w:ascii="Arial" w:hAnsi="Arial" w:cs="Arial"/>
          <w:i/>
          <w:iCs/>
          <w:sz w:val="28"/>
          <w:szCs w:val="28"/>
          <w:u w:val="single"/>
        </w:rPr>
        <w:t>defendant's name</w:t>
      </w:r>
      <w:r w:rsidRPr="00814AC8">
        <w:rPr>
          <w:rFonts w:ascii="Arial" w:hAnsi="Arial" w:cs="Arial"/>
          <w:sz w:val="28"/>
          <w:szCs w:val="28"/>
          <w:u w:val="single"/>
        </w:rPr>
        <w:t>)</w:t>
      </w:r>
      <w:r w:rsidR="00790005">
        <w:rPr>
          <w:rFonts w:ascii="Arial" w:hAnsi="Arial" w:cs="Arial"/>
          <w:sz w:val="28"/>
          <w:szCs w:val="28"/>
          <w:u w:val="single"/>
        </w:rPr>
        <w:t>,</w:t>
      </w:r>
      <w:r w:rsidR="006A23F4" w:rsidRPr="00814AC8">
        <w:rPr>
          <w:rFonts w:ascii="Arial" w:hAnsi="Arial" w:cs="Arial"/>
          <w:sz w:val="28"/>
          <w:szCs w:val="28"/>
        </w:rPr>
        <w:t xml:space="preserve"> </w:t>
      </w:r>
      <w:r w:rsidR="00B77D36" w:rsidRPr="00814AC8">
        <w:rPr>
          <w:rFonts w:ascii="Arial" w:hAnsi="Arial" w:cs="Arial"/>
          <w:sz w:val="28"/>
          <w:szCs w:val="28"/>
        </w:rPr>
        <w:t>transported or shipped:</w:t>
      </w:r>
    </w:p>
    <w:p w14:paraId="35F566E9" w14:textId="77777777" w:rsidR="00B77D36" w:rsidRPr="00814AC8" w:rsidRDefault="00B77D36" w:rsidP="00B77D36">
      <w:pPr>
        <w:spacing w:line="276" w:lineRule="auto"/>
        <w:ind w:left="0" w:firstLine="720"/>
        <w:rPr>
          <w:rFonts w:ascii="Arial" w:hAnsi="Arial" w:cs="Arial"/>
          <w:sz w:val="28"/>
          <w:szCs w:val="28"/>
        </w:rPr>
      </w:pPr>
    </w:p>
    <w:p w14:paraId="2279C6CC" w14:textId="77777777" w:rsidR="00B77D36" w:rsidRPr="00814AC8" w:rsidRDefault="00B77D36" w:rsidP="007001DE">
      <w:pPr>
        <w:spacing w:line="276" w:lineRule="auto"/>
        <w:ind w:firstLine="720"/>
        <w:jc w:val="left"/>
        <w:rPr>
          <w:rFonts w:ascii="Arial" w:hAnsi="Arial" w:cs="Arial"/>
          <w:i/>
          <w:iCs/>
          <w:sz w:val="28"/>
          <w:szCs w:val="28"/>
          <w:u w:val="single"/>
        </w:rPr>
      </w:pPr>
      <w:r w:rsidRPr="00814AC8">
        <w:rPr>
          <w:rFonts w:ascii="Arial" w:hAnsi="Arial" w:cs="Arial"/>
          <w:i/>
          <w:iCs/>
          <w:sz w:val="28"/>
          <w:szCs w:val="28"/>
          <w:u w:val="single"/>
        </w:rPr>
        <w:t>Select appropriate alternative(s):</w:t>
      </w:r>
    </w:p>
    <w:p w14:paraId="34CC44E5" w14:textId="77777777" w:rsidR="00B77D36" w:rsidRPr="00814AC8" w:rsidRDefault="00B77D36" w:rsidP="007001DE">
      <w:pPr>
        <w:spacing w:line="276" w:lineRule="auto"/>
        <w:ind w:firstLine="720"/>
        <w:rPr>
          <w:rFonts w:ascii="Arial" w:hAnsi="Arial" w:cs="Arial"/>
          <w:sz w:val="28"/>
          <w:szCs w:val="28"/>
        </w:rPr>
      </w:pPr>
      <w:r w:rsidRPr="00814AC8">
        <w:rPr>
          <w:rFonts w:ascii="Arial" w:hAnsi="Arial" w:cs="Arial"/>
          <w:sz w:val="28"/>
          <w:szCs w:val="28"/>
        </w:rPr>
        <w:t xml:space="preserve">any machine-gun, </w:t>
      </w:r>
    </w:p>
    <w:p w14:paraId="1B7BD54B" w14:textId="77777777" w:rsidR="00B77D36" w:rsidRPr="00814AC8" w:rsidRDefault="00B77D36" w:rsidP="007001DE">
      <w:pPr>
        <w:spacing w:line="276" w:lineRule="auto"/>
        <w:ind w:firstLine="720"/>
        <w:rPr>
          <w:rFonts w:ascii="Arial" w:hAnsi="Arial" w:cs="Arial"/>
          <w:sz w:val="28"/>
          <w:szCs w:val="28"/>
        </w:rPr>
      </w:pPr>
      <w:r w:rsidRPr="00814AC8">
        <w:rPr>
          <w:rFonts w:ascii="Arial" w:hAnsi="Arial" w:cs="Arial"/>
          <w:sz w:val="28"/>
          <w:szCs w:val="28"/>
        </w:rPr>
        <w:t xml:space="preserve">any firearm silencer, </w:t>
      </w:r>
    </w:p>
    <w:p w14:paraId="78B25863" w14:textId="77777777" w:rsidR="00B77D36" w:rsidRPr="00814AC8" w:rsidRDefault="00B77D36" w:rsidP="007001DE">
      <w:pPr>
        <w:spacing w:line="276" w:lineRule="auto"/>
        <w:ind w:firstLine="720"/>
        <w:rPr>
          <w:rFonts w:ascii="Arial" w:hAnsi="Arial" w:cs="Arial"/>
          <w:sz w:val="28"/>
          <w:szCs w:val="28"/>
        </w:rPr>
      </w:pPr>
      <w:r w:rsidRPr="00814AC8">
        <w:rPr>
          <w:rFonts w:ascii="Arial" w:hAnsi="Arial" w:cs="Arial"/>
          <w:sz w:val="28"/>
          <w:szCs w:val="28"/>
        </w:rPr>
        <w:t>any assault weapon,</w:t>
      </w:r>
    </w:p>
    <w:p w14:paraId="6CF5CC5E" w14:textId="77777777" w:rsidR="00B77D36" w:rsidRPr="00814AC8" w:rsidRDefault="00B77D36" w:rsidP="007001DE">
      <w:pPr>
        <w:spacing w:line="276" w:lineRule="auto"/>
        <w:ind w:firstLine="720"/>
        <w:rPr>
          <w:rFonts w:ascii="Arial" w:hAnsi="Arial" w:cs="Arial"/>
          <w:sz w:val="28"/>
          <w:szCs w:val="28"/>
        </w:rPr>
      </w:pPr>
      <w:r w:rsidRPr="00814AC8">
        <w:rPr>
          <w:rFonts w:ascii="Arial" w:hAnsi="Arial" w:cs="Arial"/>
          <w:sz w:val="28"/>
          <w:szCs w:val="28"/>
        </w:rPr>
        <w:t>any large capacity ammunition feeding device,</w:t>
      </w:r>
    </w:p>
    <w:p w14:paraId="2CAE1C79" w14:textId="0FC8DE37" w:rsidR="00B77D36" w:rsidRPr="00814AC8" w:rsidRDefault="00B77D36" w:rsidP="007001DE">
      <w:pPr>
        <w:spacing w:line="276" w:lineRule="auto"/>
        <w:ind w:firstLine="720"/>
        <w:rPr>
          <w:rFonts w:ascii="Arial" w:hAnsi="Arial" w:cs="Arial"/>
          <w:sz w:val="28"/>
          <w:szCs w:val="28"/>
        </w:rPr>
      </w:pPr>
      <w:r w:rsidRPr="00814AC8">
        <w:rPr>
          <w:rFonts w:ascii="Arial" w:hAnsi="Arial" w:cs="Arial"/>
          <w:sz w:val="28"/>
          <w:szCs w:val="28"/>
        </w:rPr>
        <w:t xml:space="preserve">any disguised gun, </w:t>
      </w:r>
      <w:r w:rsidR="005B2019" w:rsidRPr="00814AC8">
        <w:rPr>
          <w:rFonts w:ascii="Arial" w:hAnsi="Arial" w:cs="Arial"/>
          <w:sz w:val="28"/>
          <w:szCs w:val="28"/>
        </w:rPr>
        <w:t>or</w:t>
      </w:r>
    </w:p>
    <w:p w14:paraId="2E871E35" w14:textId="000B3920" w:rsidR="00B77D36" w:rsidRPr="00814AC8" w:rsidRDefault="00B77D36" w:rsidP="007001DE">
      <w:pPr>
        <w:spacing w:line="276" w:lineRule="auto"/>
        <w:ind w:left="1440"/>
        <w:rPr>
          <w:rFonts w:ascii="Arial" w:hAnsi="Arial" w:cs="Arial"/>
          <w:sz w:val="28"/>
          <w:szCs w:val="28"/>
        </w:rPr>
      </w:pPr>
      <w:r w:rsidRPr="00814AC8">
        <w:rPr>
          <w:rFonts w:ascii="Arial" w:hAnsi="Arial" w:cs="Arial"/>
          <w:sz w:val="28"/>
          <w:szCs w:val="28"/>
        </w:rPr>
        <w:t>as merchandise</w:t>
      </w:r>
      <w:r w:rsidR="007445CB" w:rsidRPr="00814AC8">
        <w:rPr>
          <w:rFonts w:ascii="Arial" w:hAnsi="Arial" w:cs="Arial"/>
          <w:sz w:val="28"/>
          <w:szCs w:val="28"/>
        </w:rPr>
        <w:t>,</w:t>
      </w:r>
      <w:r w:rsidRPr="00814AC8">
        <w:rPr>
          <w:rFonts w:ascii="Arial" w:hAnsi="Arial" w:cs="Arial"/>
          <w:sz w:val="28"/>
          <w:szCs w:val="28"/>
        </w:rPr>
        <w:t xml:space="preserve"> five or more firearms</w:t>
      </w:r>
      <w:r w:rsidR="00641055">
        <w:rPr>
          <w:rFonts w:ascii="Arial" w:hAnsi="Arial" w:cs="Arial"/>
          <w:sz w:val="28"/>
          <w:szCs w:val="28"/>
        </w:rPr>
        <w:t>; and</w:t>
      </w:r>
    </w:p>
    <w:p w14:paraId="7E5FC862" w14:textId="77777777" w:rsidR="00604100" w:rsidRPr="00814AC8" w:rsidRDefault="00604100" w:rsidP="00604100">
      <w:pPr>
        <w:autoSpaceDE w:val="0"/>
        <w:autoSpaceDN w:val="0"/>
        <w:adjustRightInd w:val="0"/>
        <w:spacing w:line="276" w:lineRule="auto"/>
        <w:ind w:left="0"/>
        <w:rPr>
          <w:rFonts w:ascii="Arial" w:hAnsi="Arial" w:cs="Arial"/>
          <w:sz w:val="28"/>
          <w:szCs w:val="28"/>
        </w:rPr>
      </w:pPr>
    </w:p>
    <w:p w14:paraId="3B974539" w14:textId="7F5CC3AF" w:rsidR="00604100" w:rsidRPr="00814AC8" w:rsidRDefault="00604100" w:rsidP="00604100">
      <w:pPr>
        <w:tabs>
          <w:tab w:val="left" w:pos="720"/>
          <w:tab w:val="left" w:pos="1440"/>
        </w:tabs>
        <w:autoSpaceDE w:val="0"/>
        <w:autoSpaceDN w:val="0"/>
        <w:adjustRightInd w:val="0"/>
        <w:spacing w:line="276" w:lineRule="auto"/>
        <w:rPr>
          <w:rFonts w:ascii="Arial" w:hAnsi="Arial" w:cs="Arial"/>
          <w:sz w:val="28"/>
          <w:szCs w:val="28"/>
        </w:rPr>
      </w:pPr>
      <w:r w:rsidRPr="00814AC8">
        <w:rPr>
          <w:rFonts w:ascii="Arial" w:hAnsi="Arial" w:cs="Arial"/>
          <w:sz w:val="28"/>
          <w:szCs w:val="28"/>
        </w:rPr>
        <w:t>2.</w:t>
      </w:r>
      <w:r w:rsidRPr="00814AC8">
        <w:rPr>
          <w:rFonts w:ascii="Arial" w:hAnsi="Arial" w:cs="Arial"/>
          <w:sz w:val="28"/>
          <w:szCs w:val="28"/>
        </w:rPr>
        <w:tab/>
        <w:t xml:space="preserve">That the defendant did so </w:t>
      </w:r>
      <w:r w:rsidR="0076671B" w:rsidRPr="00814AC8">
        <w:rPr>
          <w:rFonts w:ascii="Arial" w:hAnsi="Arial" w:cs="Arial"/>
          <w:sz w:val="28"/>
          <w:szCs w:val="28"/>
        </w:rPr>
        <w:t>knowingly</w:t>
      </w:r>
      <w:r w:rsidR="00641055">
        <w:rPr>
          <w:rFonts w:ascii="Arial" w:hAnsi="Arial" w:cs="Arial"/>
          <w:sz w:val="28"/>
          <w:szCs w:val="28"/>
        </w:rPr>
        <w:t>.</w:t>
      </w:r>
    </w:p>
    <w:p w14:paraId="5573E658" w14:textId="7C7B8DC4" w:rsidR="001B10F6" w:rsidRPr="00814AC8" w:rsidRDefault="006A23F4" w:rsidP="006F3E29">
      <w:pPr>
        <w:tabs>
          <w:tab w:val="left" w:pos="720"/>
          <w:tab w:val="left" w:pos="1440"/>
        </w:tabs>
        <w:autoSpaceDE w:val="0"/>
        <w:autoSpaceDN w:val="0"/>
        <w:adjustRightInd w:val="0"/>
        <w:spacing w:line="276" w:lineRule="auto"/>
        <w:ind w:left="1440" w:hanging="2880"/>
        <w:rPr>
          <w:rFonts w:ascii="Arial" w:hAnsi="Arial" w:cs="Arial"/>
          <w:b/>
          <w:bCs/>
          <w:sz w:val="28"/>
          <w:szCs w:val="28"/>
        </w:rPr>
      </w:pPr>
      <w:r w:rsidRPr="00814AC8">
        <w:rPr>
          <w:rFonts w:ascii="Arial" w:hAnsi="Arial" w:cs="Arial"/>
          <w:sz w:val="28"/>
          <w:szCs w:val="28"/>
          <w:lang w:val="en-CA"/>
        </w:rPr>
        <w:tab/>
      </w:r>
    </w:p>
    <w:p w14:paraId="33FA9BDF" w14:textId="56C4BE0F" w:rsidR="001B10F6" w:rsidRDefault="001B10F6" w:rsidP="0035756B">
      <w:pPr>
        <w:autoSpaceDE w:val="0"/>
        <w:autoSpaceDN w:val="0"/>
        <w:adjustRightInd w:val="0"/>
        <w:spacing w:line="276" w:lineRule="auto"/>
        <w:ind w:left="0" w:firstLine="720"/>
        <w:rPr>
          <w:rFonts w:ascii="Arial" w:hAnsi="Arial" w:cs="Arial"/>
          <w:sz w:val="28"/>
          <w:szCs w:val="28"/>
        </w:rPr>
      </w:pPr>
      <w:r w:rsidRPr="00814AC8">
        <w:rPr>
          <w:rFonts w:ascii="Arial" w:hAnsi="Arial" w:cs="Arial"/>
          <w:sz w:val="28"/>
          <w:szCs w:val="28"/>
          <w:lang w:val="en-CA"/>
        </w:rPr>
        <w:fldChar w:fldCharType="begin"/>
      </w:r>
      <w:r w:rsidRPr="00814AC8">
        <w:rPr>
          <w:rFonts w:ascii="Arial" w:hAnsi="Arial" w:cs="Arial"/>
          <w:sz w:val="28"/>
          <w:szCs w:val="28"/>
          <w:lang w:val="en-CA"/>
        </w:rPr>
        <w:instrText xml:space="preserve"> SEQ CHAPTER \h \r 1</w:instrText>
      </w:r>
      <w:r w:rsidRPr="00814AC8">
        <w:rPr>
          <w:rFonts w:ascii="Arial" w:hAnsi="Arial" w:cs="Arial"/>
          <w:sz w:val="28"/>
          <w:szCs w:val="28"/>
          <w:lang w:val="en-CA"/>
        </w:rPr>
        <w:fldChar w:fldCharType="end"/>
      </w:r>
      <w:r w:rsidRPr="00814AC8">
        <w:rPr>
          <w:rFonts w:ascii="Arial" w:hAnsi="Arial" w:cs="Arial"/>
          <w:sz w:val="28"/>
          <w:szCs w:val="28"/>
        </w:rPr>
        <w:t xml:space="preserve">If you find the People have proven beyond a reasonable doubt </w:t>
      </w:r>
      <w:r w:rsidR="00641055">
        <w:rPr>
          <w:rFonts w:ascii="Arial" w:hAnsi="Arial" w:cs="Arial"/>
          <w:sz w:val="28"/>
          <w:szCs w:val="28"/>
        </w:rPr>
        <w:t>both</w:t>
      </w:r>
      <w:r w:rsidRPr="00814AC8">
        <w:rPr>
          <w:rFonts w:ascii="Arial" w:hAnsi="Arial" w:cs="Arial"/>
          <w:sz w:val="28"/>
          <w:szCs w:val="28"/>
        </w:rPr>
        <w:t xml:space="preserve"> of those elements, you must find the defendant guilty of this crime.</w:t>
      </w:r>
    </w:p>
    <w:p w14:paraId="465DB5EE" w14:textId="77777777" w:rsidR="00D8718D" w:rsidRPr="00814AC8" w:rsidRDefault="00D8718D" w:rsidP="0035756B">
      <w:pPr>
        <w:autoSpaceDE w:val="0"/>
        <w:autoSpaceDN w:val="0"/>
        <w:adjustRightInd w:val="0"/>
        <w:spacing w:line="276" w:lineRule="auto"/>
        <w:ind w:left="0" w:firstLine="720"/>
        <w:rPr>
          <w:rFonts w:ascii="Arial" w:hAnsi="Arial" w:cs="Arial"/>
          <w:sz w:val="28"/>
          <w:szCs w:val="28"/>
        </w:rPr>
      </w:pPr>
    </w:p>
    <w:p w14:paraId="501C1CD4" w14:textId="407A38BB" w:rsidR="001B10F6" w:rsidRPr="00814AC8" w:rsidRDefault="001B10F6" w:rsidP="0035756B">
      <w:pPr>
        <w:autoSpaceDE w:val="0"/>
        <w:autoSpaceDN w:val="0"/>
        <w:adjustRightInd w:val="0"/>
        <w:spacing w:line="276" w:lineRule="auto"/>
        <w:ind w:left="0"/>
        <w:rPr>
          <w:rFonts w:ascii="Arial" w:hAnsi="Arial" w:cs="Arial"/>
          <w:sz w:val="28"/>
          <w:szCs w:val="28"/>
        </w:rPr>
      </w:pPr>
      <w:r w:rsidRPr="00814AC8">
        <w:rPr>
          <w:rFonts w:ascii="Arial" w:hAnsi="Arial" w:cs="Arial"/>
          <w:sz w:val="28"/>
          <w:szCs w:val="28"/>
        </w:rPr>
        <w:tab/>
        <w:t>If you find the People have not proven beyond a reasonable doubt either one or both</w:t>
      </w:r>
      <w:r w:rsidR="0035756B" w:rsidRPr="00814AC8">
        <w:rPr>
          <w:rFonts w:ascii="Arial" w:hAnsi="Arial" w:cs="Arial"/>
          <w:sz w:val="28"/>
          <w:szCs w:val="28"/>
        </w:rPr>
        <w:t xml:space="preserve"> </w:t>
      </w:r>
      <w:r w:rsidRPr="00814AC8">
        <w:rPr>
          <w:rFonts w:ascii="Arial" w:hAnsi="Arial" w:cs="Arial"/>
          <w:sz w:val="28"/>
          <w:szCs w:val="28"/>
        </w:rPr>
        <w:t>of those elements, you must find the defendant not guilty of this crime.</w:t>
      </w:r>
    </w:p>
    <w:sectPr w:rsidR="001B10F6" w:rsidRPr="00814AC8" w:rsidSect="00583989">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ED60" w14:textId="77777777" w:rsidR="00815C1D" w:rsidRDefault="00815C1D" w:rsidP="008D56E1">
      <w:pPr>
        <w:spacing w:line="240" w:lineRule="auto"/>
      </w:pPr>
      <w:r>
        <w:separator/>
      </w:r>
    </w:p>
  </w:endnote>
  <w:endnote w:type="continuationSeparator" w:id="0">
    <w:p w14:paraId="379630DB" w14:textId="77777777" w:rsidR="00815C1D" w:rsidRDefault="00815C1D" w:rsidP="008D5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20B9" w14:textId="77777777" w:rsidR="00815C1D" w:rsidRDefault="00815C1D" w:rsidP="008D56E1">
      <w:pPr>
        <w:spacing w:line="240" w:lineRule="auto"/>
      </w:pPr>
      <w:r>
        <w:separator/>
      </w:r>
    </w:p>
  </w:footnote>
  <w:footnote w:type="continuationSeparator" w:id="0">
    <w:p w14:paraId="4B07166F" w14:textId="77777777" w:rsidR="00815C1D" w:rsidRDefault="00815C1D" w:rsidP="008D56E1">
      <w:pPr>
        <w:spacing w:line="240" w:lineRule="auto"/>
      </w:pPr>
      <w:r>
        <w:continuationSeparator/>
      </w:r>
    </w:p>
  </w:footnote>
  <w:footnote w:id="1">
    <w:p w14:paraId="61E7D80A" w14:textId="48CBF4F9" w:rsidR="008D56E1" w:rsidRPr="001A483C" w:rsidRDefault="008D56E1" w:rsidP="00C407CE">
      <w:pPr>
        <w:pStyle w:val="FootnoteText"/>
        <w:ind w:left="0"/>
        <w:rPr>
          <w:rFonts w:ascii="Arial" w:hAnsi="Arial" w:cs="Arial"/>
        </w:rPr>
      </w:pPr>
      <w:r w:rsidRPr="001A483C">
        <w:rPr>
          <w:rStyle w:val="FootnoteReference"/>
          <w:rFonts w:ascii="Arial" w:hAnsi="Arial" w:cs="Arial"/>
        </w:rPr>
        <w:footnoteRef/>
      </w:r>
      <w:r w:rsidRPr="001A483C">
        <w:rPr>
          <w:rFonts w:ascii="Arial" w:hAnsi="Arial" w:cs="Arial"/>
        </w:rPr>
        <w:t xml:space="preserve">  The statutory title, “Manufacture, Transport, Disposition and Defacement of Weapons and Dangerous Instruments and Appliances” has been modified </w:t>
      </w:r>
      <w:r w:rsidR="00FA3DAE" w:rsidRPr="001A483C">
        <w:rPr>
          <w:rFonts w:ascii="Arial" w:hAnsi="Arial" w:cs="Arial"/>
        </w:rPr>
        <w:t>to reflect the crime set forth in this jury instruction.</w:t>
      </w:r>
    </w:p>
    <w:p w14:paraId="5381BF4F" w14:textId="77777777" w:rsidR="001B10F6" w:rsidRPr="001A483C" w:rsidRDefault="001B10F6" w:rsidP="00C407CE">
      <w:pPr>
        <w:pStyle w:val="FootnoteText"/>
        <w:ind w:left="0"/>
        <w:rPr>
          <w:rFonts w:ascii="Arial" w:hAnsi="Arial" w:cs="Arial"/>
        </w:rPr>
      </w:pPr>
    </w:p>
  </w:footnote>
  <w:footnote w:id="2">
    <w:p w14:paraId="02188D21" w14:textId="77777777" w:rsidR="004C1807" w:rsidRPr="009B4919" w:rsidRDefault="004C1807" w:rsidP="004C1807">
      <w:pPr>
        <w:pStyle w:val="FootnoteText"/>
        <w:ind w:left="0"/>
        <w:rPr>
          <w:sz w:val="22"/>
        </w:rPr>
      </w:pPr>
      <w:r w:rsidRPr="009B4919">
        <w:rPr>
          <w:sz w:val="22"/>
          <w:vertAlign w:val="superscript"/>
        </w:rPr>
        <w:footnoteRef/>
      </w:r>
      <w:r w:rsidRPr="009B4919">
        <w:rPr>
          <w:sz w:val="22"/>
        </w:rPr>
        <w:t xml:space="preserve">  The December 2022 revision </w:t>
      </w:r>
      <w:r w:rsidRPr="009B4919">
        <w:rPr>
          <w:rFonts w:ascii="Arial" w:hAnsi="Arial" w:cs="Arial"/>
          <w:sz w:val="22"/>
        </w:rPr>
        <w:t xml:space="preserve">was </w:t>
      </w:r>
      <w:r>
        <w:rPr>
          <w:rFonts w:ascii="Arial" w:hAnsi="Arial" w:cs="Arial"/>
          <w:sz w:val="22"/>
        </w:rPr>
        <w:t xml:space="preserve">[1] </w:t>
      </w:r>
      <w:r w:rsidRPr="009B4919">
        <w:rPr>
          <w:rFonts w:ascii="Arial" w:hAnsi="Arial" w:cs="Arial"/>
          <w:sz w:val="22"/>
        </w:rPr>
        <w:t>for the purpose of incorporating a statutory change in the definition of “large capacity ammunition</w:t>
      </w:r>
      <w:r>
        <w:rPr>
          <w:rFonts w:ascii="Arial" w:hAnsi="Arial" w:cs="Arial"/>
          <w:sz w:val="22"/>
        </w:rPr>
        <w:t xml:space="preserve"> feeding</w:t>
      </w:r>
      <w:r w:rsidRPr="009B4919">
        <w:rPr>
          <w:rFonts w:ascii="Arial" w:hAnsi="Arial" w:cs="Arial"/>
          <w:sz w:val="22"/>
        </w:rPr>
        <w:t xml:space="preserve"> device” per the L. 2022, ch. 209, effective July 6, 2022</w:t>
      </w:r>
      <w:r>
        <w:rPr>
          <w:rFonts w:ascii="Arial" w:hAnsi="Arial" w:cs="Arial"/>
          <w:sz w:val="22"/>
        </w:rPr>
        <w:t>.</w:t>
      </w:r>
    </w:p>
    <w:p w14:paraId="02EACB49" w14:textId="77777777" w:rsidR="004C1807" w:rsidRDefault="004C1807" w:rsidP="004C1807">
      <w:pPr>
        <w:pStyle w:val="FootnoteText"/>
      </w:pPr>
    </w:p>
  </w:footnote>
  <w:footnote w:id="3">
    <w:p w14:paraId="5AED7A37" w14:textId="52D1976C" w:rsidR="008E485E" w:rsidRPr="008E485E" w:rsidRDefault="001B10F6" w:rsidP="008E485E">
      <w:pPr>
        <w:spacing w:line="240" w:lineRule="auto"/>
        <w:ind w:left="0"/>
        <w:rPr>
          <w:rFonts w:ascii="Arial" w:eastAsiaTheme="minorEastAsia" w:hAnsi="Arial" w:cs="Arial"/>
          <w:spacing w:val="-2"/>
          <w:sz w:val="22"/>
        </w:rPr>
      </w:pPr>
      <w:r w:rsidRPr="001A483C">
        <w:rPr>
          <w:rStyle w:val="FootnoteReference"/>
          <w:rFonts w:ascii="Arial" w:hAnsi="Arial" w:cs="Arial"/>
        </w:rPr>
        <w:footnoteRef/>
      </w:r>
      <w:r w:rsidRPr="001A483C">
        <w:rPr>
          <w:rFonts w:ascii="Arial" w:hAnsi="Arial" w:cs="Arial"/>
        </w:rPr>
        <w:t xml:space="preserve"> </w:t>
      </w:r>
      <w:r w:rsidRPr="001A483C">
        <w:rPr>
          <w:rFonts w:ascii="Arial" w:hAnsi="Arial" w:cs="Arial"/>
          <w:lang w:val="en-CA"/>
        </w:rPr>
        <w:fldChar w:fldCharType="begin"/>
      </w:r>
      <w:r w:rsidRPr="001A483C">
        <w:rPr>
          <w:rFonts w:ascii="Arial" w:hAnsi="Arial" w:cs="Arial"/>
          <w:lang w:val="en-CA"/>
        </w:rPr>
        <w:instrText xml:space="preserve"> SEQ CHAPTER \h \r 1</w:instrText>
      </w:r>
      <w:r w:rsidRPr="001A483C">
        <w:rPr>
          <w:rFonts w:ascii="Arial" w:hAnsi="Arial" w:cs="Arial"/>
        </w:rPr>
        <w:fldChar w:fldCharType="end"/>
      </w:r>
      <w:r w:rsidR="008E485E" w:rsidRPr="008E485E">
        <w:rPr>
          <w:rFonts w:ascii="Arial" w:eastAsiaTheme="minorEastAsia" w:hAnsi="Arial" w:cs="Arial"/>
          <w:spacing w:val="-2"/>
          <w:sz w:val="22"/>
        </w:rPr>
        <w:t xml:space="preserve"> The word "knowingly" has been added to this definition to comport with statutory law (</w:t>
      </w:r>
      <w:r w:rsidR="008E485E" w:rsidRPr="008E485E">
        <w:rPr>
          <w:rFonts w:ascii="Arial" w:eastAsiaTheme="minorEastAsia" w:hAnsi="Arial" w:cs="Arial"/>
          <w:i/>
          <w:spacing w:val="-2"/>
          <w:sz w:val="22"/>
        </w:rPr>
        <w:t xml:space="preserve">see </w:t>
      </w:r>
      <w:r w:rsidR="008E485E" w:rsidRPr="008E485E">
        <w:rPr>
          <w:rFonts w:ascii="Arial" w:eastAsiaTheme="minorEastAsia" w:hAnsi="Arial" w:cs="Arial"/>
          <w:spacing w:val="-2"/>
          <w:sz w:val="22"/>
        </w:rPr>
        <w:t xml:space="preserve">Penal Law § § 15.00(2) and 15.05 [2]) and with case law.   </w:t>
      </w:r>
      <w:r w:rsidR="008E485E" w:rsidRPr="008E485E">
        <w:rPr>
          <w:rFonts w:ascii="Arial" w:eastAsiaTheme="minorEastAsia" w:hAnsi="Arial" w:cs="Arial"/>
          <w:i/>
          <w:iCs/>
          <w:spacing w:val="-2"/>
          <w:sz w:val="22"/>
        </w:rPr>
        <w:t>People v Persce</w:t>
      </w:r>
      <w:r w:rsidR="008E485E" w:rsidRPr="008E485E">
        <w:rPr>
          <w:rFonts w:ascii="Arial" w:eastAsiaTheme="minorEastAsia" w:hAnsi="Arial" w:cs="Arial"/>
          <w:i/>
          <w:spacing w:val="-2"/>
          <w:sz w:val="22"/>
        </w:rPr>
        <w:t xml:space="preserve">, </w:t>
      </w:r>
      <w:r w:rsidR="008E485E" w:rsidRPr="008E485E">
        <w:rPr>
          <w:rFonts w:ascii="Arial" w:eastAsiaTheme="minorEastAsia" w:hAnsi="Arial" w:cs="Arial"/>
          <w:iCs/>
          <w:spacing w:val="-2"/>
          <w:sz w:val="22"/>
        </w:rPr>
        <w:t xml:space="preserve">204 NY 397, 402 (1912) ("the possession [of a slungshot] which is meant is a knowing and voluntary one"); </w:t>
      </w:r>
      <w:r w:rsidR="008E485E" w:rsidRPr="008E485E">
        <w:rPr>
          <w:rFonts w:ascii="Arial" w:eastAsiaTheme="minorEastAsia" w:hAnsi="Arial" w:cs="Arial"/>
          <w:i/>
          <w:iCs/>
          <w:spacing w:val="-2"/>
          <w:sz w:val="22"/>
        </w:rPr>
        <w:t>People v Saunders</w:t>
      </w:r>
      <w:r w:rsidR="008E485E" w:rsidRPr="008E485E">
        <w:rPr>
          <w:rFonts w:ascii="Arial" w:eastAsiaTheme="minorEastAsia" w:hAnsi="Arial" w:cs="Arial"/>
          <w:i/>
          <w:spacing w:val="-2"/>
          <w:sz w:val="22"/>
        </w:rPr>
        <w:t xml:space="preserve">, </w:t>
      </w:r>
      <w:r w:rsidR="008E485E" w:rsidRPr="008E485E">
        <w:rPr>
          <w:rFonts w:ascii="Arial" w:eastAsiaTheme="minorEastAsia" w:hAnsi="Arial" w:cs="Arial"/>
          <w:iCs/>
          <w:spacing w:val="-2"/>
          <w:sz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8E485E" w:rsidRPr="008E485E">
        <w:rPr>
          <w:rFonts w:ascii="Arial" w:eastAsiaTheme="minorEastAsia" w:hAnsi="Arial" w:cs="Arial"/>
          <w:i/>
          <w:spacing w:val="-2"/>
          <w:sz w:val="22"/>
        </w:rPr>
        <w:t xml:space="preserve">People v Ford, </w:t>
      </w:r>
      <w:r w:rsidR="008E485E" w:rsidRPr="008E485E">
        <w:rPr>
          <w:rFonts w:ascii="Arial" w:eastAsiaTheme="minorEastAsia" w:hAnsi="Arial" w:cs="Arial"/>
          <w:spacing w:val="-2"/>
          <w:sz w:val="22"/>
        </w:rPr>
        <w:t>66 NY2d 428, 440 (1985) (the offense of possession of a loaded firearm requires that the possession be knowing).</w:t>
      </w:r>
    </w:p>
    <w:p w14:paraId="5FF679F7" w14:textId="63767774" w:rsidR="001B10F6" w:rsidRPr="001A483C" w:rsidRDefault="001B10F6" w:rsidP="00C407CE">
      <w:pPr>
        <w:pStyle w:val="FootnoteText"/>
        <w:ind w:left="0"/>
        <w:rPr>
          <w:rFonts w:ascii="Arial" w:hAnsi="Arial" w:cs="Arial"/>
        </w:rPr>
      </w:pPr>
    </w:p>
  </w:footnote>
  <w:footnote w:id="4">
    <w:p w14:paraId="294358A1" w14:textId="3DCF8402" w:rsidR="001B10F6" w:rsidRDefault="001B10F6" w:rsidP="00C407CE">
      <w:pPr>
        <w:pStyle w:val="FootnoteText"/>
        <w:ind w:left="0"/>
        <w:rPr>
          <w:rFonts w:ascii="Arial" w:hAnsi="Arial" w:cs="Arial"/>
        </w:rPr>
      </w:pPr>
      <w:r w:rsidRPr="001A483C">
        <w:rPr>
          <w:rStyle w:val="FootnoteReference"/>
          <w:rFonts w:ascii="Arial" w:hAnsi="Arial" w:cs="Arial"/>
        </w:rPr>
        <w:footnoteRef/>
      </w:r>
      <w:r w:rsidRPr="001A483C">
        <w:rPr>
          <w:rFonts w:ascii="Arial" w:hAnsi="Arial" w:cs="Arial"/>
        </w:rPr>
        <w:t xml:space="preserve"> Penal Law § </w:t>
      </w:r>
      <w:r w:rsidR="004B04C2">
        <w:rPr>
          <w:rFonts w:ascii="Arial" w:hAnsi="Arial" w:cs="Arial"/>
        </w:rPr>
        <w:t>15.05(2).</w:t>
      </w:r>
    </w:p>
    <w:p w14:paraId="5D0814B8" w14:textId="77777777" w:rsidR="003B01F2" w:rsidRPr="001A483C" w:rsidRDefault="003B01F2" w:rsidP="00C407CE">
      <w:pPr>
        <w:pStyle w:val="FootnoteText"/>
        <w:ind w:left="0"/>
        <w:rPr>
          <w:rFonts w:ascii="Arial" w:hAnsi="Arial" w:cs="Arial"/>
        </w:rPr>
      </w:pPr>
    </w:p>
  </w:footnote>
  <w:footnote w:id="5">
    <w:p w14:paraId="403C8DFC" w14:textId="060484D0" w:rsidR="004C4BFE" w:rsidRDefault="004C4BFE" w:rsidP="00C407CE">
      <w:pPr>
        <w:pStyle w:val="FootnoteText"/>
        <w:ind w:left="0"/>
      </w:pPr>
      <w:r>
        <w:rPr>
          <w:rStyle w:val="FootnoteReference"/>
        </w:rPr>
        <w:footnoteRef/>
      </w:r>
      <w:r>
        <w:t xml:space="preserve"> Penal Law § 265.00(1)</w:t>
      </w:r>
    </w:p>
    <w:p w14:paraId="7667C746" w14:textId="77777777" w:rsidR="004C4BFE" w:rsidRDefault="004C4BFE" w:rsidP="00C407CE">
      <w:pPr>
        <w:pStyle w:val="FootnoteText"/>
        <w:ind w:left="0"/>
      </w:pPr>
    </w:p>
  </w:footnote>
  <w:footnote w:id="6">
    <w:p w14:paraId="795DC934" w14:textId="1A39551E" w:rsidR="004C4BFE" w:rsidRDefault="004C4BFE" w:rsidP="00C407CE">
      <w:pPr>
        <w:pStyle w:val="FootnoteText"/>
        <w:ind w:left="0"/>
      </w:pPr>
      <w:r>
        <w:rPr>
          <w:rStyle w:val="FootnoteReference"/>
        </w:rPr>
        <w:footnoteRef/>
      </w:r>
      <w:r>
        <w:t xml:space="preserve"> </w:t>
      </w:r>
      <w:bookmarkStart w:id="1" w:name="_Hlk59793340"/>
      <w:r>
        <w:t>Penal Law § 265.00(2)</w:t>
      </w:r>
      <w:bookmarkEnd w:id="1"/>
    </w:p>
    <w:p w14:paraId="24832BBA" w14:textId="77777777" w:rsidR="004C4BFE" w:rsidRDefault="004C4BFE" w:rsidP="00C407CE">
      <w:pPr>
        <w:pStyle w:val="FootnoteText"/>
        <w:ind w:left="0"/>
      </w:pPr>
    </w:p>
  </w:footnote>
  <w:footnote w:id="7">
    <w:p w14:paraId="2DAA7D90" w14:textId="4A6592B9" w:rsidR="00A272FA" w:rsidRPr="0086614B" w:rsidRDefault="00A272FA" w:rsidP="00D6719F">
      <w:pPr>
        <w:pStyle w:val="FootnoteText"/>
        <w:ind w:left="0"/>
        <w:rPr>
          <w:rFonts w:ascii="Arial" w:hAnsi="Arial" w:cs="Arial"/>
        </w:rPr>
      </w:pPr>
      <w:r w:rsidRPr="0086614B">
        <w:rPr>
          <w:rStyle w:val="FootnoteReference"/>
          <w:rFonts w:ascii="Arial" w:hAnsi="Arial" w:cs="Arial"/>
        </w:rPr>
        <w:footnoteRef/>
      </w:r>
      <w:r w:rsidRPr="0086614B">
        <w:rPr>
          <w:rFonts w:ascii="Arial" w:hAnsi="Arial" w:cs="Arial"/>
        </w:rPr>
        <w:t xml:space="preserve"> </w:t>
      </w:r>
      <w:r w:rsidRPr="0086614B">
        <w:rPr>
          <w:rFonts w:ascii="Arial" w:hAnsi="Arial" w:cs="Arial"/>
          <w:i/>
          <w:iCs/>
          <w:lang w:val="en-CA"/>
        </w:rPr>
        <w:fldChar w:fldCharType="begin"/>
      </w:r>
      <w:r w:rsidRPr="0086614B">
        <w:rPr>
          <w:rFonts w:ascii="Arial" w:hAnsi="Arial" w:cs="Arial"/>
          <w:i/>
          <w:iCs/>
          <w:lang w:val="en-CA"/>
        </w:rPr>
        <w:instrText xml:space="preserve"> SEQ CHAPTER \h \r 1</w:instrText>
      </w:r>
      <w:r w:rsidRPr="0086614B">
        <w:rPr>
          <w:rFonts w:ascii="Arial" w:hAnsi="Arial" w:cs="Arial"/>
          <w:i/>
          <w:iCs/>
        </w:rPr>
        <w:fldChar w:fldCharType="end"/>
      </w:r>
      <w:r w:rsidR="005C07C2" w:rsidRPr="0086614B">
        <w:rPr>
          <w:rFonts w:ascii="Arial" w:hAnsi="Arial" w:cs="Arial"/>
          <w:i/>
          <w:iCs/>
          <w:lang w:val="en-CA"/>
        </w:rPr>
        <w:t>See People</w:t>
      </w:r>
      <w:r w:rsidRPr="0086614B">
        <w:rPr>
          <w:rFonts w:ascii="Arial" w:hAnsi="Arial" w:cs="Arial"/>
          <w:i/>
          <w:iCs/>
        </w:rPr>
        <w:t xml:space="preserve"> v. Longshore,</w:t>
      </w:r>
      <w:r w:rsidRPr="0086614B">
        <w:rPr>
          <w:rFonts w:ascii="Arial" w:hAnsi="Arial" w:cs="Arial"/>
        </w:rPr>
        <w:t xml:space="preserve"> 86 NY2d 851, 852 [1995])</w:t>
      </w:r>
      <w:r w:rsidR="005C07C2" w:rsidRPr="0086614B">
        <w:rPr>
          <w:rFonts w:ascii="Arial" w:hAnsi="Arial" w:cs="Arial"/>
        </w:rPr>
        <w:t>.  There is, however,</w:t>
      </w:r>
      <w:r w:rsidRPr="0086614B">
        <w:rPr>
          <w:rFonts w:ascii="Arial" w:hAnsi="Arial" w:cs="Arial"/>
        </w:rPr>
        <w:t xml:space="preserve"> no requirement that the possessor know the firearm was operable.  </w:t>
      </w:r>
      <w:r w:rsidRPr="0086614B">
        <w:rPr>
          <w:rFonts w:ascii="Arial" w:hAnsi="Arial" w:cs="Arial"/>
          <w:i/>
          <w:iCs/>
        </w:rPr>
        <w:t>People v. Ansare,</w:t>
      </w:r>
      <w:r w:rsidRPr="0086614B">
        <w:rPr>
          <w:rFonts w:ascii="Arial" w:hAnsi="Arial" w:cs="Arial"/>
        </w:rPr>
        <w:t xml:space="preserve"> 96 AD2d 96 (4th Dept. 1983).  </w:t>
      </w:r>
      <w:r w:rsidRPr="0086614B">
        <w:rPr>
          <w:rFonts w:ascii="Arial" w:hAnsi="Arial" w:cs="Arial"/>
          <w:i/>
          <w:iCs/>
        </w:rPr>
        <w:t>Cf.</w:t>
      </w:r>
      <w:r w:rsidRPr="0086614B">
        <w:rPr>
          <w:rFonts w:ascii="Arial" w:hAnsi="Arial" w:cs="Arial"/>
        </w:rPr>
        <w:t xml:space="preserve">  </w:t>
      </w:r>
      <w:r w:rsidRPr="0086614B">
        <w:rPr>
          <w:rFonts w:ascii="Arial" w:hAnsi="Arial" w:cs="Arial"/>
          <w:i/>
          <w:iCs/>
        </w:rPr>
        <w:t>People v. Saunders,</w:t>
      </w:r>
      <w:r w:rsidRPr="0086614B">
        <w:rPr>
          <w:rFonts w:ascii="Arial" w:hAnsi="Arial" w:cs="Arial"/>
        </w:rPr>
        <w:t xml:space="preserve"> 85 NY2d 339, 341-42 (1995).</w:t>
      </w:r>
    </w:p>
    <w:p w14:paraId="35BAAB5C" w14:textId="77777777" w:rsidR="0086614B" w:rsidRDefault="0086614B" w:rsidP="00D6719F">
      <w:pPr>
        <w:pStyle w:val="FootnoteText"/>
        <w:ind w:left="0"/>
      </w:pPr>
    </w:p>
  </w:footnote>
  <w:footnote w:id="8">
    <w:p w14:paraId="5F03F026" w14:textId="77777777" w:rsidR="0091683D" w:rsidRPr="009A4B72" w:rsidRDefault="0091683D" w:rsidP="0091683D">
      <w:pPr>
        <w:spacing w:line="240" w:lineRule="auto"/>
        <w:ind w:left="0"/>
        <w:rPr>
          <w:rFonts w:ascii="Arial" w:hAnsi="Arial" w:cs="Arial"/>
          <w:sz w:val="20"/>
          <w:szCs w:val="20"/>
        </w:rPr>
      </w:pPr>
      <w:r w:rsidRPr="004F70C2">
        <w:rPr>
          <w:rStyle w:val="FootnoteReference"/>
          <w:rFonts w:ascii="Arial" w:hAnsi="Arial" w:cs="Arial"/>
          <w:sz w:val="22"/>
        </w:rPr>
        <w:footnoteRef/>
      </w:r>
      <w:r w:rsidRPr="004F70C2">
        <w:rPr>
          <w:rFonts w:ascii="Arial" w:hAnsi="Arial" w:cs="Arial"/>
          <w:sz w:val="22"/>
        </w:rPr>
        <w:t xml:space="preserve"> </w:t>
      </w:r>
      <w:r w:rsidRPr="004F70C2">
        <w:rPr>
          <w:rFonts w:ascii="Arial" w:hAnsi="Arial" w:cs="Arial"/>
          <w:i/>
          <w:iCs/>
          <w:sz w:val="22"/>
        </w:rPr>
        <w:t>See</w:t>
      </w:r>
      <w:r w:rsidRPr="004F70C2">
        <w:rPr>
          <w:rFonts w:ascii="Arial" w:hAnsi="Arial" w:cs="Arial"/>
          <w:sz w:val="22"/>
        </w:rPr>
        <w:t xml:space="preserve"> Penal Law  § 265.00(23), as amended by </w:t>
      </w:r>
      <w:bookmarkStart w:id="2" w:name="_Hlk120812127"/>
      <w:r w:rsidRPr="004F70C2">
        <w:rPr>
          <w:rFonts w:ascii="Arial" w:hAnsi="Arial" w:cs="Arial"/>
          <w:sz w:val="22"/>
        </w:rPr>
        <w:t>L. 2022, ch. 209, effective July 6, 2022</w:t>
      </w:r>
      <w:bookmarkEnd w:id="2"/>
      <w:r w:rsidRPr="004F70C2">
        <w:rPr>
          <w:rFonts w:ascii="Arial" w:hAnsi="Arial" w:cs="Arial"/>
          <w:sz w:val="22"/>
        </w:rPr>
        <w:t>.</w:t>
      </w:r>
      <w:r>
        <w:rPr>
          <w:rFonts w:ascii="Arial" w:hAnsi="Arial" w:cs="Arial"/>
          <w:sz w:val="22"/>
        </w:rPr>
        <w:t xml:space="preserve"> </w:t>
      </w:r>
      <w:r w:rsidRPr="004F70C2">
        <w:rPr>
          <w:rFonts w:ascii="Arial" w:hAnsi="Arial" w:cs="Arial"/>
          <w:sz w:val="22"/>
        </w:rPr>
        <w:t>As may be appropriate to include, the statutory definition of “large capacity feeding device” continues: “provided,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w:t>
      </w:r>
      <w:r w:rsidRPr="009A4B72">
        <w:rPr>
          <w:rFonts w:ascii="Arial" w:hAnsi="Arial" w:cs="Arial"/>
          <w:sz w:val="20"/>
          <w:szCs w:val="20"/>
        </w:rPr>
        <w:t xml:space="preserve">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 400.03 of this chapter including the check required to be conducted pursuant to such section</w:t>
      </w:r>
      <w:r w:rsidRPr="00D8718D">
        <w:rPr>
          <w:rFonts w:ascii="Arial" w:hAnsi="Arial" w:cs="Arial"/>
          <w:sz w:val="20"/>
          <w:szCs w:val="20"/>
        </w:rPr>
        <w:t>.”</w:t>
      </w:r>
    </w:p>
    <w:p w14:paraId="3520CC94" w14:textId="77777777" w:rsidR="0091683D" w:rsidRPr="00BE1902" w:rsidRDefault="0091683D" w:rsidP="0091683D">
      <w:pPr>
        <w:ind w:right="144"/>
        <w:rPr>
          <w:rFonts w:ascii="Arial" w:hAnsi="Arial" w:cs="Arial"/>
          <w:sz w:val="22"/>
        </w:rPr>
      </w:pPr>
    </w:p>
  </w:footnote>
  <w:footnote w:id="9">
    <w:p w14:paraId="73B2A067" w14:textId="551D59AA" w:rsidR="009C2DBC" w:rsidRDefault="009C2DBC" w:rsidP="00C407CE">
      <w:pPr>
        <w:pStyle w:val="FootnoteText"/>
        <w:ind w:left="0"/>
      </w:pPr>
      <w:r>
        <w:rPr>
          <w:rStyle w:val="FootnoteReference"/>
        </w:rPr>
        <w:footnoteRef/>
      </w:r>
      <w:r>
        <w:t xml:space="preserve"> Penal Law § 265.00(20)</w:t>
      </w:r>
    </w:p>
    <w:p w14:paraId="6205AFCA" w14:textId="77777777" w:rsidR="009C2DBC" w:rsidRDefault="009C2DBC">
      <w:pPr>
        <w:pStyle w:val="FootnoteText"/>
      </w:pPr>
    </w:p>
  </w:footnote>
  <w:footnote w:id="10">
    <w:p w14:paraId="74BC4609" w14:textId="77777777" w:rsidR="008E6D17" w:rsidRDefault="00DC66C8" w:rsidP="008E6D17">
      <w:pPr>
        <w:pStyle w:val="FootnoteText"/>
        <w:ind w:left="0"/>
      </w:pPr>
      <w:r>
        <w:rPr>
          <w:rStyle w:val="FootnoteReference"/>
        </w:rPr>
        <w:footnoteRef/>
      </w:r>
      <w:r>
        <w:t xml:space="preserve"> </w:t>
      </w:r>
      <w:r w:rsidR="008E6D17">
        <w:t>See note 7.</w:t>
      </w:r>
    </w:p>
    <w:p w14:paraId="1E2C9367" w14:textId="75D7B51D" w:rsidR="00DC66C8" w:rsidRDefault="00DC66C8" w:rsidP="008E6D17">
      <w:pPr>
        <w:pStyle w:val="FootnoteText"/>
        <w:ind w:left="0"/>
      </w:pPr>
      <w:r w:rsidRPr="00DC66C8">
        <w:rPr>
          <w:lang w:val="en-CA"/>
        </w:rPr>
        <w:fldChar w:fldCharType="begin"/>
      </w:r>
      <w:r w:rsidRPr="00DC66C8">
        <w:rPr>
          <w:lang w:val="en-CA"/>
        </w:rPr>
        <w:instrText xml:space="preserve"> SEQ CHAPTER \h \r 1</w:instrText>
      </w:r>
      <w:r w:rsidRPr="00DC66C8">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01FDF"/>
    <w:multiLevelType w:val="multilevel"/>
    <w:tmpl w:val="C1D472C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7C593F5B"/>
    <w:multiLevelType w:val="hybridMultilevel"/>
    <w:tmpl w:val="DE2CF5A6"/>
    <w:lvl w:ilvl="0" w:tplc="F3EAE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2887548">
    <w:abstractNumId w:val="0"/>
  </w:num>
  <w:num w:numId="2" w16cid:durableId="304430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E1"/>
    <w:rsid w:val="00062908"/>
    <w:rsid w:val="0006317A"/>
    <w:rsid w:val="00074356"/>
    <w:rsid w:val="00083AB9"/>
    <w:rsid w:val="000A0AE9"/>
    <w:rsid w:val="000B6BB4"/>
    <w:rsid w:val="000C404A"/>
    <w:rsid w:val="000F0BC6"/>
    <w:rsid w:val="0010040C"/>
    <w:rsid w:val="00132370"/>
    <w:rsid w:val="00136C10"/>
    <w:rsid w:val="0014348C"/>
    <w:rsid w:val="0014375E"/>
    <w:rsid w:val="00151632"/>
    <w:rsid w:val="0015438D"/>
    <w:rsid w:val="001552AF"/>
    <w:rsid w:val="00157360"/>
    <w:rsid w:val="001A483C"/>
    <w:rsid w:val="001B10F6"/>
    <w:rsid w:val="001C2384"/>
    <w:rsid w:val="001C634D"/>
    <w:rsid w:val="00221515"/>
    <w:rsid w:val="00225574"/>
    <w:rsid w:val="0026461F"/>
    <w:rsid w:val="00290B84"/>
    <w:rsid w:val="00292D12"/>
    <w:rsid w:val="00312C8A"/>
    <w:rsid w:val="00333325"/>
    <w:rsid w:val="003478E5"/>
    <w:rsid w:val="0035756B"/>
    <w:rsid w:val="0037788B"/>
    <w:rsid w:val="0038574F"/>
    <w:rsid w:val="003B01F2"/>
    <w:rsid w:val="003E4122"/>
    <w:rsid w:val="003F024F"/>
    <w:rsid w:val="003F55AD"/>
    <w:rsid w:val="00417A96"/>
    <w:rsid w:val="00431525"/>
    <w:rsid w:val="004775FA"/>
    <w:rsid w:val="004A6919"/>
    <w:rsid w:val="004B04C2"/>
    <w:rsid w:val="004B0BE1"/>
    <w:rsid w:val="004C1807"/>
    <w:rsid w:val="004C4BFE"/>
    <w:rsid w:val="004F7BAC"/>
    <w:rsid w:val="005014F6"/>
    <w:rsid w:val="00583989"/>
    <w:rsid w:val="005A0522"/>
    <w:rsid w:val="005A4142"/>
    <w:rsid w:val="005B2019"/>
    <w:rsid w:val="005C07C2"/>
    <w:rsid w:val="005F0A17"/>
    <w:rsid w:val="00602FC3"/>
    <w:rsid w:val="00604100"/>
    <w:rsid w:val="00641055"/>
    <w:rsid w:val="006421B2"/>
    <w:rsid w:val="00684B5B"/>
    <w:rsid w:val="006A23F4"/>
    <w:rsid w:val="006D0877"/>
    <w:rsid w:val="006F3E29"/>
    <w:rsid w:val="007001DE"/>
    <w:rsid w:val="00700FCA"/>
    <w:rsid w:val="00701D82"/>
    <w:rsid w:val="00726FB2"/>
    <w:rsid w:val="00740636"/>
    <w:rsid w:val="0074436B"/>
    <w:rsid w:val="007445CB"/>
    <w:rsid w:val="007475AD"/>
    <w:rsid w:val="0076671B"/>
    <w:rsid w:val="007711E8"/>
    <w:rsid w:val="00783953"/>
    <w:rsid w:val="00790005"/>
    <w:rsid w:val="007C69B5"/>
    <w:rsid w:val="0080725E"/>
    <w:rsid w:val="00814AC8"/>
    <w:rsid w:val="00815C1D"/>
    <w:rsid w:val="00853B0F"/>
    <w:rsid w:val="0086614B"/>
    <w:rsid w:val="00873A7F"/>
    <w:rsid w:val="008C365F"/>
    <w:rsid w:val="008D56E1"/>
    <w:rsid w:val="008E485E"/>
    <w:rsid w:val="008E6D17"/>
    <w:rsid w:val="0091683D"/>
    <w:rsid w:val="00955BD7"/>
    <w:rsid w:val="009B6DBD"/>
    <w:rsid w:val="009C2DBC"/>
    <w:rsid w:val="00A01EC9"/>
    <w:rsid w:val="00A272FA"/>
    <w:rsid w:val="00A9034B"/>
    <w:rsid w:val="00AD5ADD"/>
    <w:rsid w:val="00AF59B3"/>
    <w:rsid w:val="00B13FF6"/>
    <w:rsid w:val="00B2540B"/>
    <w:rsid w:val="00B31310"/>
    <w:rsid w:val="00B65B96"/>
    <w:rsid w:val="00B77312"/>
    <w:rsid w:val="00B77D36"/>
    <w:rsid w:val="00B8064B"/>
    <w:rsid w:val="00BD6CDD"/>
    <w:rsid w:val="00BE0C28"/>
    <w:rsid w:val="00BF08C0"/>
    <w:rsid w:val="00C0087E"/>
    <w:rsid w:val="00C25890"/>
    <w:rsid w:val="00C407CE"/>
    <w:rsid w:val="00C44F22"/>
    <w:rsid w:val="00C61007"/>
    <w:rsid w:val="00C739C7"/>
    <w:rsid w:val="00CA31BE"/>
    <w:rsid w:val="00CF2F0D"/>
    <w:rsid w:val="00D57AA7"/>
    <w:rsid w:val="00D6719F"/>
    <w:rsid w:val="00D804C1"/>
    <w:rsid w:val="00D8718D"/>
    <w:rsid w:val="00DC66C8"/>
    <w:rsid w:val="00DD3E29"/>
    <w:rsid w:val="00DE4AC0"/>
    <w:rsid w:val="00E224BE"/>
    <w:rsid w:val="00E25940"/>
    <w:rsid w:val="00E6282B"/>
    <w:rsid w:val="00EA1469"/>
    <w:rsid w:val="00ED5403"/>
    <w:rsid w:val="00EF0212"/>
    <w:rsid w:val="00F07CDF"/>
    <w:rsid w:val="00F37960"/>
    <w:rsid w:val="00F44CC2"/>
    <w:rsid w:val="00FA3DAE"/>
    <w:rsid w:val="00FD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EBC25"/>
  <w15:chartTrackingRefBased/>
  <w15:docId w15:val="{1CEC2BF0-9512-49C2-A701-31A03D0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56E1"/>
    <w:pPr>
      <w:spacing w:line="240" w:lineRule="auto"/>
    </w:pPr>
    <w:rPr>
      <w:sz w:val="20"/>
      <w:szCs w:val="20"/>
    </w:rPr>
  </w:style>
  <w:style w:type="character" w:customStyle="1" w:styleId="FootnoteTextChar">
    <w:name w:val="Footnote Text Char"/>
    <w:basedOn w:val="DefaultParagraphFont"/>
    <w:link w:val="FootnoteText"/>
    <w:uiPriority w:val="99"/>
    <w:semiHidden/>
    <w:rsid w:val="008D56E1"/>
    <w:rPr>
      <w:rFonts w:ascii="Times New Roman" w:hAnsi="Times New Roman"/>
      <w:sz w:val="20"/>
      <w:szCs w:val="20"/>
    </w:rPr>
  </w:style>
  <w:style w:type="character" w:styleId="FootnoteReference">
    <w:name w:val="footnote reference"/>
    <w:basedOn w:val="DefaultParagraphFont"/>
    <w:uiPriority w:val="99"/>
    <w:semiHidden/>
    <w:unhideWhenUsed/>
    <w:rsid w:val="008D56E1"/>
    <w:rPr>
      <w:vertAlign w:val="superscript"/>
    </w:rPr>
  </w:style>
  <w:style w:type="paragraph" w:styleId="ListParagraph">
    <w:name w:val="List Paragraph"/>
    <w:basedOn w:val="Normal"/>
    <w:uiPriority w:val="34"/>
    <w:qFormat/>
    <w:rsid w:val="006A23F4"/>
    <w:pPr>
      <w:contextualSpacing/>
    </w:pPr>
  </w:style>
  <w:style w:type="character" w:styleId="Hyperlink">
    <w:name w:val="Hyperlink"/>
    <w:basedOn w:val="DefaultParagraphFont"/>
    <w:uiPriority w:val="99"/>
    <w:unhideWhenUsed/>
    <w:rsid w:val="000F0BC6"/>
    <w:rPr>
      <w:color w:val="0563C1" w:themeColor="hyperlink"/>
      <w:u w:val="single"/>
    </w:rPr>
  </w:style>
  <w:style w:type="character" w:styleId="UnresolvedMention">
    <w:name w:val="Unresolved Mention"/>
    <w:basedOn w:val="DefaultParagraphFont"/>
    <w:uiPriority w:val="99"/>
    <w:semiHidden/>
    <w:unhideWhenUsed/>
    <w:rsid w:val="000F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F252-2334-4261-9621-7F857743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515</Words>
  <Characters>2645</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11</cp:revision>
  <cp:lastPrinted>2022-12-07T20:05:00Z</cp:lastPrinted>
  <dcterms:created xsi:type="dcterms:W3CDTF">2022-12-06T23:32:00Z</dcterms:created>
  <dcterms:modified xsi:type="dcterms:W3CDTF">2022-12-07T20:05:00Z</dcterms:modified>
</cp:coreProperties>
</file>