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E9A4" w14:textId="22D766ED" w:rsidR="004E1BAE" w:rsidRDefault="00774802" w:rsidP="009132A3">
      <w:pPr>
        <w:spacing w:line="276" w:lineRule="auto"/>
        <w:jc w:val="center"/>
        <w:rPr>
          <w:rFonts w:ascii="Arial" w:hAnsi="Arial" w:cs="Arial"/>
          <w:b/>
          <w:bCs/>
          <w:sz w:val="28"/>
          <w:szCs w:val="28"/>
        </w:rPr>
      </w:pPr>
      <w:r w:rsidRPr="00922876">
        <w:rPr>
          <w:rStyle w:val="FootnoteReference"/>
          <w:rFonts w:ascii="Arial" w:hAnsi="Arial" w:cs="Arial"/>
          <w:sz w:val="28"/>
          <w:szCs w:val="28"/>
          <w:vertAlign w:val="superscript"/>
        </w:rPr>
        <w:footnoteReference w:id="1"/>
      </w:r>
      <w:r w:rsidR="009132A3">
        <w:rPr>
          <w:rFonts w:ascii="Arial" w:hAnsi="Arial" w:cs="Arial"/>
          <w:b/>
          <w:bCs/>
          <w:sz w:val="28"/>
          <w:szCs w:val="28"/>
        </w:rPr>
        <w:t xml:space="preserve"> </w:t>
      </w:r>
      <w:r w:rsidR="004E1BAE" w:rsidRPr="006879BF">
        <w:rPr>
          <w:rFonts w:ascii="Arial" w:hAnsi="Arial" w:cs="Arial"/>
          <w:b/>
          <w:bCs/>
          <w:sz w:val="28"/>
          <w:szCs w:val="28"/>
        </w:rPr>
        <w:t>DEFACEMENT OF WEAPONS AND DANGEROUS INSTRUMENTS AND APPLIANCES</w:t>
      </w:r>
    </w:p>
    <w:p w14:paraId="3C945130" w14:textId="32332108" w:rsidR="005A60F0" w:rsidRPr="006879BF" w:rsidRDefault="000F7717" w:rsidP="009132A3">
      <w:pPr>
        <w:spacing w:line="276" w:lineRule="auto"/>
        <w:jc w:val="center"/>
        <w:rPr>
          <w:rFonts w:ascii="Arial" w:hAnsi="Arial" w:cs="Arial"/>
          <w:b/>
          <w:bCs/>
          <w:sz w:val="28"/>
          <w:szCs w:val="28"/>
        </w:rPr>
      </w:pPr>
      <w:r>
        <w:rPr>
          <w:rFonts w:ascii="Arial" w:hAnsi="Arial" w:cs="Arial"/>
          <w:b/>
          <w:bCs/>
          <w:sz w:val="28"/>
          <w:szCs w:val="28"/>
        </w:rPr>
        <w:t>(Deface</w:t>
      </w:r>
      <w:r w:rsidR="009904DA">
        <w:rPr>
          <w:rFonts w:ascii="Arial" w:hAnsi="Arial" w:cs="Arial"/>
          <w:b/>
          <w:bCs/>
          <w:sz w:val="28"/>
          <w:szCs w:val="28"/>
        </w:rPr>
        <w:t>s Weapon)</w:t>
      </w:r>
    </w:p>
    <w:p w14:paraId="579F00FE" w14:textId="7896F6A4" w:rsidR="004E1BAE" w:rsidRPr="006879BF" w:rsidRDefault="004E1BAE" w:rsidP="006151A2">
      <w:pPr>
        <w:tabs>
          <w:tab w:val="center" w:pos="3960"/>
        </w:tabs>
        <w:spacing w:line="276" w:lineRule="auto"/>
        <w:jc w:val="both"/>
        <w:rPr>
          <w:rFonts w:ascii="Arial" w:hAnsi="Arial" w:cs="Arial"/>
          <w:b/>
          <w:bCs/>
          <w:sz w:val="28"/>
          <w:szCs w:val="28"/>
        </w:rPr>
      </w:pPr>
      <w:r w:rsidRPr="006879BF">
        <w:rPr>
          <w:rFonts w:ascii="Arial" w:hAnsi="Arial" w:cs="Arial"/>
          <w:sz w:val="28"/>
          <w:szCs w:val="28"/>
        </w:rPr>
        <w:tab/>
      </w:r>
      <w:r w:rsidRPr="006879BF">
        <w:rPr>
          <w:rFonts w:ascii="Arial" w:hAnsi="Arial" w:cs="Arial"/>
          <w:b/>
          <w:bCs/>
          <w:sz w:val="28"/>
          <w:szCs w:val="28"/>
        </w:rPr>
        <w:t>P</w:t>
      </w:r>
      <w:r w:rsidR="006879BF">
        <w:rPr>
          <w:rFonts w:ascii="Arial" w:hAnsi="Arial" w:cs="Arial"/>
          <w:b/>
          <w:bCs/>
          <w:sz w:val="28"/>
          <w:szCs w:val="28"/>
        </w:rPr>
        <w:t>enal Law §</w:t>
      </w:r>
      <w:r w:rsidRPr="006879BF">
        <w:rPr>
          <w:rFonts w:ascii="Arial" w:hAnsi="Arial" w:cs="Arial"/>
          <w:b/>
          <w:bCs/>
          <w:sz w:val="28"/>
          <w:szCs w:val="28"/>
        </w:rPr>
        <w:t xml:space="preserve"> 265.10(6)</w:t>
      </w:r>
    </w:p>
    <w:p w14:paraId="4E26BAD9" w14:textId="77777777" w:rsidR="00754F20" w:rsidRDefault="004E1BAE" w:rsidP="006151A2">
      <w:pPr>
        <w:spacing w:line="276" w:lineRule="auto"/>
        <w:jc w:val="center"/>
        <w:rPr>
          <w:rFonts w:ascii="Arial" w:hAnsi="Arial" w:cs="Arial"/>
          <w:b/>
          <w:bCs/>
          <w:sz w:val="28"/>
          <w:szCs w:val="28"/>
        </w:rPr>
      </w:pPr>
      <w:r w:rsidRPr="00F022AA">
        <w:rPr>
          <w:rFonts w:ascii="Arial" w:hAnsi="Arial" w:cs="Arial"/>
          <w:b/>
          <w:bCs/>
          <w:sz w:val="28"/>
          <w:szCs w:val="28"/>
        </w:rPr>
        <w:t>(Committed on or after November 1, 2000</w:t>
      </w:r>
      <w:r w:rsidR="00754F20">
        <w:rPr>
          <w:rFonts w:ascii="Arial" w:hAnsi="Arial" w:cs="Arial"/>
          <w:b/>
          <w:bCs/>
          <w:sz w:val="28"/>
          <w:szCs w:val="28"/>
        </w:rPr>
        <w:t>; except for:</w:t>
      </w:r>
    </w:p>
    <w:p w14:paraId="09F601F1" w14:textId="560C9E5A" w:rsidR="004E1BAE" w:rsidRDefault="00356966" w:rsidP="006151A2">
      <w:pPr>
        <w:spacing w:line="276" w:lineRule="auto"/>
        <w:jc w:val="center"/>
        <w:rPr>
          <w:rFonts w:ascii="Arial" w:hAnsi="Arial" w:cs="Arial"/>
          <w:b/>
          <w:bCs/>
          <w:sz w:val="28"/>
          <w:szCs w:val="28"/>
        </w:rPr>
      </w:pPr>
      <w:r>
        <w:rPr>
          <w:rFonts w:ascii="Arial" w:hAnsi="Arial" w:cs="Arial"/>
          <w:b/>
          <w:bCs/>
          <w:sz w:val="28"/>
          <w:szCs w:val="28"/>
        </w:rPr>
        <w:t>Large Capacity Ammunition Feeding Device, July 6, 2022</w:t>
      </w:r>
      <w:r w:rsidR="004E1BAE" w:rsidRPr="00F022AA">
        <w:rPr>
          <w:rFonts w:ascii="Arial" w:hAnsi="Arial" w:cs="Arial"/>
          <w:b/>
          <w:bCs/>
          <w:sz w:val="28"/>
          <w:szCs w:val="28"/>
        </w:rPr>
        <w:t>)</w:t>
      </w:r>
    </w:p>
    <w:p w14:paraId="67571C45" w14:textId="36693142" w:rsidR="00F022AA" w:rsidRPr="00C207B8" w:rsidRDefault="00C207B8" w:rsidP="006151A2">
      <w:pPr>
        <w:spacing w:line="276" w:lineRule="auto"/>
        <w:jc w:val="center"/>
        <w:rPr>
          <w:rFonts w:ascii="Arial" w:eastAsia="Yu Gothic UI" w:hAnsi="Arial" w:cs="Arial"/>
          <w:sz w:val="22"/>
          <w:szCs w:val="22"/>
        </w:rPr>
      </w:pPr>
      <w:r w:rsidRPr="00C207B8">
        <w:rPr>
          <w:rFonts w:ascii="Arial" w:hAnsi="Arial" w:cs="Arial"/>
          <w:sz w:val="22"/>
          <w:szCs w:val="22"/>
        </w:rPr>
        <w:t>(</w:t>
      </w:r>
      <w:r w:rsidR="00F022AA" w:rsidRPr="00C207B8">
        <w:rPr>
          <w:rFonts w:ascii="Arial" w:hAnsi="Arial" w:cs="Arial"/>
          <w:sz w:val="22"/>
          <w:szCs w:val="22"/>
        </w:rPr>
        <w:t xml:space="preserve">Revised </w:t>
      </w:r>
      <w:r w:rsidRPr="00C207B8">
        <w:rPr>
          <w:rFonts w:ascii="Arial" w:hAnsi="Arial" w:cs="Arial"/>
          <w:sz w:val="22"/>
          <w:szCs w:val="22"/>
        </w:rPr>
        <w:t>December 2022)</w:t>
      </w:r>
      <w:r w:rsidRPr="00C207B8">
        <w:rPr>
          <w:rStyle w:val="FootnoteReference"/>
          <w:rFonts w:ascii="Arial" w:hAnsi="Arial" w:cs="Arial"/>
          <w:sz w:val="22"/>
          <w:szCs w:val="22"/>
          <w:vertAlign w:val="superscript"/>
        </w:rPr>
        <w:footnoteReference w:id="2"/>
      </w:r>
    </w:p>
    <w:p w14:paraId="642058B4" w14:textId="77777777" w:rsidR="00B703FB" w:rsidRDefault="00B703FB" w:rsidP="006151A2">
      <w:pPr>
        <w:spacing w:line="276" w:lineRule="auto"/>
        <w:jc w:val="both"/>
        <w:rPr>
          <w:rFonts w:ascii="Arial" w:hAnsi="Arial" w:cs="Arial"/>
          <w:sz w:val="28"/>
          <w:szCs w:val="28"/>
        </w:rPr>
      </w:pPr>
    </w:p>
    <w:p w14:paraId="3470552D" w14:textId="77777777" w:rsidR="0003264E" w:rsidRPr="006879BF" w:rsidRDefault="0003264E" w:rsidP="006151A2">
      <w:pPr>
        <w:spacing w:line="276" w:lineRule="auto"/>
        <w:jc w:val="both"/>
        <w:rPr>
          <w:rFonts w:ascii="Arial" w:hAnsi="Arial" w:cs="Arial"/>
          <w:sz w:val="28"/>
          <w:szCs w:val="28"/>
        </w:rPr>
      </w:pPr>
    </w:p>
    <w:p w14:paraId="7935A2DC" w14:textId="58D9E0F0" w:rsidR="004E1BAE" w:rsidRPr="006879BF" w:rsidRDefault="004E1BAE" w:rsidP="000476EA">
      <w:pPr>
        <w:ind w:firstLine="720"/>
        <w:jc w:val="both"/>
        <w:rPr>
          <w:rFonts w:ascii="Arial" w:hAnsi="Arial" w:cs="Arial"/>
          <w:sz w:val="28"/>
          <w:szCs w:val="28"/>
        </w:rPr>
      </w:pPr>
      <w:r w:rsidRPr="006879BF">
        <w:rPr>
          <w:rFonts w:ascii="Arial" w:hAnsi="Arial" w:cs="Arial"/>
          <w:sz w:val="28"/>
          <w:szCs w:val="28"/>
        </w:rPr>
        <w:t xml:space="preserve">The </w:t>
      </w:r>
      <w:r w:rsidR="00774802" w:rsidRPr="006879BF">
        <w:rPr>
          <w:rFonts w:ascii="Arial" w:hAnsi="Arial" w:cs="Arial"/>
          <w:sz w:val="28"/>
          <w:szCs w:val="28"/>
        </w:rPr>
        <w:t>(</w:t>
      </w:r>
      <w:r w:rsidR="00774802" w:rsidRPr="006879BF">
        <w:rPr>
          <w:rFonts w:ascii="Arial" w:hAnsi="Arial" w:cs="Arial"/>
          <w:i/>
          <w:iCs/>
          <w:sz w:val="28"/>
          <w:szCs w:val="28"/>
          <w:u w:val="single"/>
        </w:rPr>
        <w:t>specify</w:t>
      </w:r>
      <w:r w:rsidR="00774802" w:rsidRPr="006879BF">
        <w:rPr>
          <w:rFonts w:ascii="Arial" w:hAnsi="Arial" w:cs="Arial"/>
          <w:sz w:val="28"/>
          <w:szCs w:val="28"/>
        </w:rPr>
        <w:t>)</w:t>
      </w:r>
      <w:r w:rsidRPr="006879BF">
        <w:rPr>
          <w:rFonts w:ascii="Arial" w:hAnsi="Arial" w:cs="Arial"/>
          <w:sz w:val="28"/>
          <w:szCs w:val="28"/>
        </w:rPr>
        <w:t xml:space="preserve"> count is </w:t>
      </w:r>
      <w:bookmarkStart w:id="0" w:name="_Hlk48756331"/>
      <w:r w:rsidR="00774802" w:rsidRPr="006879BF">
        <w:rPr>
          <w:rFonts w:ascii="Arial" w:hAnsi="Arial" w:cs="Arial"/>
          <w:sz w:val="28"/>
          <w:szCs w:val="28"/>
        </w:rPr>
        <w:t>Defacement of Weapons and Dangerous Instruments and Appliances</w:t>
      </w:r>
      <w:bookmarkEnd w:id="0"/>
      <w:r w:rsidR="006011B6" w:rsidRPr="006879BF">
        <w:rPr>
          <w:rFonts w:ascii="Arial" w:hAnsi="Arial" w:cs="Arial"/>
          <w:sz w:val="28"/>
          <w:szCs w:val="28"/>
        </w:rPr>
        <w:t>.</w:t>
      </w:r>
      <w:r w:rsidR="00CF5A71" w:rsidRPr="00D9236B">
        <w:rPr>
          <w:rStyle w:val="FootnoteReference"/>
          <w:rFonts w:ascii="Arial" w:hAnsi="Arial" w:cs="Arial"/>
          <w:sz w:val="28"/>
          <w:szCs w:val="28"/>
          <w:vertAlign w:val="superscript"/>
        </w:rPr>
        <w:footnoteReference w:id="3"/>
      </w:r>
    </w:p>
    <w:p w14:paraId="19B5D9D8" w14:textId="77777777" w:rsidR="004E1BAE" w:rsidRPr="006879BF" w:rsidRDefault="004E1BAE" w:rsidP="000476EA">
      <w:pPr>
        <w:jc w:val="both"/>
        <w:rPr>
          <w:rFonts w:ascii="Arial" w:hAnsi="Arial" w:cs="Arial"/>
          <w:sz w:val="28"/>
          <w:szCs w:val="28"/>
        </w:rPr>
      </w:pPr>
    </w:p>
    <w:p w14:paraId="73FBCFB9" w14:textId="6D671D9C" w:rsidR="00E539E0" w:rsidRDefault="004E1BAE" w:rsidP="000476EA">
      <w:pPr>
        <w:ind w:firstLine="720"/>
        <w:jc w:val="both"/>
        <w:rPr>
          <w:rFonts w:ascii="Arial" w:hAnsi="Arial" w:cs="Arial"/>
          <w:sz w:val="28"/>
          <w:szCs w:val="28"/>
        </w:rPr>
      </w:pPr>
      <w:r w:rsidRPr="006879BF">
        <w:rPr>
          <w:rFonts w:ascii="Arial" w:hAnsi="Arial" w:cs="Arial"/>
          <w:sz w:val="28"/>
          <w:szCs w:val="28"/>
        </w:rPr>
        <w:t>Under our law, a person is guilty of</w:t>
      </w:r>
      <w:r w:rsidR="00774802" w:rsidRPr="006879BF">
        <w:rPr>
          <w:rFonts w:ascii="Arial" w:hAnsi="Arial" w:cs="Arial"/>
          <w:sz w:val="28"/>
          <w:szCs w:val="28"/>
        </w:rPr>
        <w:t xml:space="preserve"> the</w:t>
      </w:r>
      <w:r w:rsidRPr="006879BF">
        <w:rPr>
          <w:rFonts w:ascii="Arial" w:hAnsi="Arial" w:cs="Arial"/>
          <w:sz w:val="28"/>
          <w:szCs w:val="28"/>
        </w:rPr>
        <w:t xml:space="preserve"> </w:t>
      </w:r>
      <w:r w:rsidR="00774802" w:rsidRPr="006879BF">
        <w:rPr>
          <w:rFonts w:ascii="Arial" w:hAnsi="Arial" w:cs="Arial"/>
          <w:sz w:val="28"/>
          <w:szCs w:val="28"/>
        </w:rPr>
        <w:t xml:space="preserve">Defacement of Weapons and Dangerous Instruments and Appliances </w:t>
      </w:r>
      <w:r w:rsidRPr="006879BF">
        <w:rPr>
          <w:rFonts w:ascii="Arial" w:hAnsi="Arial" w:cs="Arial"/>
          <w:sz w:val="28"/>
          <w:szCs w:val="28"/>
        </w:rPr>
        <w:t>when he wilfully</w:t>
      </w:r>
      <w:r w:rsidR="00EB3B3F" w:rsidRPr="006879BF">
        <w:rPr>
          <w:rFonts w:ascii="Arial" w:hAnsi="Arial" w:cs="Arial"/>
          <w:sz w:val="28"/>
          <w:szCs w:val="28"/>
        </w:rPr>
        <w:t xml:space="preserve"> </w:t>
      </w:r>
      <w:r w:rsidRPr="006879BF">
        <w:rPr>
          <w:rFonts w:ascii="Arial" w:hAnsi="Arial" w:cs="Arial"/>
          <w:sz w:val="28"/>
          <w:szCs w:val="28"/>
        </w:rPr>
        <w:t xml:space="preserve">defaces any </w:t>
      </w:r>
    </w:p>
    <w:p w14:paraId="27E7EC33" w14:textId="77777777" w:rsidR="00103ADA" w:rsidRPr="006879BF" w:rsidRDefault="00103ADA" w:rsidP="000476EA">
      <w:pPr>
        <w:ind w:firstLine="720"/>
        <w:jc w:val="both"/>
        <w:rPr>
          <w:rFonts w:ascii="Arial" w:hAnsi="Arial" w:cs="Arial"/>
          <w:sz w:val="28"/>
          <w:szCs w:val="28"/>
        </w:rPr>
      </w:pPr>
    </w:p>
    <w:p w14:paraId="7CDE58AC" w14:textId="77777777" w:rsidR="00DE6D21" w:rsidRPr="006879BF" w:rsidRDefault="00DE6D21" w:rsidP="000476EA">
      <w:pPr>
        <w:jc w:val="both"/>
        <w:rPr>
          <w:rFonts w:ascii="Arial" w:hAnsi="Arial" w:cs="Arial"/>
          <w:i/>
          <w:iCs/>
          <w:sz w:val="28"/>
          <w:szCs w:val="28"/>
          <w:u w:val="single"/>
        </w:rPr>
      </w:pPr>
      <w:r w:rsidRPr="006879BF">
        <w:rPr>
          <w:rFonts w:ascii="Arial" w:hAnsi="Arial" w:cs="Arial"/>
          <w:i/>
          <w:iCs/>
          <w:sz w:val="28"/>
          <w:szCs w:val="28"/>
          <w:u w:val="single"/>
        </w:rPr>
        <w:t>Select appropriate alternative:</w:t>
      </w:r>
    </w:p>
    <w:p w14:paraId="3B5B9EAD" w14:textId="77777777" w:rsidR="004B34A4" w:rsidRPr="006879BF" w:rsidRDefault="004B34A4" w:rsidP="004B34A4">
      <w:pPr>
        <w:jc w:val="both"/>
        <w:rPr>
          <w:rFonts w:ascii="Arial" w:hAnsi="Arial" w:cs="Arial"/>
          <w:sz w:val="28"/>
          <w:szCs w:val="28"/>
        </w:rPr>
      </w:pPr>
      <w:r w:rsidRPr="006879BF">
        <w:rPr>
          <w:rFonts w:ascii="Arial" w:hAnsi="Arial" w:cs="Arial"/>
          <w:sz w:val="28"/>
          <w:szCs w:val="28"/>
        </w:rPr>
        <w:t>large capacity ammunition feeding device</w:t>
      </w:r>
    </w:p>
    <w:p w14:paraId="03531A52" w14:textId="6EBDA7E1" w:rsidR="00503D58" w:rsidRPr="006879BF" w:rsidRDefault="004E1BAE" w:rsidP="000476EA">
      <w:pPr>
        <w:jc w:val="both"/>
        <w:rPr>
          <w:rFonts w:ascii="Arial" w:hAnsi="Arial" w:cs="Arial"/>
          <w:sz w:val="28"/>
          <w:szCs w:val="28"/>
        </w:rPr>
      </w:pPr>
      <w:r w:rsidRPr="006879BF">
        <w:rPr>
          <w:rFonts w:ascii="Arial" w:hAnsi="Arial" w:cs="Arial"/>
          <w:sz w:val="28"/>
          <w:szCs w:val="28"/>
        </w:rPr>
        <w:t>machine-gun</w:t>
      </w:r>
    </w:p>
    <w:p w14:paraId="7072FA20" w14:textId="403BFE4D" w:rsidR="004E1BAE" w:rsidRPr="006879BF" w:rsidRDefault="004E1BAE" w:rsidP="000476EA">
      <w:pPr>
        <w:jc w:val="both"/>
        <w:rPr>
          <w:rFonts w:ascii="Arial" w:hAnsi="Arial" w:cs="Arial"/>
          <w:sz w:val="28"/>
          <w:szCs w:val="28"/>
        </w:rPr>
      </w:pPr>
      <w:r w:rsidRPr="006879BF">
        <w:rPr>
          <w:rFonts w:ascii="Arial" w:hAnsi="Arial" w:cs="Arial"/>
          <w:sz w:val="28"/>
          <w:szCs w:val="28"/>
        </w:rPr>
        <w:t>firearm</w:t>
      </w:r>
      <w:r w:rsidR="00DE6D21" w:rsidRPr="006879BF">
        <w:rPr>
          <w:rFonts w:ascii="Arial" w:hAnsi="Arial" w:cs="Arial"/>
          <w:sz w:val="28"/>
          <w:szCs w:val="28"/>
        </w:rPr>
        <w:t>.</w:t>
      </w:r>
    </w:p>
    <w:p w14:paraId="05F2827B" w14:textId="77777777" w:rsidR="004E1BAE" w:rsidRPr="006879BF" w:rsidRDefault="004E1BAE" w:rsidP="006151A2">
      <w:pPr>
        <w:spacing w:line="276" w:lineRule="auto"/>
        <w:jc w:val="both"/>
        <w:rPr>
          <w:rFonts w:ascii="Arial" w:hAnsi="Arial" w:cs="Arial"/>
          <w:sz w:val="28"/>
          <w:szCs w:val="28"/>
        </w:rPr>
      </w:pPr>
    </w:p>
    <w:p w14:paraId="43846F0B" w14:textId="76F4C4D9" w:rsidR="004E1BAE" w:rsidRPr="006879BF" w:rsidRDefault="00B633F1" w:rsidP="00F326AC">
      <w:pPr>
        <w:jc w:val="both"/>
        <w:rPr>
          <w:rFonts w:ascii="Arial" w:hAnsi="Arial" w:cs="Arial"/>
          <w:sz w:val="28"/>
          <w:szCs w:val="28"/>
        </w:rPr>
      </w:pPr>
      <w:r w:rsidRPr="006879BF">
        <w:rPr>
          <w:rFonts w:ascii="Arial" w:hAnsi="Arial" w:cs="Arial"/>
          <w:sz w:val="28"/>
          <w:szCs w:val="28"/>
        </w:rPr>
        <w:tab/>
      </w:r>
      <w:r w:rsidR="0017374E" w:rsidRPr="006879BF">
        <w:rPr>
          <w:rFonts w:ascii="Arial" w:hAnsi="Arial" w:cs="Arial"/>
          <w:sz w:val="28"/>
          <w:szCs w:val="28"/>
          <w:lang w:val="en-CA"/>
        </w:rPr>
        <w:fldChar w:fldCharType="begin"/>
      </w:r>
      <w:r w:rsidR="0017374E" w:rsidRPr="006879BF">
        <w:rPr>
          <w:rFonts w:ascii="Arial" w:hAnsi="Arial" w:cs="Arial"/>
          <w:sz w:val="28"/>
          <w:szCs w:val="28"/>
          <w:lang w:val="en-CA"/>
        </w:rPr>
        <w:instrText xml:space="preserve"> SEQ CHAPTER \h \r 1</w:instrText>
      </w:r>
      <w:r w:rsidR="0017374E" w:rsidRPr="006879BF">
        <w:rPr>
          <w:rFonts w:ascii="Arial" w:hAnsi="Arial" w:cs="Arial"/>
          <w:sz w:val="28"/>
          <w:szCs w:val="28"/>
          <w:lang w:val="en-CA"/>
        </w:rPr>
        <w:fldChar w:fldCharType="end"/>
      </w:r>
      <w:r w:rsidR="0017374E" w:rsidRPr="006879BF">
        <w:rPr>
          <w:rFonts w:ascii="Arial" w:hAnsi="Arial" w:cs="Arial"/>
          <w:sz w:val="28"/>
          <w:szCs w:val="28"/>
        </w:rPr>
        <w:t>The following terms used in that definition have a special meaning:</w:t>
      </w:r>
    </w:p>
    <w:p w14:paraId="2DB26A84" w14:textId="77777777" w:rsidR="004E1BAE" w:rsidRDefault="004E1BAE" w:rsidP="00F326AC">
      <w:pPr>
        <w:jc w:val="both"/>
        <w:rPr>
          <w:rFonts w:ascii="Arial" w:eastAsia="Yu Gothic UI" w:hAnsi="Arial" w:cs="Arial"/>
          <w:sz w:val="28"/>
          <w:szCs w:val="28"/>
        </w:rPr>
      </w:pPr>
    </w:p>
    <w:p w14:paraId="0CD3AFB1" w14:textId="77777777" w:rsidR="0003264E" w:rsidRPr="006879BF" w:rsidRDefault="0003264E" w:rsidP="00F326AC">
      <w:pPr>
        <w:jc w:val="both"/>
        <w:rPr>
          <w:rFonts w:ascii="Arial" w:eastAsia="Yu Gothic UI" w:hAnsi="Arial" w:cs="Arial"/>
          <w:sz w:val="28"/>
          <w:szCs w:val="28"/>
        </w:rPr>
      </w:pPr>
    </w:p>
    <w:p w14:paraId="3FD4E684" w14:textId="26EDF5BB" w:rsidR="004E1BAE" w:rsidRDefault="004E1BAE" w:rsidP="00F326AC">
      <w:pPr>
        <w:ind w:firstLine="720"/>
        <w:jc w:val="both"/>
        <w:rPr>
          <w:rFonts w:ascii="Arial" w:eastAsia="Yu Gothic UI" w:hAnsi="Arial" w:cs="Arial"/>
          <w:sz w:val="28"/>
          <w:szCs w:val="28"/>
        </w:rPr>
      </w:pPr>
      <w:r w:rsidRPr="006879BF">
        <w:rPr>
          <w:rFonts w:ascii="Arial" w:hAnsi="Arial" w:cs="Arial"/>
          <w:sz w:val="28"/>
          <w:szCs w:val="28"/>
        </w:rPr>
        <w:t xml:space="preserve">A person WILFULLY defaces a </w:t>
      </w:r>
      <w:r w:rsidRPr="006879BF">
        <w:rPr>
          <w:rFonts w:ascii="Arial" w:hAnsi="Arial" w:cs="Arial"/>
          <w:i/>
          <w:iCs/>
          <w:sz w:val="28"/>
          <w:szCs w:val="28"/>
          <w:u w:val="single"/>
        </w:rPr>
        <w:t>(specify)</w:t>
      </w:r>
      <w:r w:rsidRPr="006879BF">
        <w:rPr>
          <w:rFonts w:ascii="Arial" w:hAnsi="Arial" w:cs="Arial"/>
          <w:sz w:val="28"/>
          <w:szCs w:val="28"/>
        </w:rPr>
        <w:t xml:space="preserve"> when that</w:t>
      </w:r>
      <w:r w:rsidRPr="006879BF">
        <w:rPr>
          <w:rFonts w:ascii="Arial" w:eastAsia="Yu Gothic UI" w:hAnsi="Arial" w:cs="Arial"/>
          <w:sz w:val="28"/>
          <w:szCs w:val="28"/>
        </w:rPr>
        <w:t xml:space="preserve"> person</w:t>
      </w:r>
      <w:r w:rsidRPr="006879BF">
        <w:rPr>
          <w:rFonts w:ascii="Arial" w:eastAsia="Yu Gothic UI" w:hAnsi="Arial" w:cs="Arial"/>
          <w:sz w:val="28"/>
          <w:szCs w:val="28"/>
        </w:rPr>
        <w:sym w:font="WP TypographicSymbols" w:char="003D"/>
      </w:r>
      <w:r w:rsidRPr="006879BF">
        <w:rPr>
          <w:rFonts w:ascii="Arial" w:eastAsia="Yu Gothic UI" w:hAnsi="Arial" w:cs="Arial"/>
          <w:sz w:val="28"/>
          <w:szCs w:val="28"/>
        </w:rPr>
        <w:t xml:space="preserve">s conscious objective or purpose is to deface a </w:t>
      </w:r>
      <w:r w:rsidRPr="006879BF">
        <w:rPr>
          <w:rFonts w:ascii="Arial" w:hAnsi="Arial" w:cs="Arial"/>
          <w:i/>
          <w:iCs/>
          <w:sz w:val="28"/>
          <w:szCs w:val="28"/>
          <w:u w:val="single"/>
        </w:rPr>
        <w:t xml:space="preserve"> (specify)</w:t>
      </w:r>
      <w:r w:rsidR="00EB3B3F" w:rsidRPr="006879BF">
        <w:rPr>
          <w:rStyle w:val="FootnoteReference"/>
          <w:rFonts w:ascii="Arial" w:hAnsi="Arial" w:cs="Arial"/>
          <w:i/>
          <w:iCs/>
          <w:sz w:val="28"/>
          <w:szCs w:val="28"/>
          <w:vertAlign w:val="superscript"/>
        </w:rPr>
        <w:footnoteReference w:id="4"/>
      </w:r>
      <w:r w:rsidRPr="006879BF">
        <w:rPr>
          <w:rFonts w:ascii="Arial" w:eastAsia="Yu Gothic UI" w:hAnsi="Arial" w:cs="Arial"/>
          <w:sz w:val="28"/>
          <w:szCs w:val="28"/>
          <w:vertAlign w:val="superscript"/>
        </w:rPr>
        <w:t>.</w:t>
      </w:r>
      <w:r w:rsidRPr="006879BF">
        <w:rPr>
          <w:rFonts w:ascii="Arial" w:eastAsia="Yu Gothic UI" w:hAnsi="Arial" w:cs="Arial"/>
          <w:sz w:val="28"/>
          <w:szCs w:val="28"/>
        </w:rPr>
        <w:t xml:space="preserve"> </w:t>
      </w:r>
      <w:r w:rsidR="00254877" w:rsidRPr="006879BF">
        <w:rPr>
          <w:rFonts w:ascii="Arial" w:eastAsia="Yu Gothic UI" w:hAnsi="Arial" w:cs="Arial"/>
          <w:sz w:val="28"/>
          <w:szCs w:val="28"/>
        </w:rPr>
        <w:tab/>
      </w:r>
    </w:p>
    <w:p w14:paraId="63B5D094" w14:textId="77777777" w:rsidR="0003264E" w:rsidRDefault="0003264E" w:rsidP="00F326AC">
      <w:pPr>
        <w:ind w:firstLine="720"/>
        <w:jc w:val="both"/>
        <w:rPr>
          <w:rFonts w:ascii="Arial" w:eastAsia="Yu Gothic UI" w:hAnsi="Arial" w:cs="Arial"/>
          <w:sz w:val="28"/>
          <w:szCs w:val="28"/>
        </w:rPr>
      </w:pPr>
    </w:p>
    <w:p w14:paraId="7C9F8950" w14:textId="0D7B2F5E" w:rsidR="00F94813" w:rsidRDefault="00F94813" w:rsidP="00F326AC">
      <w:pPr>
        <w:ind w:firstLine="720"/>
        <w:jc w:val="both"/>
        <w:rPr>
          <w:rFonts w:ascii="Arial" w:eastAsia="Yu Gothic UI" w:hAnsi="Arial" w:cs="Arial"/>
          <w:sz w:val="28"/>
          <w:szCs w:val="28"/>
        </w:rPr>
      </w:pPr>
      <w:r w:rsidRPr="00E20041">
        <w:rPr>
          <w:rFonts w:ascii="Arial" w:hAnsi="Arial" w:cs="Arial"/>
          <w:sz w:val="28"/>
          <w:szCs w:val="28"/>
        </w:rPr>
        <w:t>“DEFACE" means to remove, deface, cover, alter or destroy the manufacturer`s serial number or any other distinguishing number or identification mark.</w:t>
      </w:r>
      <w:r w:rsidR="0021532C" w:rsidRPr="0021532C">
        <w:rPr>
          <w:rStyle w:val="FootnoteReference"/>
          <w:rFonts w:ascii="Arial" w:hAnsi="Arial" w:cs="Arial"/>
          <w:sz w:val="28"/>
          <w:szCs w:val="28"/>
          <w:vertAlign w:val="superscript"/>
        </w:rPr>
        <w:footnoteReference w:id="5"/>
      </w:r>
      <w:r w:rsidRPr="00E20041">
        <w:rPr>
          <w:rFonts w:ascii="Arial" w:hAnsi="Arial" w:cs="Arial"/>
          <w:sz w:val="28"/>
          <w:szCs w:val="28"/>
        </w:rPr>
        <w:t xml:space="preserve">  </w:t>
      </w:r>
    </w:p>
    <w:p w14:paraId="67A1AB7D" w14:textId="77777777" w:rsidR="00601934" w:rsidRDefault="00601934" w:rsidP="006151A2">
      <w:pPr>
        <w:spacing w:line="276" w:lineRule="auto"/>
        <w:jc w:val="both"/>
        <w:rPr>
          <w:rFonts w:ascii="Arial" w:eastAsia="Yu Gothic UI" w:hAnsi="Arial" w:cs="Arial"/>
          <w:sz w:val="28"/>
          <w:szCs w:val="28"/>
        </w:rPr>
      </w:pPr>
    </w:p>
    <w:p w14:paraId="108A847D" w14:textId="77777777" w:rsidR="006B7B2B" w:rsidRPr="006B7B2B" w:rsidRDefault="006B7B2B" w:rsidP="006151A2">
      <w:pPr>
        <w:spacing w:line="276" w:lineRule="auto"/>
        <w:jc w:val="both"/>
        <w:rPr>
          <w:rFonts w:ascii="Arial" w:eastAsia="Yu Gothic UI" w:hAnsi="Arial" w:cs="Arial"/>
          <w:i/>
          <w:iCs/>
          <w:sz w:val="28"/>
          <w:szCs w:val="28"/>
          <w:u w:val="single"/>
        </w:rPr>
      </w:pPr>
      <w:r w:rsidRPr="006B7B2B">
        <w:rPr>
          <w:rFonts w:ascii="Arial" w:eastAsia="Yu Gothic UI" w:hAnsi="Arial" w:cs="Arial"/>
          <w:i/>
          <w:iCs/>
          <w:sz w:val="28"/>
          <w:szCs w:val="28"/>
          <w:u w:val="single"/>
        </w:rPr>
        <w:t>Select appropriate weapon definition:</w:t>
      </w:r>
    </w:p>
    <w:p w14:paraId="5CCA28A2" w14:textId="77777777" w:rsidR="006B7B2B" w:rsidRDefault="006B7B2B" w:rsidP="006151A2">
      <w:pPr>
        <w:spacing w:line="276" w:lineRule="auto"/>
        <w:jc w:val="both"/>
        <w:rPr>
          <w:rFonts w:ascii="Arial" w:eastAsia="Yu Gothic UI" w:hAnsi="Arial" w:cs="Arial"/>
          <w:sz w:val="28"/>
          <w:szCs w:val="28"/>
        </w:rPr>
      </w:pPr>
    </w:p>
    <w:p w14:paraId="641B3F62" w14:textId="2D09673C" w:rsidR="006B7B2B" w:rsidRPr="006879BF" w:rsidRDefault="006B7B2B" w:rsidP="006151A2">
      <w:pPr>
        <w:spacing w:line="276" w:lineRule="auto"/>
        <w:jc w:val="both"/>
        <w:rPr>
          <w:rFonts w:ascii="Arial" w:eastAsia="Yu Gothic UI" w:hAnsi="Arial" w:cs="Arial"/>
          <w:sz w:val="28"/>
          <w:szCs w:val="28"/>
        </w:rPr>
        <w:sectPr w:rsidR="006B7B2B" w:rsidRPr="006879BF" w:rsidSect="00103ADA">
          <w:pgSz w:w="12240" w:h="15840"/>
          <w:pgMar w:top="1080" w:right="2160" w:bottom="1080" w:left="2160" w:header="1440" w:footer="1440" w:gutter="0"/>
          <w:cols w:space="720"/>
          <w:noEndnote/>
          <w:docGrid w:linePitch="326"/>
        </w:sectPr>
      </w:pPr>
    </w:p>
    <w:p w14:paraId="0C07EEEE" w14:textId="3D510454" w:rsidR="00FD6D0F" w:rsidRPr="00FD6D0F" w:rsidRDefault="00FD6D0F" w:rsidP="00682F31">
      <w:pPr>
        <w:widowControl/>
        <w:autoSpaceDE/>
        <w:autoSpaceDN/>
        <w:adjustRightInd/>
        <w:ind w:left="720" w:right="-576" w:firstLine="720"/>
        <w:jc w:val="both"/>
        <w:rPr>
          <w:rFonts w:ascii="Arial" w:hAnsi="Arial" w:cs="Arial"/>
          <w:sz w:val="28"/>
          <w:szCs w:val="28"/>
        </w:rPr>
      </w:pPr>
      <w:r w:rsidRPr="00FD6D0F">
        <w:rPr>
          <w:rFonts w:ascii="Arial" w:hAnsi="Arial" w:cs="Arial"/>
          <w:sz w:val="28"/>
          <w:szCs w:val="28"/>
        </w:rPr>
        <w:t xml:space="preserve">LARGE CAPACITY AMMUNITION FEEDING DEVICE a magazine, belt, drum, feed strip, or similar device, that has a capacity of, or that can be readily restored or converted to accept, more than ten rounds of </w:t>
      </w:r>
      <w:r w:rsidRPr="00FD6D0F">
        <w:rPr>
          <w:rFonts w:ascii="Arial" w:eastAsiaTheme="minorHAnsi" w:hAnsi="Arial" w:cs="Arial"/>
          <w:sz w:val="28"/>
          <w:szCs w:val="28"/>
        </w:rPr>
        <w:t>ammunition</w:t>
      </w:r>
      <w:r w:rsidRPr="00FD6D0F">
        <w:rPr>
          <w:rFonts w:ascii="Arial" w:hAnsi="Arial" w:cs="Arial"/>
          <w:sz w:val="28"/>
          <w:szCs w:val="28"/>
        </w:rPr>
        <w:t>.</w:t>
      </w:r>
      <w:r w:rsidRPr="00FD6D0F">
        <w:rPr>
          <w:rFonts w:ascii="Arial" w:eastAsia="Yu Gothic UI" w:hAnsi="Arial" w:cs="Arial"/>
          <w:sz w:val="28"/>
          <w:szCs w:val="28"/>
          <w:vertAlign w:val="superscript"/>
        </w:rPr>
        <w:footnoteReference w:id="6"/>
      </w:r>
    </w:p>
    <w:p w14:paraId="5C8D4EF0" w14:textId="5C6AEF32" w:rsidR="004E1BAE" w:rsidRDefault="004E1BAE" w:rsidP="006151A2">
      <w:pPr>
        <w:spacing w:line="276" w:lineRule="auto"/>
        <w:ind w:left="720" w:right="-720"/>
        <w:jc w:val="both"/>
        <w:rPr>
          <w:rFonts w:ascii="Arial" w:hAnsi="Arial" w:cs="Arial"/>
          <w:sz w:val="28"/>
          <w:szCs w:val="28"/>
        </w:rPr>
      </w:pPr>
    </w:p>
    <w:p w14:paraId="49489E47" w14:textId="51295655" w:rsidR="004B34A4" w:rsidRDefault="004B34A4" w:rsidP="004B34A4">
      <w:pPr>
        <w:ind w:left="720" w:right="-720" w:firstLine="720"/>
        <w:jc w:val="both"/>
        <w:rPr>
          <w:rFonts w:ascii="Arial" w:eastAsia="Yu Gothic UI" w:hAnsi="Arial" w:cs="Arial"/>
          <w:sz w:val="28"/>
          <w:szCs w:val="28"/>
        </w:rPr>
      </w:pPr>
      <w:r w:rsidRPr="006879BF">
        <w:rPr>
          <w:rFonts w:ascii="Arial" w:eastAsia="Yu Gothic UI" w:hAnsi="Arial" w:cs="Arial"/>
          <w:sz w:val="28"/>
          <w:szCs w:val="28"/>
        </w:rPr>
        <w:t>MACHINE-GUN means a weapon of any description, irrespective of size, by whatever name known, loaded or unloaded, from which a number of shots or bullets may be rapidly or</w:t>
      </w:r>
      <w:r>
        <w:rPr>
          <w:rFonts w:ascii="Arial" w:eastAsia="Yu Gothic UI" w:hAnsi="Arial" w:cs="Arial"/>
          <w:sz w:val="28"/>
          <w:szCs w:val="28"/>
        </w:rPr>
        <w:t xml:space="preserve"> </w:t>
      </w:r>
      <w:r w:rsidRPr="006879BF">
        <w:rPr>
          <w:rFonts w:ascii="Arial" w:eastAsia="Yu Gothic UI" w:hAnsi="Arial" w:cs="Arial"/>
          <w:sz w:val="28"/>
          <w:szCs w:val="28"/>
        </w:rPr>
        <w:t>automatically discharged from a magazine with one continuous pull of the trigger and includes a sub-machine gun.</w:t>
      </w:r>
      <w:r w:rsidRPr="006879BF">
        <w:rPr>
          <w:rStyle w:val="FootnoteReference"/>
          <w:rFonts w:ascii="Arial" w:eastAsia="Yu Gothic UI" w:hAnsi="Arial" w:cs="Arial"/>
          <w:sz w:val="28"/>
          <w:szCs w:val="28"/>
          <w:vertAlign w:val="superscript"/>
        </w:rPr>
        <w:footnoteReference w:id="7"/>
      </w:r>
    </w:p>
    <w:p w14:paraId="59A5CDA1" w14:textId="77777777" w:rsidR="00682F31" w:rsidRPr="006879BF" w:rsidRDefault="00682F31" w:rsidP="004B34A4">
      <w:pPr>
        <w:ind w:left="720" w:right="-720" w:firstLine="720"/>
        <w:jc w:val="both"/>
        <w:rPr>
          <w:rFonts w:ascii="Arial" w:eastAsia="Yu Gothic UI" w:hAnsi="Arial" w:cs="Arial"/>
          <w:sz w:val="28"/>
          <w:szCs w:val="28"/>
        </w:rPr>
      </w:pPr>
    </w:p>
    <w:p w14:paraId="2D3DFB5F" w14:textId="39FB4FC4" w:rsidR="009C09BB" w:rsidRPr="006879BF" w:rsidRDefault="004E1BAE" w:rsidP="00F326AC">
      <w:pPr>
        <w:ind w:left="720" w:right="-720" w:firstLine="720"/>
        <w:jc w:val="both"/>
        <w:rPr>
          <w:rFonts w:ascii="Arial" w:eastAsia="Yu Gothic UI" w:hAnsi="Arial" w:cs="Arial"/>
          <w:sz w:val="28"/>
          <w:szCs w:val="28"/>
        </w:rPr>
      </w:pPr>
      <w:r w:rsidRPr="006879BF">
        <w:rPr>
          <w:rFonts w:ascii="Arial" w:eastAsia="Yu Gothic UI" w:hAnsi="Arial" w:cs="Arial"/>
          <w:sz w:val="28"/>
          <w:szCs w:val="28"/>
        </w:rPr>
        <w:t>A FIREARM means any pistol or revolver.</w:t>
      </w:r>
      <w:r w:rsidRPr="006879BF">
        <w:rPr>
          <w:rStyle w:val="FootnoteReference"/>
          <w:rFonts w:ascii="Arial" w:eastAsia="Yu Gothic UI" w:hAnsi="Arial" w:cs="Arial"/>
          <w:sz w:val="28"/>
          <w:szCs w:val="28"/>
          <w:vertAlign w:val="superscript"/>
        </w:rPr>
        <w:footnoteReference w:id="8"/>
      </w:r>
      <w:r w:rsidR="009C09BB">
        <w:rPr>
          <w:rFonts w:ascii="Arial" w:eastAsia="Yu Gothic UI" w:hAnsi="Arial" w:cs="Arial"/>
          <w:sz w:val="28"/>
          <w:szCs w:val="28"/>
        </w:rPr>
        <w:t xml:space="preserve">  T</w:t>
      </w:r>
      <w:r w:rsidR="009C09BB" w:rsidRPr="006879BF">
        <w:rPr>
          <w:rFonts w:ascii="Arial" w:eastAsia="Yu Gothic UI" w:hAnsi="Arial" w:cs="Arial"/>
          <w:sz w:val="28"/>
          <w:szCs w:val="28"/>
        </w:rPr>
        <w:t>he firearm need not be loaded but it must be operable. To be operable, a firearm must be capable of discharging ammunition.</w:t>
      </w:r>
      <w:r w:rsidR="009C09BB" w:rsidRPr="006879BF">
        <w:rPr>
          <w:rStyle w:val="FootnoteReference"/>
          <w:rFonts w:ascii="Arial" w:eastAsia="Yu Gothic UI" w:hAnsi="Arial" w:cs="Arial"/>
          <w:sz w:val="28"/>
          <w:szCs w:val="28"/>
          <w:vertAlign w:val="superscript"/>
        </w:rPr>
        <w:footnoteReference w:id="9"/>
      </w:r>
    </w:p>
    <w:p w14:paraId="3DE13BD6" w14:textId="77777777" w:rsidR="009C09BB" w:rsidRPr="006879BF" w:rsidRDefault="009C09BB" w:rsidP="00F326AC">
      <w:pPr>
        <w:jc w:val="both"/>
        <w:rPr>
          <w:rFonts w:ascii="Arial" w:hAnsi="Arial" w:cs="Arial"/>
          <w:sz w:val="28"/>
          <w:szCs w:val="28"/>
        </w:rPr>
      </w:pPr>
    </w:p>
    <w:p w14:paraId="341A320B" w14:textId="6E36A051" w:rsidR="004E1BAE" w:rsidRPr="009C09BB" w:rsidRDefault="009C09BB" w:rsidP="00F326AC">
      <w:pPr>
        <w:ind w:left="720" w:right="-720"/>
        <w:jc w:val="both"/>
        <w:rPr>
          <w:rFonts w:ascii="Arial" w:eastAsia="Yu Gothic UI" w:hAnsi="Arial" w:cs="Arial"/>
          <w:i/>
          <w:iCs/>
          <w:sz w:val="28"/>
          <w:szCs w:val="28"/>
          <w:u w:val="single"/>
        </w:rPr>
      </w:pPr>
      <w:r w:rsidRPr="009C09BB">
        <w:rPr>
          <w:rFonts w:ascii="Arial" w:eastAsia="Yu Gothic UI" w:hAnsi="Arial" w:cs="Arial"/>
          <w:i/>
          <w:iCs/>
          <w:sz w:val="28"/>
          <w:szCs w:val="28"/>
          <w:u w:val="single"/>
        </w:rPr>
        <w:t>Note: Add if appropriate:</w:t>
      </w:r>
    </w:p>
    <w:p w14:paraId="0A1DA7A9" w14:textId="29DD7C34" w:rsidR="004E1BAE" w:rsidRDefault="00601934" w:rsidP="00F326AC">
      <w:pPr>
        <w:ind w:left="720" w:right="-720" w:firstLine="720"/>
        <w:jc w:val="both"/>
        <w:rPr>
          <w:rFonts w:ascii="Arial" w:eastAsia="Yu Gothic UI" w:hAnsi="Arial" w:cs="Arial"/>
          <w:sz w:val="28"/>
          <w:szCs w:val="28"/>
        </w:rPr>
      </w:pPr>
      <w:r w:rsidRPr="006879BF">
        <w:rPr>
          <w:rFonts w:ascii="Arial" w:eastAsia="Yu Gothic UI" w:hAnsi="Arial" w:cs="Arial"/>
          <w:sz w:val="28"/>
          <w:szCs w:val="28"/>
        </w:rPr>
        <w:t>The possession by any person of a defaced machine-gun, firearm, rifle</w:t>
      </w:r>
      <w:r w:rsidR="00DB51FD">
        <w:rPr>
          <w:rFonts w:ascii="Arial" w:eastAsia="Yu Gothic UI" w:hAnsi="Arial" w:cs="Arial"/>
          <w:sz w:val="28"/>
          <w:szCs w:val="28"/>
        </w:rPr>
        <w:t>,</w:t>
      </w:r>
      <w:r w:rsidRPr="006879BF">
        <w:rPr>
          <w:rFonts w:ascii="Arial" w:eastAsia="Yu Gothic UI" w:hAnsi="Arial" w:cs="Arial"/>
          <w:sz w:val="28"/>
          <w:szCs w:val="28"/>
        </w:rPr>
        <w:t xml:space="preserve"> or shotgun is presumptive evidence that such person defaced the same.</w:t>
      </w:r>
      <w:r w:rsidR="009C09BB" w:rsidRPr="00857BCA">
        <w:rPr>
          <w:rStyle w:val="FootnoteReference"/>
          <w:rFonts w:ascii="Arial" w:eastAsia="Yu Gothic UI" w:hAnsi="Arial" w:cs="Arial"/>
          <w:sz w:val="28"/>
          <w:szCs w:val="28"/>
          <w:vertAlign w:val="superscript"/>
        </w:rPr>
        <w:footnoteReference w:id="10"/>
      </w:r>
    </w:p>
    <w:p w14:paraId="48493FED" w14:textId="3D2654B8" w:rsidR="009C09BB" w:rsidRDefault="009C09BB" w:rsidP="00F326AC">
      <w:pPr>
        <w:ind w:left="720" w:right="-720"/>
        <w:jc w:val="both"/>
        <w:rPr>
          <w:rFonts w:ascii="Arial" w:eastAsia="Yu Gothic UI" w:hAnsi="Arial" w:cs="Arial"/>
          <w:sz w:val="28"/>
          <w:szCs w:val="28"/>
        </w:rPr>
      </w:pPr>
    </w:p>
    <w:p w14:paraId="2EB5A5BC" w14:textId="4A8518C9" w:rsidR="004E1BAE" w:rsidRPr="006879BF" w:rsidRDefault="004E1BAE" w:rsidP="00F326AC">
      <w:pPr>
        <w:ind w:left="720" w:right="-720" w:firstLine="720"/>
        <w:jc w:val="both"/>
        <w:rPr>
          <w:rFonts w:ascii="Arial" w:hAnsi="Arial" w:cs="Arial"/>
          <w:sz w:val="28"/>
          <w:szCs w:val="28"/>
        </w:rPr>
      </w:pPr>
      <w:r w:rsidRPr="006879BF">
        <w:rPr>
          <w:rFonts w:ascii="Arial" w:hAnsi="Arial" w:cs="Arial"/>
          <w:sz w:val="28"/>
          <w:szCs w:val="28"/>
        </w:rPr>
        <w:t xml:space="preserve">In order for you to find the defendant guilty of this crime, the People are required to prove, from all the evidence in the case, beyond a reasonable doubt, </w:t>
      </w:r>
      <w:r w:rsidR="004B2D14">
        <w:rPr>
          <w:rFonts w:ascii="Arial" w:hAnsi="Arial" w:cs="Arial"/>
          <w:sz w:val="28"/>
          <w:szCs w:val="28"/>
        </w:rPr>
        <w:t xml:space="preserve">each </w:t>
      </w:r>
      <w:r w:rsidR="000E7790">
        <w:rPr>
          <w:rFonts w:ascii="Arial" w:hAnsi="Arial" w:cs="Arial"/>
          <w:sz w:val="28"/>
          <w:szCs w:val="28"/>
        </w:rPr>
        <w:t>of</w:t>
      </w:r>
      <w:r w:rsidRPr="006879BF">
        <w:rPr>
          <w:rFonts w:ascii="Arial" w:hAnsi="Arial" w:cs="Arial"/>
          <w:sz w:val="28"/>
          <w:szCs w:val="28"/>
        </w:rPr>
        <w:t xml:space="preserve"> the following </w:t>
      </w:r>
      <w:r w:rsidR="000E7790">
        <w:rPr>
          <w:rFonts w:ascii="Arial" w:hAnsi="Arial" w:cs="Arial"/>
          <w:sz w:val="28"/>
          <w:szCs w:val="28"/>
        </w:rPr>
        <w:t>[two/</w:t>
      </w:r>
      <w:r w:rsidRPr="006879BF">
        <w:rPr>
          <w:rFonts w:ascii="Arial" w:hAnsi="Arial" w:cs="Arial"/>
          <w:sz w:val="28"/>
          <w:szCs w:val="28"/>
        </w:rPr>
        <w:t>three</w:t>
      </w:r>
      <w:r w:rsidR="000E7790">
        <w:rPr>
          <w:rFonts w:ascii="Arial" w:hAnsi="Arial" w:cs="Arial"/>
          <w:sz w:val="28"/>
          <w:szCs w:val="28"/>
        </w:rPr>
        <w:t>]</w:t>
      </w:r>
      <w:r w:rsidRPr="006879BF">
        <w:rPr>
          <w:rFonts w:ascii="Arial" w:hAnsi="Arial" w:cs="Arial"/>
          <w:sz w:val="28"/>
          <w:szCs w:val="28"/>
        </w:rPr>
        <w:t xml:space="preserve"> elements:</w:t>
      </w:r>
    </w:p>
    <w:p w14:paraId="09A3DEA3" w14:textId="77777777" w:rsidR="004E1BAE" w:rsidRPr="006879BF" w:rsidRDefault="004E1BAE" w:rsidP="00F326AC">
      <w:pPr>
        <w:ind w:left="720" w:right="-720"/>
        <w:jc w:val="both"/>
        <w:rPr>
          <w:rFonts w:ascii="Arial" w:hAnsi="Arial" w:cs="Arial"/>
          <w:sz w:val="28"/>
          <w:szCs w:val="28"/>
        </w:rPr>
      </w:pPr>
    </w:p>
    <w:p w14:paraId="3ED2F521" w14:textId="2117A08C" w:rsidR="004E1BAE" w:rsidRPr="00F679B7" w:rsidRDefault="004E1BAE" w:rsidP="00F326AC">
      <w:pPr>
        <w:pStyle w:val="ListParagraph"/>
        <w:numPr>
          <w:ilvl w:val="0"/>
          <w:numId w:val="1"/>
        </w:numPr>
        <w:tabs>
          <w:tab w:val="left" w:pos="-1440"/>
        </w:tabs>
        <w:ind w:left="2016" w:right="-720"/>
        <w:jc w:val="both"/>
        <w:rPr>
          <w:rFonts w:ascii="Arial" w:hAnsi="Arial" w:cs="Arial"/>
          <w:i/>
          <w:iCs/>
          <w:sz w:val="28"/>
          <w:szCs w:val="28"/>
          <w:u w:val="single"/>
        </w:rPr>
      </w:pPr>
      <w:r w:rsidRPr="00F679B7">
        <w:rPr>
          <w:rFonts w:ascii="Arial" w:hAnsi="Arial" w:cs="Arial"/>
          <w:sz w:val="28"/>
          <w:szCs w:val="28"/>
        </w:rPr>
        <w:t xml:space="preserve">That on or about </w:t>
      </w:r>
      <w:r w:rsidRPr="00F679B7">
        <w:rPr>
          <w:rFonts w:ascii="Arial" w:hAnsi="Arial" w:cs="Arial"/>
          <w:sz w:val="28"/>
          <w:szCs w:val="28"/>
          <w:u w:val="single"/>
        </w:rPr>
        <w:t>(date)</w:t>
      </w:r>
      <w:r w:rsidRPr="00F679B7">
        <w:rPr>
          <w:rFonts w:ascii="Arial" w:hAnsi="Arial" w:cs="Arial"/>
          <w:sz w:val="28"/>
          <w:szCs w:val="28"/>
        </w:rPr>
        <w:t xml:space="preserve">, in the </w:t>
      </w:r>
      <w:r w:rsidR="00857BCA" w:rsidRPr="00F679B7">
        <w:rPr>
          <w:rFonts w:ascii="Arial" w:hAnsi="Arial" w:cs="Arial"/>
          <w:sz w:val="28"/>
          <w:szCs w:val="28"/>
        </w:rPr>
        <w:t>C</w:t>
      </w:r>
      <w:r w:rsidRPr="00F679B7">
        <w:rPr>
          <w:rFonts w:ascii="Arial" w:hAnsi="Arial" w:cs="Arial"/>
          <w:sz w:val="28"/>
          <w:szCs w:val="28"/>
        </w:rPr>
        <w:t xml:space="preserve">ounty of </w:t>
      </w:r>
      <w:r w:rsidRPr="00F679B7">
        <w:rPr>
          <w:rFonts w:ascii="Arial" w:hAnsi="Arial" w:cs="Arial"/>
          <w:sz w:val="28"/>
          <w:szCs w:val="28"/>
          <w:u w:val="single"/>
        </w:rPr>
        <w:t>(</w:t>
      </w:r>
      <w:r w:rsidR="00857BCA" w:rsidRPr="00F679B7">
        <w:rPr>
          <w:rFonts w:ascii="Arial" w:hAnsi="Arial" w:cs="Arial"/>
          <w:sz w:val="28"/>
          <w:szCs w:val="28"/>
          <w:u w:val="single"/>
        </w:rPr>
        <w:t>C</w:t>
      </w:r>
      <w:r w:rsidRPr="00F679B7">
        <w:rPr>
          <w:rFonts w:ascii="Arial" w:hAnsi="Arial" w:cs="Arial"/>
          <w:sz w:val="28"/>
          <w:szCs w:val="28"/>
          <w:u w:val="single"/>
        </w:rPr>
        <w:t>ounty)</w:t>
      </w:r>
      <w:r w:rsidRPr="00F679B7">
        <w:rPr>
          <w:rFonts w:ascii="Arial" w:hAnsi="Arial" w:cs="Arial"/>
          <w:sz w:val="28"/>
          <w:szCs w:val="28"/>
        </w:rPr>
        <w:t>, the defendant,</w:t>
      </w:r>
      <w:r w:rsidR="00857BCA" w:rsidRPr="00F679B7">
        <w:rPr>
          <w:rFonts w:ascii="Arial" w:hAnsi="Arial" w:cs="Arial"/>
          <w:sz w:val="28"/>
          <w:szCs w:val="28"/>
        </w:rPr>
        <w:t xml:space="preserve"> </w:t>
      </w:r>
      <w:r w:rsidRPr="00F679B7">
        <w:rPr>
          <w:rFonts w:ascii="Arial" w:hAnsi="Arial" w:cs="Arial"/>
          <w:sz w:val="28"/>
          <w:szCs w:val="28"/>
          <w:u w:val="single"/>
        </w:rPr>
        <w:t>(defendant's name),</w:t>
      </w:r>
      <w:r w:rsidR="004F407D">
        <w:rPr>
          <w:rFonts w:ascii="Arial" w:hAnsi="Arial" w:cs="Arial"/>
          <w:sz w:val="28"/>
          <w:szCs w:val="28"/>
        </w:rPr>
        <w:t xml:space="preserve"> </w:t>
      </w:r>
      <w:r w:rsidRPr="00F679B7">
        <w:rPr>
          <w:rFonts w:ascii="Arial" w:hAnsi="Arial" w:cs="Arial"/>
          <w:sz w:val="28"/>
          <w:szCs w:val="28"/>
        </w:rPr>
        <w:t xml:space="preserve">defaced </w:t>
      </w:r>
      <w:r w:rsidRPr="00F679B7">
        <w:rPr>
          <w:rFonts w:ascii="Arial" w:hAnsi="Arial" w:cs="Arial"/>
          <w:i/>
          <w:iCs/>
          <w:sz w:val="28"/>
          <w:szCs w:val="28"/>
          <w:u w:val="single"/>
        </w:rPr>
        <w:t>(specify)</w:t>
      </w:r>
      <w:r w:rsidR="00F679B7" w:rsidRPr="00F679B7">
        <w:rPr>
          <w:rFonts w:ascii="Arial" w:hAnsi="Arial" w:cs="Arial"/>
          <w:sz w:val="28"/>
          <w:szCs w:val="28"/>
        </w:rPr>
        <w:t>; [and]</w:t>
      </w:r>
    </w:p>
    <w:p w14:paraId="1A499B94" w14:textId="77777777" w:rsidR="00F679B7" w:rsidRPr="00F679B7" w:rsidRDefault="00F679B7" w:rsidP="00F326AC">
      <w:pPr>
        <w:pStyle w:val="ListParagraph"/>
        <w:tabs>
          <w:tab w:val="left" w:pos="-1440"/>
        </w:tabs>
        <w:ind w:right="-720"/>
        <w:jc w:val="both"/>
        <w:rPr>
          <w:rFonts w:ascii="Arial" w:hAnsi="Arial" w:cs="Arial"/>
          <w:sz w:val="28"/>
          <w:szCs w:val="28"/>
        </w:rPr>
      </w:pPr>
    </w:p>
    <w:p w14:paraId="43443ADF" w14:textId="77777777" w:rsidR="00857BCA" w:rsidRDefault="004E1BAE" w:rsidP="00F326AC">
      <w:pPr>
        <w:ind w:left="2016" w:right="-720" w:hanging="720"/>
        <w:jc w:val="both"/>
        <w:rPr>
          <w:rFonts w:ascii="Arial" w:hAnsi="Arial" w:cs="Arial"/>
          <w:sz w:val="28"/>
          <w:szCs w:val="28"/>
        </w:rPr>
      </w:pPr>
      <w:r w:rsidRPr="006879BF">
        <w:rPr>
          <w:rFonts w:ascii="Arial" w:hAnsi="Arial" w:cs="Arial"/>
          <w:sz w:val="28"/>
          <w:szCs w:val="28"/>
        </w:rPr>
        <w:t>2.    That the defendant did so wilfully;</w:t>
      </w:r>
    </w:p>
    <w:p w14:paraId="4D07CB6C" w14:textId="77777777" w:rsidR="00857BCA" w:rsidRDefault="00857BCA" w:rsidP="00F326AC">
      <w:pPr>
        <w:ind w:left="720" w:right="-720" w:hanging="720"/>
        <w:jc w:val="both"/>
        <w:rPr>
          <w:rFonts w:ascii="Arial" w:hAnsi="Arial" w:cs="Arial"/>
          <w:sz w:val="28"/>
          <w:szCs w:val="28"/>
        </w:rPr>
      </w:pPr>
    </w:p>
    <w:p w14:paraId="42822D87" w14:textId="77777777" w:rsidR="002D7358" w:rsidRPr="002D7358" w:rsidRDefault="002D7358" w:rsidP="002D7358">
      <w:pPr>
        <w:ind w:left="720" w:right="-720"/>
        <w:jc w:val="both"/>
        <w:rPr>
          <w:rFonts w:ascii="Arial" w:hAnsi="Arial" w:cs="Arial"/>
          <w:i/>
          <w:iCs/>
          <w:sz w:val="28"/>
          <w:szCs w:val="28"/>
          <w:u w:val="single"/>
        </w:rPr>
      </w:pPr>
      <w:r w:rsidRPr="002D7358">
        <w:rPr>
          <w:rFonts w:ascii="Arial" w:hAnsi="Arial" w:cs="Arial"/>
          <w:i/>
          <w:iCs/>
          <w:sz w:val="28"/>
          <w:szCs w:val="28"/>
        </w:rPr>
        <w:t xml:space="preserve">NOTE: Omit (3) if the weapon is a “machine gun” which by definition includes “operability.” Add (3) if the weapon is a “firearm,” “rife,” or “shotgun” because decisional law requires that the weapon be operable, and the definitions do not include a requirement of operability: </w:t>
      </w:r>
    </w:p>
    <w:p w14:paraId="725CD1C8" w14:textId="73025064" w:rsidR="004E1BAE" w:rsidRPr="006879BF" w:rsidRDefault="004E1BAE" w:rsidP="00F326AC">
      <w:pPr>
        <w:ind w:left="720" w:right="-720"/>
        <w:jc w:val="both"/>
        <w:rPr>
          <w:rFonts w:ascii="Arial" w:hAnsi="Arial" w:cs="Arial"/>
          <w:sz w:val="28"/>
          <w:szCs w:val="28"/>
        </w:rPr>
      </w:pPr>
    </w:p>
    <w:p w14:paraId="70FCB76E" w14:textId="0D32AF8A" w:rsidR="004E1BAE" w:rsidRPr="006879BF" w:rsidRDefault="004E1BAE" w:rsidP="00F326AC">
      <w:pPr>
        <w:ind w:left="1296" w:right="-720"/>
        <w:jc w:val="both"/>
        <w:rPr>
          <w:rFonts w:ascii="Arial" w:eastAsia="Yu Gothic UI" w:hAnsi="Arial" w:cs="Arial"/>
          <w:sz w:val="28"/>
          <w:szCs w:val="28"/>
        </w:rPr>
      </w:pPr>
      <w:r w:rsidRPr="006879BF">
        <w:rPr>
          <w:rFonts w:ascii="Arial" w:hAnsi="Arial" w:cs="Arial"/>
          <w:sz w:val="28"/>
          <w:szCs w:val="28"/>
        </w:rPr>
        <w:t>3.</w:t>
      </w:r>
      <w:r w:rsidRPr="006879BF">
        <w:rPr>
          <w:rFonts w:ascii="Arial" w:hAnsi="Arial" w:cs="Arial"/>
          <w:sz w:val="28"/>
          <w:szCs w:val="28"/>
        </w:rPr>
        <w:tab/>
        <w:t>That the</w:t>
      </w:r>
      <w:r w:rsidR="00857BCA">
        <w:rPr>
          <w:rFonts w:ascii="Arial" w:hAnsi="Arial" w:cs="Arial"/>
          <w:sz w:val="28"/>
          <w:szCs w:val="28"/>
        </w:rPr>
        <w:t xml:space="preserve"> firearm</w:t>
      </w:r>
      <w:r w:rsidRPr="006879BF">
        <w:rPr>
          <w:rFonts w:ascii="Arial" w:eastAsia="Yu Gothic UI" w:hAnsi="Arial" w:cs="Arial"/>
          <w:sz w:val="28"/>
          <w:szCs w:val="28"/>
        </w:rPr>
        <w:t xml:space="preserve"> was operable.</w:t>
      </w:r>
    </w:p>
    <w:p w14:paraId="2A15F97D" w14:textId="77777777" w:rsidR="004E1BAE" w:rsidRPr="006879BF" w:rsidRDefault="004E1BAE" w:rsidP="00F326AC">
      <w:pPr>
        <w:ind w:left="720" w:right="-720"/>
        <w:jc w:val="both"/>
        <w:rPr>
          <w:rFonts w:ascii="Arial" w:hAnsi="Arial" w:cs="Arial"/>
          <w:sz w:val="28"/>
          <w:szCs w:val="28"/>
        </w:rPr>
      </w:pPr>
    </w:p>
    <w:p w14:paraId="678BDF70" w14:textId="29C935A9" w:rsidR="000D17B8" w:rsidRPr="000D17B8" w:rsidRDefault="009F4BC4" w:rsidP="00F326AC">
      <w:pPr>
        <w:widowControl/>
        <w:ind w:left="720" w:right="-720" w:firstLine="576"/>
        <w:jc w:val="both"/>
        <w:rPr>
          <w:rFonts w:ascii="Arial" w:hAnsi="Arial" w:cs="Arial"/>
          <w:sz w:val="28"/>
          <w:szCs w:val="28"/>
        </w:rPr>
      </w:pPr>
      <w:r>
        <w:rPr>
          <w:lang w:val="en-CA"/>
        </w:rPr>
        <w:t xml:space="preserve"> </w:t>
      </w:r>
      <w:r w:rsidR="000D17B8" w:rsidRPr="000D17B8">
        <w:rPr>
          <w:lang w:val="en-CA"/>
        </w:rPr>
        <w:fldChar w:fldCharType="begin"/>
      </w:r>
      <w:r w:rsidR="000D17B8" w:rsidRPr="000D17B8">
        <w:rPr>
          <w:lang w:val="en-CA"/>
        </w:rPr>
        <w:instrText xml:space="preserve"> SEQ CHAPTER \h \r 1</w:instrText>
      </w:r>
      <w:r w:rsidR="000D17B8" w:rsidRPr="000D17B8">
        <w:rPr>
          <w:lang w:val="en-CA"/>
        </w:rPr>
        <w:fldChar w:fldCharType="end"/>
      </w:r>
      <w:r w:rsidR="000D17B8" w:rsidRPr="000D17B8">
        <w:rPr>
          <w:rFonts w:ascii="Arial" w:hAnsi="Arial" w:cs="Arial"/>
          <w:sz w:val="28"/>
          <w:szCs w:val="28"/>
        </w:rPr>
        <w:t>If you find</w:t>
      </w:r>
      <w:r w:rsidR="00A8088F">
        <w:rPr>
          <w:rFonts w:ascii="Arial" w:hAnsi="Arial" w:cs="Arial"/>
          <w:sz w:val="28"/>
          <w:szCs w:val="28"/>
        </w:rPr>
        <w:t xml:space="preserve"> that</w:t>
      </w:r>
      <w:r w:rsidR="000D17B8" w:rsidRPr="000D17B8">
        <w:rPr>
          <w:rFonts w:ascii="Arial" w:hAnsi="Arial" w:cs="Arial"/>
          <w:sz w:val="28"/>
          <w:szCs w:val="28"/>
        </w:rPr>
        <w:t xml:space="preserve"> the People have proven beyond a reasonable doubt (each / both) of those elements, you must find the defendant guilty of this crime.</w:t>
      </w:r>
    </w:p>
    <w:p w14:paraId="7C07C4D8" w14:textId="77777777" w:rsidR="000D17B8" w:rsidRPr="000D17B8" w:rsidRDefault="000D17B8" w:rsidP="00F326AC">
      <w:pPr>
        <w:widowControl/>
        <w:ind w:left="720" w:right="-720"/>
        <w:rPr>
          <w:rFonts w:ascii="Arial" w:hAnsi="Arial" w:cs="Arial"/>
          <w:sz w:val="28"/>
          <w:szCs w:val="28"/>
        </w:rPr>
      </w:pPr>
    </w:p>
    <w:p w14:paraId="79EC15F2" w14:textId="2AF65FBB" w:rsidR="004E1BAE" w:rsidRPr="006879BF" w:rsidRDefault="000D17B8" w:rsidP="000A4982">
      <w:pPr>
        <w:ind w:left="720" w:right="-720" w:firstLine="720"/>
        <w:jc w:val="both"/>
        <w:rPr>
          <w:rFonts w:ascii="Arial" w:hAnsi="Arial" w:cs="Arial"/>
          <w:sz w:val="28"/>
          <w:szCs w:val="28"/>
        </w:rPr>
      </w:pPr>
      <w:r w:rsidRPr="000D17B8">
        <w:rPr>
          <w:rFonts w:ascii="Arial" w:hAnsi="Arial" w:cs="Arial"/>
          <w:sz w:val="28"/>
          <w:szCs w:val="28"/>
        </w:rPr>
        <w:t xml:space="preserve">If you find </w:t>
      </w:r>
      <w:r w:rsidR="00A8088F">
        <w:rPr>
          <w:rFonts w:ascii="Arial" w:hAnsi="Arial" w:cs="Arial"/>
          <w:sz w:val="28"/>
          <w:szCs w:val="28"/>
        </w:rPr>
        <w:t xml:space="preserve">that </w:t>
      </w:r>
      <w:r w:rsidRPr="000D17B8">
        <w:rPr>
          <w:rFonts w:ascii="Arial" w:hAnsi="Arial" w:cs="Arial"/>
          <w:sz w:val="28"/>
          <w:szCs w:val="28"/>
        </w:rPr>
        <w:t>the People have not proven beyond a reasonable doubt (either one / any</w:t>
      </w:r>
      <w:r w:rsidR="003C25CF">
        <w:rPr>
          <w:rFonts w:ascii="Arial" w:hAnsi="Arial" w:cs="Arial"/>
          <w:sz w:val="28"/>
          <w:szCs w:val="28"/>
        </w:rPr>
        <w:t xml:space="preserve"> </w:t>
      </w:r>
      <w:r w:rsidRPr="000D17B8">
        <w:rPr>
          <w:rFonts w:ascii="Arial" w:hAnsi="Arial" w:cs="Arial"/>
          <w:sz w:val="28"/>
          <w:szCs w:val="28"/>
        </w:rPr>
        <w:t>one) or more of those elements, you must find the defendant not guilty of this crime.</w:t>
      </w:r>
    </w:p>
    <w:sectPr w:rsidR="004E1BAE" w:rsidRPr="006879BF" w:rsidSect="004E1BAE">
      <w:type w:val="continuous"/>
      <w:pgSz w:w="12240" w:h="15840"/>
      <w:pgMar w:top="1440" w:right="288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19AE" w14:textId="77777777" w:rsidR="00632B1B" w:rsidRDefault="00632B1B" w:rsidP="004E1BAE">
      <w:r>
        <w:separator/>
      </w:r>
    </w:p>
  </w:endnote>
  <w:endnote w:type="continuationSeparator" w:id="0">
    <w:p w14:paraId="79429959" w14:textId="77777777" w:rsidR="00632B1B" w:rsidRDefault="00632B1B" w:rsidP="004E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B890" w14:textId="77777777" w:rsidR="00632B1B" w:rsidRDefault="00632B1B" w:rsidP="004E1BAE">
      <w:r>
        <w:separator/>
      </w:r>
    </w:p>
  </w:footnote>
  <w:footnote w:type="continuationSeparator" w:id="0">
    <w:p w14:paraId="3359A8F8" w14:textId="77777777" w:rsidR="00632B1B" w:rsidRDefault="00632B1B" w:rsidP="004E1BAE">
      <w:r>
        <w:continuationSeparator/>
      </w:r>
    </w:p>
  </w:footnote>
  <w:footnote w:id="1">
    <w:p w14:paraId="021A08B9" w14:textId="2291E625" w:rsidR="00774802" w:rsidRPr="00922876" w:rsidRDefault="00774802" w:rsidP="007D594B">
      <w:pPr>
        <w:pStyle w:val="FootnoteText"/>
        <w:jc w:val="both"/>
        <w:rPr>
          <w:rFonts w:ascii="Arial" w:hAnsi="Arial" w:cs="Arial"/>
          <w:sz w:val="24"/>
          <w:szCs w:val="24"/>
        </w:rPr>
      </w:pPr>
      <w:r>
        <w:rPr>
          <w:rStyle w:val="FootnoteReference"/>
        </w:rPr>
        <w:footnoteRef/>
      </w:r>
      <w:r>
        <w:t xml:space="preserve"> </w:t>
      </w:r>
      <w:r w:rsidR="00943009">
        <w:t xml:space="preserve"> </w:t>
      </w:r>
      <w:r w:rsidR="00943009" w:rsidRPr="007D594B">
        <w:rPr>
          <w:rFonts w:ascii="Arial" w:hAnsi="Arial" w:cs="Arial"/>
          <w:sz w:val="22"/>
          <w:szCs w:val="22"/>
        </w:rPr>
        <w:t xml:space="preserve">The </w:t>
      </w:r>
      <w:r w:rsidR="003A11C6" w:rsidRPr="000B75EE">
        <w:rPr>
          <w:rFonts w:ascii="Arial" w:hAnsi="Arial" w:cs="Arial"/>
          <w:sz w:val="22"/>
          <w:szCs w:val="22"/>
        </w:rPr>
        <w:t xml:space="preserve">opening </w:t>
      </w:r>
      <w:r w:rsidR="003E0689" w:rsidRPr="000B75EE">
        <w:rPr>
          <w:rFonts w:ascii="Arial" w:hAnsi="Arial" w:cs="Arial"/>
          <w:sz w:val="22"/>
          <w:szCs w:val="22"/>
        </w:rPr>
        <w:t>portion of the title</w:t>
      </w:r>
      <w:r w:rsidR="000B75EE">
        <w:rPr>
          <w:rFonts w:ascii="Arial" w:hAnsi="Arial" w:cs="Arial"/>
          <w:sz w:val="22"/>
          <w:szCs w:val="22"/>
        </w:rPr>
        <w:t xml:space="preserve"> of this crime</w:t>
      </w:r>
      <w:r w:rsidR="003E0689" w:rsidRPr="000B75EE">
        <w:rPr>
          <w:rFonts w:ascii="Arial" w:hAnsi="Arial" w:cs="Arial"/>
          <w:sz w:val="22"/>
          <w:szCs w:val="22"/>
        </w:rPr>
        <w:t xml:space="preserve"> </w:t>
      </w:r>
      <w:r w:rsidR="003A11C6" w:rsidRPr="000B75EE">
        <w:rPr>
          <w:rFonts w:ascii="Arial" w:hAnsi="Arial" w:cs="Arial"/>
          <w:sz w:val="22"/>
          <w:szCs w:val="22"/>
        </w:rPr>
        <w:t xml:space="preserve">[Manufacture, Transport, Disposition </w:t>
      </w:r>
      <w:r w:rsidR="000B75EE" w:rsidRPr="000B75EE">
        <w:rPr>
          <w:rFonts w:ascii="Arial" w:hAnsi="Arial" w:cs="Arial"/>
          <w:sz w:val="22"/>
          <w:szCs w:val="22"/>
        </w:rPr>
        <w:t>a</w:t>
      </w:r>
      <w:r w:rsidR="003A11C6" w:rsidRPr="000B75EE">
        <w:rPr>
          <w:rFonts w:ascii="Arial" w:hAnsi="Arial" w:cs="Arial"/>
          <w:sz w:val="22"/>
          <w:szCs w:val="22"/>
        </w:rPr>
        <w:t>nd]</w:t>
      </w:r>
      <w:r w:rsidR="000B75EE" w:rsidRPr="000B75EE">
        <w:rPr>
          <w:rFonts w:ascii="Arial" w:hAnsi="Arial" w:cs="Arial"/>
          <w:sz w:val="22"/>
          <w:szCs w:val="22"/>
        </w:rPr>
        <w:t xml:space="preserve"> is </w:t>
      </w:r>
      <w:r w:rsidR="00943009" w:rsidRPr="000B75EE">
        <w:rPr>
          <w:rFonts w:ascii="Arial" w:hAnsi="Arial" w:cs="Arial"/>
          <w:sz w:val="22"/>
          <w:szCs w:val="22"/>
        </w:rPr>
        <w:t xml:space="preserve">omitted </w:t>
      </w:r>
      <w:r w:rsidR="000B75EE" w:rsidRPr="000B75EE">
        <w:rPr>
          <w:rFonts w:ascii="Arial" w:hAnsi="Arial" w:cs="Arial"/>
          <w:sz w:val="22"/>
          <w:szCs w:val="22"/>
        </w:rPr>
        <w:t>because the</w:t>
      </w:r>
      <w:r w:rsidR="00943009" w:rsidRPr="000B75EE">
        <w:rPr>
          <w:rFonts w:ascii="Arial" w:hAnsi="Arial" w:cs="Arial"/>
          <w:sz w:val="22"/>
          <w:szCs w:val="22"/>
        </w:rPr>
        <w:t xml:space="preserve"> definition of the crime relates only to Defacement of Weapons and Dangerous Instruments and Appliances.</w:t>
      </w:r>
    </w:p>
    <w:p w14:paraId="6DB538A0" w14:textId="77777777" w:rsidR="00943009" w:rsidRPr="00922876" w:rsidRDefault="00943009">
      <w:pPr>
        <w:pStyle w:val="FootnoteText"/>
        <w:rPr>
          <w:rFonts w:ascii="Arial" w:hAnsi="Arial" w:cs="Arial"/>
          <w:sz w:val="24"/>
          <w:szCs w:val="24"/>
        </w:rPr>
      </w:pPr>
    </w:p>
  </w:footnote>
  <w:footnote w:id="2">
    <w:p w14:paraId="7C936EF0" w14:textId="2534A063" w:rsidR="00C207B8" w:rsidRDefault="00C207B8" w:rsidP="00754F20">
      <w:pPr>
        <w:pStyle w:val="FootnoteText"/>
        <w:jc w:val="both"/>
      </w:pPr>
      <w:r>
        <w:rPr>
          <w:rStyle w:val="FootnoteReference"/>
        </w:rPr>
        <w:footnoteRef/>
      </w:r>
      <w:r>
        <w:t xml:space="preserve"> </w:t>
      </w:r>
      <w:r w:rsidR="00391E1D" w:rsidRPr="00876AF6">
        <w:rPr>
          <w:sz w:val="22"/>
          <w:szCs w:val="22"/>
        </w:rPr>
        <w:t xml:space="preserve">The December 2022 revision </w:t>
      </w:r>
      <w:r w:rsidR="00391E1D" w:rsidRPr="00876AF6">
        <w:rPr>
          <w:rFonts w:ascii="Arial" w:hAnsi="Arial" w:cs="Arial"/>
          <w:sz w:val="22"/>
          <w:szCs w:val="22"/>
        </w:rPr>
        <w:t xml:space="preserve">was for the purpose of incorporating a statutory change in the definition of “large capacity ammunition </w:t>
      </w:r>
      <w:r w:rsidR="00391E1D">
        <w:rPr>
          <w:rFonts w:ascii="Arial" w:hAnsi="Arial" w:cs="Arial"/>
          <w:sz w:val="22"/>
          <w:szCs w:val="22"/>
        </w:rPr>
        <w:t xml:space="preserve">feeding </w:t>
      </w:r>
      <w:r w:rsidR="00391E1D" w:rsidRPr="00876AF6">
        <w:rPr>
          <w:rFonts w:ascii="Arial" w:hAnsi="Arial" w:cs="Arial"/>
          <w:sz w:val="22"/>
          <w:szCs w:val="22"/>
        </w:rPr>
        <w:t>device” per the L. 2022, ch. 209, effective July 6, 2022</w:t>
      </w:r>
      <w:r w:rsidR="00391E1D">
        <w:rPr>
          <w:rFonts w:ascii="Arial" w:hAnsi="Arial" w:cs="Arial"/>
          <w:sz w:val="22"/>
          <w:szCs w:val="22"/>
        </w:rPr>
        <w:t>.</w:t>
      </w:r>
    </w:p>
    <w:p w14:paraId="1900E632" w14:textId="77777777" w:rsidR="00C207B8" w:rsidRDefault="00C207B8">
      <w:pPr>
        <w:pStyle w:val="FootnoteText"/>
      </w:pPr>
    </w:p>
  </w:footnote>
  <w:footnote w:id="3">
    <w:p w14:paraId="37640FEE" w14:textId="77777777" w:rsidR="00222957" w:rsidRDefault="00CF5A71" w:rsidP="00917819">
      <w:pPr>
        <w:pStyle w:val="FootnoteText"/>
        <w:jc w:val="both"/>
        <w:rPr>
          <w:rFonts w:ascii="Arial" w:eastAsia="Times New Roman" w:hAnsi="Arial" w:cs="Arial"/>
          <w:color w:val="000000"/>
          <w:sz w:val="22"/>
          <w:szCs w:val="22"/>
        </w:rPr>
      </w:pPr>
      <w:r>
        <w:rPr>
          <w:rStyle w:val="FootnoteReference"/>
        </w:rPr>
        <w:footnoteRef/>
      </w:r>
      <w:r>
        <w:t xml:space="preserve">  </w:t>
      </w:r>
      <w:r>
        <w:rPr>
          <w:rFonts w:ascii="Arial" w:eastAsia="Times New Roman" w:hAnsi="Arial" w:cs="Arial"/>
          <w:color w:val="000000"/>
          <w:sz w:val="22"/>
          <w:szCs w:val="22"/>
        </w:rPr>
        <w:t>By comparison, P</w:t>
      </w:r>
      <w:r w:rsidRPr="007D594B">
        <w:rPr>
          <w:rFonts w:ascii="Arial" w:eastAsia="Times New Roman" w:hAnsi="Arial" w:cs="Arial"/>
          <w:color w:val="000000"/>
          <w:sz w:val="22"/>
          <w:szCs w:val="22"/>
        </w:rPr>
        <w:t xml:space="preserve">enal Law § 265.02 requires that the actor “knowingly” possess a machine-gun, firearm, rifle, or shotgun, which has been defaced for a stated purpose. A large capacity ammunition feeding device is not one of the specified weapons. </w:t>
      </w:r>
      <w:r w:rsidR="00917819">
        <w:rPr>
          <w:rFonts w:ascii="Arial" w:eastAsia="Times New Roman" w:hAnsi="Arial" w:cs="Arial"/>
          <w:color w:val="000000"/>
          <w:sz w:val="22"/>
          <w:szCs w:val="22"/>
        </w:rPr>
        <w:t xml:space="preserve">  </w:t>
      </w:r>
    </w:p>
    <w:p w14:paraId="5BAE290C" w14:textId="5A6D3D85" w:rsidR="00CF5A71" w:rsidRDefault="00222957" w:rsidP="00222957">
      <w:pPr>
        <w:pStyle w:val="FootnoteText"/>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917819">
        <w:rPr>
          <w:rFonts w:ascii="Arial" w:eastAsia="Times New Roman" w:hAnsi="Arial" w:cs="Arial"/>
          <w:color w:val="000000"/>
          <w:sz w:val="22"/>
          <w:szCs w:val="22"/>
        </w:rPr>
        <w:t>T</w:t>
      </w:r>
      <w:r w:rsidR="00CF5A71" w:rsidRPr="007D594B">
        <w:rPr>
          <w:rFonts w:ascii="Arial" w:eastAsia="Times New Roman" w:hAnsi="Arial" w:cs="Arial"/>
          <w:color w:val="000000"/>
          <w:sz w:val="22"/>
          <w:szCs w:val="22"/>
        </w:rPr>
        <w:t xml:space="preserve">he instant crime, Penal Law § 265.10(6), requires that the defendant be in fact the person who defaced the machine-gun, firearm, or large capacity ammunition feeding device, irrespective of the purpose. While a large capacity ammunition device is included, a rifle or shotgun is not. </w:t>
      </w:r>
    </w:p>
    <w:p w14:paraId="39974389" w14:textId="4610528A" w:rsidR="00CF5A71" w:rsidRDefault="00CF5A71">
      <w:pPr>
        <w:pStyle w:val="FootnoteText"/>
      </w:pPr>
    </w:p>
  </w:footnote>
  <w:footnote w:id="4">
    <w:p w14:paraId="23E6D461" w14:textId="010C8841" w:rsidR="0058638B" w:rsidRPr="007D594B" w:rsidRDefault="00EB3B3F" w:rsidP="000A199B">
      <w:pPr>
        <w:pStyle w:val="FootnoteText"/>
        <w:jc w:val="both"/>
        <w:rPr>
          <w:rFonts w:ascii="Arial" w:eastAsia="Times New Roman" w:hAnsi="Arial" w:cs="Arial"/>
          <w:i/>
          <w:iCs/>
          <w:color w:val="000000"/>
          <w:sz w:val="22"/>
          <w:szCs w:val="22"/>
        </w:rPr>
      </w:pPr>
      <w:r w:rsidRPr="00CF5A71">
        <w:rPr>
          <w:rStyle w:val="FootnoteReference"/>
          <w:rFonts w:ascii="Arial" w:hAnsi="Arial" w:cs="Arial"/>
          <w:sz w:val="24"/>
          <w:szCs w:val="24"/>
          <w:vertAlign w:val="superscript"/>
        </w:rPr>
        <w:footnoteRef/>
      </w:r>
      <w:r w:rsidRPr="00CF5A71">
        <w:rPr>
          <w:rFonts w:ascii="Arial" w:hAnsi="Arial" w:cs="Arial"/>
          <w:sz w:val="24"/>
          <w:szCs w:val="24"/>
          <w:vertAlign w:val="superscript"/>
        </w:rPr>
        <w:t xml:space="preserve"> </w:t>
      </w:r>
      <w:r w:rsidR="00601934">
        <w:rPr>
          <w:rFonts w:ascii="Arial" w:hAnsi="Arial" w:cs="Arial"/>
          <w:sz w:val="24"/>
          <w:szCs w:val="24"/>
        </w:rPr>
        <w:t xml:space="preserve"> </w:t>
      </w:r>
      <w:r w:rsidRPr="00601934">
        <w:rPr>
          <w:rFonts w:ascii="Arial" w:hAnsi="Arial" w:cs="Arial"/>
          <w:i/>
          <w:iCs/>
          <w:sz w:val="22"/>
          <w:szCs w:val="22"/>
        </w:rPr>
        <w:t>See</w:t>
      </w:r>
      <w:r w:rsidRPr="007D594B">
        <w:rPr>
          <w:rFonts w:ascii="Arial" w:hAnsi="Arial" w:cs="Arial"/>
          <w:sz w:val="22"/>
          <w:szCs w:val="22"/>
        </w:rPr>
        <w:t xml:space="preserve"> </w:t>
      </w:r>
      <w:r w:rsidR="00123D5D">
        <w:rPr>
          <w:rFonts w:ascii="Arial" w:hAnsi="Arial" w:cs="Arial"/>
          <w:sz w:val="22"/>
          <w:szCs w:val="22"/>
        </w:rPr>
        <w:t>Penal Law § 15.05(</w:t>
      </w:r>
      <w:r w:rsidR="005130DB">
        <w:rPr>
          <w:rFonts w:ascii="Arial" w:hAnsi="Arial" w:cs="Arial"/>
          <w:sz w:val="22"/>
          <w:szCs w:val="22"/>
        </w:rPr>
        <w:t>1</w:t>
      </w:r>
      <w:r w:rsidR="00123D5D">
        <w:rPr>
          <w:rFonts w:ascii="Arial" w:hAnsi="Arial" w:cs="Arial"/>
          <w:sz w:val="22"/>
          <w:szCs w:val="22"/>
        </w:rPr>
        <w:t xml:space="preserve">); </w:t>
      </w:r>
      <w:r w:rsidR="002D4F49" w:rsidRPr="007D594B">
        <w:rPr>
          <w:rFonts w:ascii="Arial" w:hAnsi="Arial" w:cs="Arial"/>
          <w:sz w:val="22"/>
          <w:szCs w:val="22"/>
        </w:rPr>
        <w:t>Black's Law Dictionary (11th ed. 2019)</w:t>
      </w:r>
      <w:r w:rsidR="000A199B" w:rsidRPr="007D594B">
        <w:rPr>
          <w:rFonts w:ascii="Arial" w:hAnsi="Arial" w:cs="Arial"/>
          <w:sz w:val="22"/>
          <w:szCs w:val="22"/>
        </w:rPr>
        <w:t xml:space="preserve"> indicates that “willfully” is akin to “intentionally</w:t>
      </w:r>
      <w:r w:rsidR="00B37646">
        <w:rPr>
          <w:rFonts w:ascii="Arial" w:hAnsi="Arial" w:cs="Arial"/>
          <w:sz w:val="22"/>
          <w:szCs w:val="22"/>
        </w:rPr>
        <w:t>”;</w:t>
      </w:r>
      <w:r w:rsidR="000A199B" w:rsidRPr="007D594B">
        <w:rPr>
          <w:rFonts w:ascii="Arial" w:hAnsi="Arial" w:cs="Arial"/>
          <w:sz w:val="22"/>
          <w:szCs w:val="22"/>
        </w:rPr>
        <w:t xml:space="preserve"> </w:t>
      </w:r>
      <w:r w:rsidRPr="007D594B">
        <w:rPr>
          <w:rFonts w:ascii="Arial" w:hAnsi="Arial" w:cs="Arial"/>
          <w:i/>
          <w:iCs/>
          <w:sz w:val="22"/>
          <w:szCs w:val="22"/>
        </w:rPr>
        <w:t>People v. Coe</w:t>
      </w:r>
      <w:r w:rsidRPr="007D594B">
        <w:rPr>
          <w:rFonts w:ascii="Arial" w:hAnsi="Arial" w:cs="Arial"/>
          <w:sz w:val="22"/>
          <w:szCs w:val="22"/>
        </w:rPr>
        <w:t>, 71 N.Y.2d 852 (1988)</w:t>
      </w:r>
      <w:r w:rsidR="002D4F49" w:rsidRPr="007D594B">
        <w:rPr>
          <w:rFonts w:ascii="Arial" w:hAnsi="Arial" w:cs="Arial"/>
          <w:sz w:val="22"/>
          <w:szCs w:val="22"/>
        </w:rPr>
        <w:t xml:space="preserve"> held</w:t>
      </w:r>
      <w:r w:rsidR="000C33AA">
        <w:rPr>
          <w:rFonts w:ascii="Arial" w:hAnsi="Arial" w:cs="Arial"/>
          <w:sz w:val="22"/>
          <w:szCs w:val="22"/>
        </w:rPr>
        <w:t xml:space="preserve"> that</w:t>
      </w:r>
      <w:r w:rsidR="002D4F49" w:rsidRPr="007D594B">
        <w:rPr>
          <w:rFonts w:ascii="Arial" w:hAnsi="Arial" w:cs="Arial"/>
          <w:sz w:val="22"/>
          <w:szCs w:val="22"/>
        </w:rPr>
        <w:t xml:space="preserve"> “wilfully” in </w:t>
      </w:r>
      <w:r w:rsidR="000A199B" w:rsidRPr="007D594B">
        <w:rPr>
          <w:rFonts w:ascii="Arial" w:hAnsi="Arial" w:cs="Arial"/>
          <w:sz w:val="22"/>
          <w:szCs w:val="22"/>
        </w:rPr>
        <w:t xml:space="preserve">a </w:t>
      </w:r>
      <w:r w:rsidR="002D4F49" w:rsidRPr="007D594B">
        <w:rPr>
          <w:rFonts w:ascii="Arial" w:hAnsi="Arial" w:cs="Arial"/>
          <w:sz w:val="22"/>
          <w:szCs w:val="22"/>
        </w:rPr>
        <w:t xml:space="preserve">statute that defined a misdemeanor </w:t>
      </w:r>
      <w:r w:rsidR="000A199B" w:rsidRPr="007D594B">
        <w:rPr>
          <w:rFonts w:ascii="Arial" w:hAnsi="Arial" w:cs="Arial"/>
          <w:sz w:val="22"/>
          <w:szCs w:val="22"/>
        </w:rPr>
        <w:t xml:space="preserve">meant </w:t>
      </w:r>
      <w:r w:rsidR="002D4F49" w:rsidRPr="007D594B">
        <w:rPr>
          <w:rFonts w:ascii="Arial" w:hAnsi="Arial" w:cs="Arial"/>
          <w:sz w:val="22"/>
          <w:szCs w:val="22"/>
        </w:rPr>
        <w:t>“knowingly</w:t>
      </w:r>
      <w:r w:rsidR="00AE671B" w:rsidRPr="007D594B">
        <w:rPr>
          <w:rFonts w:ascii="Arial" w:hAnsi="Arial" w:cs="Arial"/>
          <w:sz w:val="22"/>
          <w:szCs w:val="22"/>
        </w:rPr>
        <w:t>,</w:t>
      </w:r>
      <w:r w:rsidR="002D4F49" w:rsidRPr="007D594B">
        <w:rPr>
          <w:rFonts w:ascii="Arial" w:hAnsi="Arial" w:cs="Arial"/>
          <w:sz w:val="22"/>
          <w:szCs w:val="22"/>
        </w:rPr>
        <w:t>”</w:t>
      </w:r>
      <w:r w:rsidR="00736AA4" w:rsidRPr="007D594B">
        <w:rPr>
          <w:rFonts w:ascii="Arial" w:hAnsi="Arial" w:cs="Arial"/>
          <w:sz w:val="22"/>
          <w:szCs w:val="22"/>
        </w:rPr>
        <w:t xml:space="preserve"> </w:t>
      </w:r>
      <w:r w:rsidR="000C33AA">
        <w:rPr>
          <w:rFonts w:ascii="Arial" w:hAnsi="Arial" w:cs="Arial"/>
          <w:sz w:val="22"/>
          <w:szCs w:val="22"/>
        </w:rPr>
        <w:t xml:space="preserve">while </w:t>
      </w:r>
      <w:r w:rsidR="00B37646">
        <w:rPr>
          <w:rFonts w:ascii="Arial" w:hAnsi="Arial" w:cs="Arial"/>
          <w:sz w:val="22"/>
          <w:szCs w:val="22"/>
        </w:rPr>
        <w:t>seemingly indicating</w:t>
      </w:r>
      <w:r w:rsidR="00736AA4" w:rsidRPr="007D594B">
        <w:rPr>
          <w:rFonts w:ascii="Arial" w:hAnsi="Arial" w:cs="Arial"/>
          <w:sz w:val="22"/>
          <w:szCs w:val="22"/>
        </w:rPr>
        <w:t xml:space="preserve"> that </w:t>
      </w:r>
      <w:r w:rsidR="0058440C" w:rsidRPr="007D594B">
        <w:rPr>
          <w:rFonts w:ascii="Arial" w:hAnsi="Arial" w:cs="Arial"/>
          <w:sz w:val="22"/>
          <w:szCs w:val="22"/>
        </w:rPr>
        <w:t>“</w:t>
      </w:r>
      <w:r w:rsidR="00EA1B21" w:rsidRPr="007D594B">
        <w:rPr>
          <w:rFonts w:ascii="Arial" w:eastAsia="Times New Roman" w:hAnsi="Arial" w:cs="Arial"/>
          <w:color w:val="000000"/>
          <w:sz w:val="22"/>
          <w:szCs w:val="22"/>
        </w:rPr>
        <w:t>higher culpable mental states</w:t>
      </w:r>
      <w:r w:rsidR="00736AA4" w:rsidRPr="007D594B">
        <w:rPr>
          <w:rFonts w:ascii="Arial" w:eastAsia="Times New Roman" w:hAnsi="Arial" w:cs="Arial"/>
          <w:color w:val="000000"/>
          <w:sz w:val="22"/>
          <w:szCs w:val="22"/>
        </w:rPr>
        <w:t xml:space="preserve">” </w:t>
      </w:r>
      <w:r w:rsidR="00826871" w:rsidRPr="007D594B">
        <w:rPr>
          <w:rFonts w:ascii="Arial" w:eastAsia="Times New Roman" w:hAnsi="Arial" w:cs="Arial"/>
          <w:color w:val="000000"/>
          <w:sz w:val="22"/>
          <w:szCs w:val="22"/>
        </w:rPr>
        <w:t>were</w:t>
      </w:r>
      <w:r w:rsidR="00EA1B21" w:rsidRPr="007D594B">
        <w:rPr>
          <w:rFonts w:ascii="Arial" w:eastAsia="Times New Roman" w:hAnsi="Arial" w:cs="Arial"/>
          <w:color w:val="000000"/>
          <w:sz w:val="22"/>
          <w:szCs w:val="22"/>
        </w:rPr>
        <w:t xml:space="preserve"> </w:t>
      </w:r>
      <w:r w:rsidR="004B0A96" w:rsidRPr="007D594B">
        <w:rPr>
          <w:rFonts w:ascii="Arial" w:eastAsia="Times New Roman" w:hAnsi="Arial" w:cs="Arial"/>
          <w:color w:val="000000"/>
          <w:sz w:val="22"/>
          <w:szCs w:val="22"/>
        </w:rPr>
        <w:t>“</w:t>
      </w:r>
      <w:r w:rsidR="00EA1B21" w:rsidRPr="007D594B">
        <w:rPr>
          <w:rFonts w:ascii="Arial" w:eastAsia="Times New Roman" w:hAnsi="Arial" w:cs="Arial"/>
          <w:color w:val="000000"/>
          <w:sz w:val="22"/>
          <w:szCs w:val="22"/>
        </w:rPr>
        <w:t>appropriate for intentional crimes classified as felonies</w:t>
      </w:r>
      <w:r w:rsidR="00826871" w:rsidRPr="007D594B">
        <w:rPr>
          <w:rFonts w:ascii="Arial" w:eastAsia="Times New Roman" w:hAnsi="Arial" w:cs="Arial"/>
          <w:color w:val="000000"/>
          <w:sz w:val="22"/>
          <w:szCs w:val="22"/>
        </w:rPr>
        <w:t>.</w:t>
      </w:r>
      <w:r w:rsidR="008F4ED3" w:rsidRPr="007D594B">
        <w:rPr>
          <w:rFonts w:ascii="Arial" w:eastAsia="Times New Roman" w:hAnsi="Arial" w:cs="Arial"/>
          <w:color w:val="000000"/>
          <w:sz w:val="22"/>
          <w:szCs w:val="22"/>
        </w:rPr>
        <w:t xml:space="preserve">” </w:t>
      </w:r>
      <w:r w:rsidR="008F4ED3" w:rsidRPr="007D594B">
        <w:rPr>
          <w:rFonts w:ascii="Arial" w:eastAsia="Times New Roman" w:hAnsi="Arial" w:cs="Arial"/>
          <w:i/>
          <w:iCs/>
          <w:color w:val="000000"/>
          <w:sz w:val="22"/>
          <w:szCs w:val="22"/>
        </w:rPr>
        <w:t>Id</w:t>
      </w:r>
      <w:r w:rsidR="008F4ED3" w:rsidRPr="007D594B">
        <w:rPr>
          <w:rFonts w:ascii="Arial" w:eastAsia="Times New Roman" w:hAnsi="Arial" w:cs="Arial"/>
          <w:color w:val="000000"/>
          <w:sz w:val="22"/>
          <w:szCs w:val="22"/>
        </w:rPr>
        <w:t>.</w:t>
      </w:r>
      <w:r w:rsidR="00EA1B21" w:rsidRPr="007D594B">
        <w:rPr>
          <w:rFonts w:ascii="Arial" w:eastAsia="Times New Roman" w:hAnsi="Arial" w:cs="Arial"/>
          <w:color w:val="000000"/>
          <w:sz w:val="22"/>
          <w:szCs w:val="22"/>
        </w:rPr>
        <w:t xml:space="preserve"> </w:t>
      </w:r>
      <w:r w:rsidR="008F4ED3" w:rsidRPr="007D594B">
        <w:rPr>
          <w:rFonts w:ascii="Arial" w:eastAsia="Times New Roman" w:hAnsi="Arial" w:cs="Arial"/>
          <w:color w:val="000000"/>
          <w:sz w:val="22"/>
          <w:szCs w:val="22"/>
        </w:rPr>
        <w:t>at 855.</w:t>
      </w:r>
      <w:r w:rsidR="00075DEC" w:rsidRPr="007D594B">
        <w:rPr>
          <w:rFonts w:ascii="Arial" w:eastAsia="Times New Roman" w:hAnsi="Arial" w:cs="Arial"/>
          <w:color w:val="000000"/>
          <w:sz w:val="22"/>
          <w:szCs w:val="22"/>
        </w:rPr>
        <w:t xml:space="preserve"> </w:t>
      </w:r>
      <w:r w:rsidR="00075DEC" w:rsidRPr="007D594B">
        <w:rPr>
          <w:rFonts w:ascii="Arial" w:eastAsia="Times New Roman" w:hAnsi="Arial" w:cs="Arial"/>
          <w:i/>
          <w:iCs/>
          <w:color w:val="000000"/>
          <w:sz w:val="22"/>
          <w:szCs w:val="22"/>
        </w:rPr>
        <w:t xml:space="preserve"> </w:t>
      </w:r>
    </w:p>
    <w:p w14:paraId="661643D1" w14:textId="2DE22393" w:rsidR="00EB3B3F" w:rsidRDefault="0058638B" w:rsidP="00682F31">
      <w:pPr>
        <w:pStyle w:val="FootnoteText"/>
        <w:jc w:val="both"/>
      </w:pPr>
      <w:r w:rsidRPr="007D594B">
        <w:rPr>
          <w:rFonts w:ascii="Arial" w:eastAsia="Times New Roman" w:hAnsi="Arial" w:cs="Arial"/>
          <w:i/>
          <w:iCs/>
          <w:color w:val="000000"/>
          <w:sz w:val="22"/>
          <w:szCs w:val="22"/>
        </w:rPr>
        <w:t xml:space="preserve">       </w:t>
      </w:r>
    </w:p>
  </w:footnote>
  <w:footnote w:id="5">
    <w:p w14:paraId="49D4EF6E" w14:textId="2185BEF9" w:rsidR="0021532C" w:rsidRDefault="0021532C">
      <w:pPr>
        <w:pStyle w:val="FootnoteText"/>
      </w:pPr>
      <w:r>
        <w:rPr>
          <w:rStyle w:val="FootnoteReference"/>
        </w:rPr>
        <w:footnoteRef/>
      </w:r>
      <w:r>
        <w:t xml:space="preserve"> </w:t>
      </w:r>
      <w:r w:rsidRPr="0021532C">
        <w:rPr>
          <w:rFonts w:ascii="Arial" w:hAnsi="Arial" w:cs="Arial"/>
          <w:sz w:val="22"/>
          <w:szCs w:val="22"/>
        </w:rPr>
        <w:t>Penal Law § 265.00(</w:t>
      </w:r>
      <w:r w:rsidR="00F94E2C">
        <w:rPr>
          <w:rFonts w:ascii="Arial" w:hAnsi="Arial" w:cs="Arial"/>
          <w:sz w:val="22"/>
          <w:szCs w:val="22"/>
        </w:rPr>
        <w:t>7</w:t>
      </w:r>
      <w:r w:rsidRPr="0021532C">
        <w:rPr>
          <w:rFonts w:ascii="Arial" w:hAnsi="Arial" w:cs="Arial"/>
          <w:sz w:val="22"/>
          <w:szCs w:val="22"/>
        </w:rPr>
        <w:t>).</w:t>
      </w:r>
    </w:p>
    <w:p w14:paraId="4CCD02B0" w14:textId="77777777" w:rsidR="0021532C" w:rsidRDefault="0021532C">
      <w:pPr>
        <w:pStyle w:val="FootnoteText"/>
      </w:pPr>
    </w:p>
  </w:footnote>
  <w:footnote w:id="6">
    <w:p w14:paraId="2765C567" w14:textId="681FCD93" w:rsidR="00FD6D0F" w:rsidRPr="009A4B72" w:rsidRDefault="00FD6D0F" w:rsidP="00B87E1A">
      <w:pPr>
        <w:jc w:val="both"/>
        <w:rPr>
          <w:rFonts w:ascii="Arial" w:hAnsi="Arial" w:cs="Arial"/>
          <w:sz w:val="20"/>
          <w:szCs w:val="20"/>
        </w:rPr>
      </w:pPr>
      <w:r w:rsidRPr="00B87E1A">
        <w:rPr>
          <w:rStyle w:val="FootnoteReference"/>
          <w:rFonts w:ascii="Arial" w:hAnsi="Arial" w:cs="Arial"/>
          <w:sz w:val="22"/>
          <w:vertAlign w:val="superscript"/>
        </w:rPr>
        <w:footnoteRef/>
      </w:r>
      <w:r w:rsidRPr="00B87E1A">
        <w:rPr>
          <w:rFonts w:ascii="Arial" w:hAnsi="Arial" w:cs="Arial"/>
          <w:sz w:val="22"/>
          <w:vertAlign w:val="superscript"/>
        </w:rPr>
        <w:t xml:space="preserve"> </w:t>
      </w:r>
      <w:r w:rsidRPr="004F70C2">
        <w:rPr>
          <w:rFonts w:ascii="Arial" w:hAnsi="Arial" w:cs="Arial"/>
          <w:i/>
          <w:iCs/>
          <w:sz w:val="22"/>
        </w:rPr>
        <w:t>See</w:t>
      </w:r>
      <w:r w:rsidRPr="004F70C2">
        <w:rPr>
          <w:rFonts w:ascii="Arial" w:hAnsi="Arial" w:cs="Arial"/>
          <w:sz w:val="22"/>
        </w:rPr>
        <w:t xml:space="preserve"> Penal Law § 265.00(23), as amended by </w:t>
      </w:r>
      <w:bookmarkStart w:id="1" w:name="_Hlk120812127"/>
      <w:r w:rsidRPr="004F70C2">
        <w:rPr>
          <w:rFonts w:ascii="Arial" w:hAnsi="Arial" w:cs="Arial"/>
          <w:sz w:val="22"/>
        </w:rPr>
        <w:t>L. 2022, ch. 209, effective July 6, 2022</w:t>
      </w:r>
      <w:bookmarkEnd w:id="1"/>
      <w:r w:rsidRPr="004F70C2">
        <w:rPr>
          <w:rFonts w:ascii="Arial" w:hAnsi="Arial" w:cs="Arial"/>
          <w:sz w:val="22"/>
        </w:rPr>
        <w:t>.</w:t>
      </w:r>
      <w:r>
        <w:rPr>
          <w:rFonts w:ascii="Arial" w:hAnsi="Arial" w:cs="Arial"/>
          <w:sz w:val="22"/>
        </w:rPr>
        <w:t xml:space="preserve"> </w:t>
      </w:r>
      <w:r w:rsidRPr="004F70C2">
        <w:rPr>
          <w:rFonts w:ascii="Arial" w:hAnsi="Arial" w:cs="Arial"/>
          <w:sz w:val="22"/>
        </w:rPr>
        <w:t>As may be appropriate to include, the statutory definition of “large capacity feeding device” continues: “provided,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w:t>
      </w:r>
      <w:r w:rsidRPr="009A4B72">
        <w:rPr>
          <w:rFonts w:ascii="Arial" w:hAnsi="Arial" w:cs="Arial"/>
          <w:sz w:val="20"/>
          <w:szCs w:val="20"/>
        </w:rPr>
        <w:t xml:space="preserve">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r w:rsidRPr="00D8718D">
        <w:rPr>
          <w:rFonts w:ascii="Arial" w:hAnsi="Arial" w:cs="Arial"/>
          <w:sz w:val="20"/>
          <w:szCs w:val="20"/>
        </w:rPr>
        <w:t>.”</w:t>
      </w:r>
    </w:p>
    <w:p w14:paraId="0652C8F4" w14:textId="77777777" w:rsidR="00FD6D0F" w:rsidRDefault="00FD6D0F" w:rsidP="00FD6D0F">
      <w:pPr>
        <w:ind w:right="144"/>
        <w:rPr>
          <w:rFonts w:ascii="Arial" w:hAnsi="Arial" w:cs="Arial"/>
        </w:rPr>
      </w:pPr>
    </w:p>
  </w:footnote>
  <w:footnote w:id="7">
    <w:p w14:paraId="01ECE3C9" w14:textId="77777777" w:rsidR="004B34A4" w:rsidRDefault="004B34A4" w:rsidP="004B34A4">
      <w:pPr>
        <w:ind w:right="-1440"/>
        <w:rPr>
          <w:rFonts w:ascii="Yu Gothic UI" w:eastAsia="Yu Gothic UI" w:cs="Yu Gothic UI"/>
          <w:b/>
          <w:bCs/>
        </w:rPr>
      </w:pPr>
      <w:r>
        <w:rPr>
          <w:rStyle w:val="FootnoteReference"/>
          <w:rFonts w:ascii="Arial" w:hAnsi="Arial" w:cs="Arial"/>
          <w:vertAlign w:val="superscript"/>
        </w:rPr>
        <w:footnoteRef/>
      </w:r>
      <w:r>
        <w:rPr>
          <w:rFonts w:ascii="Arial" w:hAnsi="Arial" w:cs="Arial"/>
        </w:rPr>
        <w:t xml:space="preserve"> </w:t>
      </w:r>
      <w:r>
        <w:rPr>
          <w:rFonts w:ascii="Arial" w:hAnsi="Arial" w:cs="Arial"/>
          <w:i/>
          <w:iCs/>
        </w:rPr>
        <w:t>See</w:t>
      </w:r>
      <w:r>
        <w:rPr>
          <w:rFonts w:ascii="Arial" w:hAnsi="Arial" w:cs="Arial"/>
        </w:rPr>
        <w:t xml:space="preserve"> Penal Law </w:t>
      </w:r>
      <w:r>
        <w:rPr>
          <w:rFonts w:ascii="Arial" w:hAnsi="Arial" w:cs="Arial"/>
        </w:rPr>
        <w:sym w:font="WP TypographicSymbols" w:char="0027"/>
      </w:r>
      <w:r>
        <w:rPr>
          <w:rFonts w:ascii="Arial" w:hAnsi="Arial" w:cs="Arial"/>
        </w:rPr>
        <w:t xml:space="preserve"> 265.00(1).   </w:t>
      </w:r>
      <w:r>
        <w:rPr>
          <w:rFonts w:ascii="Yu Gothic UI" w:eastAsia="Yu Gothic UI" w:cs="Yu Gothic UI"/>
          <w:b/>
          <w:bCs/>
        </w:rPr>
        <w:t xml:space="preserve"> </w:t>
      </w:r>
    </w:p>
    <w:p w14:paraId="77EB4F43" w14:textId="77777777" w:rsidR="004B34A4" w:rsidRPr="00DB51FD" w:rsidRDefault="004B34A4" w:rsidP="004B34A4">
      <w:pPr>
        <w:ind w:right="144"/>
        <w:rPr>
          <w:rFonts w:ascii="Yu Gothic UI" w:eastAsia="Yu Gothic UI" w:cs="Yu Gothic UI"/>
          <w:b/>
          <w:bCs/>
        </w:rPr>
      </w:pPr>
    </w:p>
  </w:footnote>
  <w:footnote w:id="8">
    <w:p w14:paraId="26748080" w14:textId="496D6756" w:rsidR="004E1BAE" w:rsidRDefault="004E1BAE" w:rsidP="00754F20">
      <w:pPr>
        <w:ind w:right="-720"/>
        <w:jc w:val="both"/>
        <w:rPr>
          <w:rFonts w:ascii="Arial" w:hAnsi="Arial" w:cs="Arial"/>
          <w:sz w:val="22"/>
          <w:szCs w:val="22"/>
        </w:rPr>
      </w:pPr>
      <w:r w:rsidRPr="00754F20">
        <w:rPr>
          <w:rStyle w:val="FootnoteReference"/>
          <w:rFonts w:ascii="Arial" w:hAnsi="Arial" w:cs="Arial"/>
          <w:sz w:val="22"/>
          <w:szCs w:val="22"/>
          <w:vertAlign w:val="superscript"/>
        </w:rPr>
        <w:footnoteRef/>
      </w:r>
      <w:r w:rsidR="00F763F3" w:rsidRPr="00754F20">
        <w:rPr>
          <w:rFonts w:ascii="Arial" w:hAnsi="Arial" w:cs="Arial"/>
          <w:sz w:val="22"/>
          <w:szCs w:val="22"/>
        </w:rPr>
        <w:t xml:space="preserve"> </w:t>
      </w:r>
      <w:r w:rsidR="00754F20" w:rsidRPr="00754F20">
        <w:rPr>
          <w:rFonts w:ascii="Arial" w:hAnsi="Arial" w:cs="Arial"/>
          <w:sz w:val="22"/>
          <w:szCs w:val="22"/>
        </w:rPr>
        <w:t xml:space="preserve">Penal Law § 265.00(3).  The statutory definition of a “firearm” includes other weapons.  If, therefore, a firearm, other than a pistol or revolver, is in issue, see </w:t>
      </w:r>
      <w:r w:rsidR="00754F20" w:rsidRPr="00754F20">
        <w:rPr>
          <w:rFonts w:ascii="Arial" w:hAnsi="Arial" w:cs="Arial"/>
          <w:b/>
          <w:bCs/>
          <w:sz w:val="22"/>
          <w:szCs w:val="22"/>
        </w:rPr>
        <w:t>“</w:t>
      </w:r>
      <w:r w:rsidR="00754F20" w:rsidRPr="00754F20">
        <w:rPr>
          <w:rFonts w:ascii="Arial" w:hAnsi="Arial" w:cs="Arial"/>
          <w:sz w:val="22"/>
          <w:szCs w:val="22"/>
        </w:rPr>
        <w:t>DEFINITION OF FIREARM AS OTHER THAN A PISTOL OR REVOLVER” in</w:t>
      </w:r>
      <w:r w:rsidR="00754F20" w:rsidRPr="00754F20">
        <w:rPr>
          <w:rFonts w:ascii="Arial" w:hAnsi="Arial" w:cs="Arial"/>
          <w:b/>
          <w:bCs/>
          <w:sz w:val="22"/>
          <w:szCs w:val="22"/>
        </w:rPr>
        <w:t xml:space="preserve"> </w:t>
      </w:r>
      <w:r w:rsidR="00754F20" w:rsidRPr="00754F20">
        <w:rPr>
          <w:rFonts w:ascii="Arial" w:hAnsi="Arial" w:cs="Arial"/>
          <w:sz w:val="22"/>
          <w:szCs w:val="22"/>
        </w:rPr>
        <w:t>"Additional Charges” at the end of the Table of Contents for Penal Law article 265 crimes.</w:t>
      </w:r>
    </w:p>
    <w:p w14:paraId="0A711EEB" w14:textId="77777777" w:rsidR="00754F20" w:rsidRPr="00754F20" w:rsidRDefault="00754F20" w:rsidP="00754F20">
      <w:pPr>
        <w:ind w:right="-720"/>
        <w:jc w:val="both"/>
        <w:rPr>
          <w:rFonts w:ascii="Arial" w:hAnsi="Arial" w:cs="Arial"/>
          <w:sz w:val="22"/>
          <w:szCs w:val="22"/>
        </w:rPr>
      </w:pPr>
    </w:p>
  </w:footnote>
  <w:footnote w:id="9">
    <w:p w14:paraId="071EEA6D" w14:textId="6BA3010C" w:rsidR="009C09BB" w:rsidRPr="00754F20" w:rsidRDefault="009C09BB" w:rsidP="00A1338E">
      <w:pPr>
        <w:spacing w:after="240"/>
        <w:ind w:right="-864"/>
        <w:jc w:val="both"/>
        <w:rPr>
          <w:rFonts w:ascii="Arial" w:hAnsi="Arial" w:cs="Arial"/>
          <w:sz w:val="22"/>
          <w:szCs w:val="22"/>
        </w:rPr>
      </w:pPr>
      <w:r w:rsidRPr="00754F20">
        <w:rPr>
          <w:rStyle w:val="FootnoteReference"/>
          <w:rFonts w:ascii="Arial" w:hAnsi="Arial" w:cs="Arial"/>
          <w:sz w:val="22"/>
          <w:szCs w:val="22"/>
          <w:vertAlign w:val="superscript"/>
        </w:rPr>
        <w:footnoteRef/>
      </w:r>
      <w:r w:rsidR="009F2FBA" w:rsidRPr="00754F20">
        <w:rPr>
          <w:rFonts w:ascii="Arial" w:hAnsi="Arial" w:cs="Arial"/>
          <w:sz w:val="22"/>
          <w:szCs w:val="22"/>
        </w:rPr>
        <w:t xml:space="preserve"> </w:t>
      </w:r>
      <w:r w:rsidRPr="00754F20">
        <w:rPr>
          <w:rFonts w:ascii="Arial" w:hAnsi="Arial" w:cs="Arial"/>
          <w:sz w:val="22"/>
          <w:szCs w:val="22"/>
        </w:rPr>
        <w:t xml:space="preserve">Case law has added "operability" of the firearm </w:t>
      </w:r>
      <w:r w:rsidR="00126013" w:rsidRPr="00754F20">
        <w:rPr>
          <w:rFonts w:ascii="Arial" w:hAnsi="Arial" w:cs="Arial"/>
          <w:sz w:val="22"/>
          <w:szCs w:val="22"/>
        </w:rPr>
        <w:t xml:space="preserve">to its </w:t>
      </w:r>
      <w:r w:rsidR="009F2FBA" w:rsidRPr="00754F20">
        <w:rPr>
          <w:rFonts w:ascii="Arial" w:hAnsi="Arial" w:cs="Arial"/>
          <w:sz w:val="22"/>
          <w:szCs w:val="22"/>
        </w:rPr>
        <w:t>definition</w:t>
      </w:r>
      <w:r w:rsidR="00126013" w:rsidRPr="00754F20">
        <w:rPr>
          <w:rFonts w:ascii="Arial" w:hAnsi="Arial" w:cs="Arial"/>
          <w:sz w:val="22"/>
          <w:szCs w:val="22"/>
        </w:rPr>
        <w:t xml:space="preserve"> [</w:t>
      </w:r>
      <w:r w:rsidRPr="00754F20">
        <w:rPr>
          <w:rFonts w:ascii="Arial" w:hAnsi="Arial" w:cs="Arial"/>
          <w:i/>
          <w:iCs/>
          <w:sz w:val="22"/>
          <w:szCs w:val="22"/>
        </w:rPr>
        <w:t>People v. Longshore,</w:t>
      </w:r>
      <w:r w:rsidRPr="00754F20">
        <w:rPr>
          <w:rFonts w:ascii="Arial" w:hAnsi="Arial" w:cs="Arial"/>
          <w:sz w:val="22"/>
          <w:szCs w:val="22"/>
        </w:rPr>
        <w:t xml:space="preserve"> 86 NY2d 851, 852 </w:t>
      </w:r>
      <w:r w:rsidR="00D63437" w:rsidRPr="00754F20">
        <w:rPr>
          <w:rFonts w:ascii="Arial" w:hAnsi="Arial" w:cs="Arial"/>
          <w:sz w:val="22"/>
          <w:szCs w:val="22"/>
        </w:rPr>
        <w:t>(</w:t>
      </w:r>
      <w:r w:rsidRPr="00754F20">
        <w:rPr>
          <w:rFonts w:ascii="Arial" w:hAnsi="Arial" w:cs="Arial"/>
          <w:sz w:val="22"/>
          <w:szCs w:val="22"/>
        </w:rPr>
        <w:t>1995)</w:t>
      </w:r>
      <w:r w:rsidR="00F326AC" w:rsidRPr="00754F20">
        <w:rPr>
          <w:rFonts w:ascii="Arial" w:hAnsi="Arial" w:cs="Arial"/>
          <w:sz w:val="22"/>
          <w:szCs w:val="22"/>
        </w:rPr>
        <w:t>]</w:t>
      </w:r>
      <w:r w:rsidRPr="00754F20">
        <w:rPr>
          <w:rFonts w:ascii="Arial" w:hAnsi="Arial" w:cs="Arial"/>
          <w:sz w:val="22"/>
          <w:szCs w:val="22"/>
        </w:rPr>
        <w:t xml:space="preserve">, but </w:t>
      </w:r>
      <w:r w:rsidR="00F326AC" w:rsidRPr="00754F20">
        <w:rPr>
          <w:rFonts w:ascii="Arial" w:hAnsi="Arial" w:cs="Arial"/>
          <w:sz w:val="22"/>
          <w:szCs w:val="22"/>
        </w:rPr>
        <w:t xml:space="preserve">it </w:t>
      </w:r>
      <w:r w:rsidRPr="00754F20">
        <w:rPr>
          <w:rFonts w:ascii="Arial" w:hAnsi="Arial" w:cs="Arial"/>
          <w:sz w:val="22"/>
          <w:szCs w:val="22"/>
        </w:rPr>
        <w:t xml:space="preserve">has further held that there is no requirement that the possessor know the firearm was operable.  </w:t>
      </w:r>
      <w:r w:rsidRPr="00754F20">
        <w:rPr>
          <w:rFonts w:ascii="Arial" w:hAnsi="Arial" w:cs="Arial"/>
          <w:i/>
          <w:iCs/>
          <w:sz w:val="22"/>
          <w:szCs w:val="22"/>
        </w:rPr>
        <w:t>People v. Ansare,</w:t>
      </w:r>
      <w:r w:rsidRPr="00754F20">
        <w:rPr>
          <w:rFonts w:ascii="Arial" w:hAnsi="Arial" w:cs="Arial"/>
          <w:sz w:val="22"/>
          <w:szCs w:val="22"/>
        </w:rPr>
        <w:t xml:space="preserve"> 96 AD2d 96 (4th Dept 1983). </w:t>
      </w:r>
      <w:r w:rsidRPr="00754F20">
        <w:rPr>
          <w:rFonts w:ascii="Arial" w:hAnsi="Arial" w:cs="Arial"/>
          <w:i/>
          <w:iCs/>
          <w:sz w:val="22"/>
          <w:szCs w:val="22"/>
        </w:rPr>
        <w:t>Cf.</w:t>
      </w:r>
      <w:r w:rsidRPr="00754F20">
        <w:rPr>
          <w:rFonts w:ascii="Arial" w:hAnsi="Arial" w:cs="Arial"/>
          <w:sz w:val="22"/>
          <w:szCs w:val="22"/>
        </w:rPr>
        <w:t xml:space="preserve"> </w:t>
      </w:r>
      <w:r w:rsidRPr="00754F20">
        <w:rPr>
          <w:rFonts w:ascii="Arial" w:hAnsi="Arial" w:cs="Arial"/>
          <w:i/>
          <w:iCs/>
          <w:sz w:val="22"/>
          <w:szCs w:val="22"/>
        </w:rPr>
        <w:t>People v. Saunders,</w:t>
      </w:r>
      <w:r w:rsidRPr="00754F20">
        <w:rPr>
          <w:rFonts w:ascii="Arial" w:hAnsi="Arial" w:cs="Arial"/>
          <w:sz w:val="22"/>
          <w:szCs w:val="22"/>
        </w:rPr>
        <w:t xml:space="preserve"> 85 NY2d 339, 341-42 (1995).</w:t>
      </w:r>
    </w:p>
  </w:footnote>
  <w:footnote w:id="10">
    <w:p w14:paraId="5180AAA9" w14:textId="1F1A3DEA" w:rsidR="009C09BB" w:rsidRPr="00754F20" w:rsidRDefault="009C09BB" w:rsidP="00A1338E">
      <w:pPr>
        <w:pStyle w:val="FootnoteText"/>
        <w:rPr>
          <w:sz w:val="22"/>
          <w:szCs w:val="22"/>
        </w:rPr>
      </w:pPr>
      <w:r w:rsidRPr="00754F20">
        <w:rPr>
          <w:rStyle w:val="FootnoteReference"/>
          <w:rFonts w:ascii="Arial" w:hAnsi="Arial" w:cs="Arial"/>
          <w:sz w:val="22"/>
          <w:szCs w:val="22"/>
        </w:rPr>
        <w:footnoteRef/>
      </w:r>
      <w:r w:rsidRPr="00754F20">
        <w:rPr>
          <w:rFonts w:ascii="Arial" w:hAnsi="Arial" w:cs="Arial"/>
          <w:sz w:val="22"/>
          <w:szCs w:val="22"/>
        </w:rPr>
        <w:t xml:space="preserve"> </w:t>
      </w:r>
      <w:r w:rsidRPr="00754F20">
        <w:rPr>
          <w:rFonts w:ascii="Arial" w:eastAsia="Yu Gothic UI" w:hAnsi="Arial" w:cs="Arial"/>
          <w:sz w:val="22"/>
          <w:szCs w:val="22"/>
        </w:rPr>
        <w:t xml:space="preserve">Penal Law w </w:t>
      </w:r>
      <w:r w:rsidR="00DB51FD" w:rsidRPr="00754F20">
        <w:rPr>
          <w:rFonts w:ascii="Arial" w:eastAsia="Yu Gothic UI" w:hAnsi="Arial" w:cs="Arial"/>
          <w:sz w:val="22"/>
          <w:szCs w:val="22"/>
        </w:rPr>
        <w:t xml:space="preserve">§ </w:t>
      </w:r>
      <w:r w:rsidRPr="00754F20">
        <w:rPr>
          <w:rFonts w:ascii="Arial" w:eastAsia="Yu Gothic UI" w:hAnsi="Arial" w:cs="Arial"/>
          <w:sz w:val="22"/>
          <w:szCs w:val="22"/>
        </w:rPr>
        <w:t>265.15 (5</w:t>
      </w:r>
      <w:r w:rsidR="00DB51FD" w:rsidRPr="00754F20">
        <w:rPr>
          <w:rFonts w:ascii="Arial" w:eastAsia="Yu Gothic UI" w:hAnsi="Arial"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2024"/>
    <w:multiLevelType w:val="hybridMultilevel"/>
    <w:tmpl w:val="9ED605D6"/>
    <w:lvl w:ilvl="0" w:tplc="1734887C">
      <w:start w:val="1"/>
      <w:numFmt w:val="decimal"/>
      <w:lvlText w:val="%1."/>
      <w:lvlJc w:val="left"/>
      <w:pPr>
        <w:ind w:left="3600" w:hanging="720"/>
      </w:pPr>
      <w:rPr>
        <w:rFonts w:hint="default"/>
        <w:i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8225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AE"/>
    <w:rsid w:val="0003264E"/>
    <w:rsid w:val="000335B7"/>
    <w:rsid w:val="000476EA"/>
    <w:rsid w:val="00055D4E"/>
    <w:rsid w:val="00062ABE"/>
    <w:rsid w:val="00075DEC"/>
    <w:rsid w:val="00094519"/>
    <w:rsid w:val="000A199B"/>
    <w:rsid w:val="000A482B"/>
    <w:rsid w:val="000A4982"/>
    <w:rsid w:val="000B75EE"/>
    <w:rsid w:val="000C33AA"/>
    <w:rsid w:val="000D1643"/>
    <w:rsid w:val="000D17B8"/>
    <w:rsid w:val="000E7790"/>
    <w:rsid w:val="000F2B1E"/>
    <w:rsid w:val="000F7717"/>
    <w:rsid w:val="00103ADA"/>
    <w:rsid w:val="00123D5D"/>
    <w:rsid w:val="00126013"/>
    <w:rsid w:val="00145453"/>
    <w:rsid w:val="0017374E"/>
    <w:rsid w:val="001E6355"/>
    <w:rsid w:val="0021532C"/>
    <w:rsid w:val="00222957"/>
    <w:rsid w:val="00232EE7"/>
    <w:rsid w:val="00254877"/>
    <w:rsid w:val="002D4F49"/>
    <w:rsid w:val="002D7358"/>
    <w:rsid w:val="002F6AE4"/>
    <w:rsid w:val="00311B20"/>
    <w:rsid w:val="00336FAD"/>
    <w:rsid w:val="0035059F"/>
    <w:rsid w:val="00356966"/>
    <w:rsid w:val="00391E1D"/>
    <w:rsid w:val="003A11C6"/>
    <w:rsid w:val="003C25CF"/>
    <w:rsid w:val="003E0689"/>
    <w:rsid w:val="00412B79"/>
    <w:rsid w:val="004637C1"/>
    <w:rsid w:val="0047659F"/>
    <w:rsid w:val="004828CC"/>
    <w:rsid w:val="00487E69"/>
    <w:rsid w:val="004B0A96"/>
    <w:rsid w:val="004B2D14"/>
    <w:rsid w:val="004B34A4"/>
    <w:rsid w:val="004D304A"/>
    <w:rsid w:val="004E1BAE"/>
    <w:rsid w:val="004F407D"/>
    <w:rsid w:val="00503D58"/>
    <w:rsid w:val="005118A8"/>
    <w:rsid w:val="005130DB"/>
    <w:rsid w:val="0058440C"/>
    <w:rsid w:val="0058638B"/>
    <w:rsid w:val="00597403"/>
    <w:rsid w:val="005A2754"/>
    <w:rsid w:val="005A60F0"/>
    <w:rsid w:val="005F7233"/>
    <w:rsid w:val="006011B6"/>
    <w:rsid w:val="00601934"/>
    <w:rsid w:val="006151A2"/>
    <w:rsid w:val="00632B1B"/>
    <w:rsid w:val="006444DD"/>
    <w:rsid w:val="00682F31"/>
    <w:rsid w:val="006879BF"/>
    <w:rsid w:val="006968CE"/>
    <w:rsid w:val="006B1359"/>
    <w:rsid w:val="006B7B2B"/>
    <w:rsid w:val="006F1D2B"/>
    <w:rsid w:val="00736AA4"/>
    <w:rsid w:val="00754F20"/>
    <w:rsid w:val="00774802"/>
    <w:rsid w:val="007C4249"/>
    <w:rsid w:val="007D594B"/>
    <w:rsid w:val="007E7032"/>
    <w:rsid w:val="00826871"/>
    <w:rsid w:val="00857BCA"/>
    <w:rsid w:val="008F4ED3"/>
    <w:rsid w:val="009132A3"/>
    <w:rsid w:val="00917819"/>
    <w:rsid w:val="00922876"/>
    <w:rsid w:val="009309E7"/>
    <w:rsid w:val="00934C74"/>
    <w:rsid w:val="00943009"/>
    <w:rsid w:val="00957E29"/>
    <w:rsid w:val="009904DA"/>
    <w:rsid w:val="00994BB7"/>
    <w:rsid w:val="009C09BB"/>
    <w:rsid w:val="009E0857"/>
    <w:rsid w:val="009E360D"/>
    <w:rsid w:val="009F2FBA"/>
    <w:rsid w:val="009F4BC4"/>
    <w:rsid w:val="00A01E6E"/>
    <w:rsid w:val="00A1338E"/>
    <w:rsid w:val="00A64A5A"/>
    <w:rsid w:val="00A76EB4"/>
    <w:rsid w:val="00A8088F"/>
    <w:rsid w:val="00A82583"/>
    <w:rsid w:val="00A87E8C"/>
    <w:rsid w:val="00AB3FDA"/>
    <w:rsid w:val="00AE671B"/>
    <w:rsid w:val="00B115D3"/>
    <w:rsid w:val="00B37646"/>
    <w:rsid w:val="00B633F1"/>
    <w:rsid w:val="00B703FB"/>
    <w:rsid w:val="00B87E1A"/>
    <w:rsid w:val="00BA5DB5"/>
    <w:rsid w:val="00BB0049"/>
    <w:rsid w:val="00C207B8"/>
    <w:rsid w:val="00C94241"/>
    <w:rsid w:val="00CE2AA7"/>
    <w:rsid w:val="00CF5A71"/>
    <w:rsid w:val="00D14821"/>
    <w:rsid w:val="00D40171"/>
    <w:rsid w:val="00D63437"/>
    <w:rsid w:val="00D830A6"/>
    <w:rsid w:val="00D9236B"/>
    <w:rsid w:val="00DB51FD"/>
    <w:rsid w:val="00DE6D21"/>
    <w:rsid w:val="00DF7709"/>
    <w:rsid w:val="00E539E0"/>
    <w:rsid w:val="00E8692F"/>
    <w:rsid w:val="00E9003F"/>
    <w:rsid w:val="00EA1913"/>
    <w:rsid w:val="00EA1B21"/>
    <w:rsid w:val="00EA4F47"/>
    <w:rsid w:val="00EB3B3F"/>
    <w:rsid w:val="00EE6B29"/>
    <w:rsid w:val="00EF5AF7"/>
    <w:rsid w:val="00F022AA"/>
    <w:rsid w:val="00F326AC"/>
    <w:rsid w:val="00F64374"/>
    <w:rsid w:val="00F679B7"/>
    <w:rsid w:val="00F763F3"/>
    <w:rsid w:val="00F94813"/>
    <w:rsid w:val="00F94E2C"/>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CB3E0"/>
  <w14:defaultImageDpi w14:val="0"/>
  <w15:docId w15:val="{29087D7E-86E3-42F1-93F5-6FB4F8E5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774802"/>
    <w:rPr>
      <w:sz w:val="20"/>
      <w:szCs w:val="20"/>
    </w:rPr>
  </w:style>
  <w:style w:type="character" w:customStyle="1" w:styleId="FootnoteTextChar">
    <w:name w:val="Footnote Text Char"/>
    <w:basedOn w:val="DefaultParagraphFont"/>
    <w:link w:val="FootnoteText"/>
    <w:uiPriority w:val="99"/>
    <w:rsid w:val="00774802"/>
    <w:rPr>
      <w:rFonts w:ascii="Times New Roman" w:hAnsi="Times New Roman" w:cs="Times New Roman"/>
      <w:sz w:val="20"/>
      <w:szCs w:val="20"/>
    </w:rPr>
  </w:style>
  <w:style w:type="paragraph" w:styleId="ListParagraph">
    <w:name w:val="List Paragraph"/>
    <w:basedOn w:val="Normal"/>
    <w:uiPriority w:val="34"/>
    <w:qFormat/>
    <w:rsid w:val="00F679B7"/>
    <w:pPr>
      <w:ind w:left="720"/>
      <w:contextualSpacing/>
    </w:pPr>
  </w:style>
  <w:style w:type="character" w:styleId="Hyperlink">
    <w:name w:val="Hyperlink"/>
    <w:basedOn w:val="DefaultParagraphFont"/>
    <w:uiPriority w:val="99"/>
    <w:unhideWhenUsed/>
    <w:rsid w:val="00A01E6E"/>
    <w:rPr>
      <w:color w:val="0563C1" w:themeColor="hyperlink"/>
      <w:u w:val="single"/>
    </w:rPr>
  </w:style>
  <w:style w:type="character" w:styleId="UnresolvedMention">
    <w:name w:val="Unresolved Mention"/>
    <w:basedOn w:val="DefaultParagraphFont"/>
    <w:uiPriority w:val="99"/>
    <w:semiHidden/>
    <w:unhideWhenUsed/>
    <w:rsid w:val="00A0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728">
      <w:bodyDiv w:val="1"/>
      <w:marLeft w:val="0"/>
      <w:marRight w:val="0"/>
      <w:marTop w:val="0"/>
      <w:marBottom w:val="0"/>
      <w:divBdr>
        <w:top w:val="none" w:sz="0" w:space="0" w:color="auto"/>
        <w:left w:val="none" w:sz="0" w:space="0" w:color="auto"/>
        <w:bottom w:val="none" w:sz="0" w:space="0" w:color="auto"/>
        <w:right w:val="none" w:sz="0" w:space="0" w:color="auto"/>
      </w:divBdr>
      <w:divsChild>
        <w:div w:id="1237396213">
          <w:marLeft w:val="0"/>
          <w:marRight w:val="0"/>
          <w:marTop w:val="0"/>
          <w:marBottom w:val="0"/>
          <w:divBdr>
            <w:top w:val="none" w:sz="0" w:space="0" w:color="auto"/>
            <w:left w:val="none" w:sz="0" w:space="0" w:color="auto"/>
            <w:bottom w:val="none" w:sz="0" w:space="0" w:color="auto"/>
            <w:right w:val="none" w:sz="0" w:space="0" w:color="auto"/>
          </w:divBdr>
          <w:divsChild>
            <w:div w:id="1802578665">
              <w:marLeft w:val="0"/>
              <w:marRight w:val="0"/>
              <w:marTop w:val="0"/>
              <w:marBottom w:val="0"/>
              <w:divBdr>
                <w:top w:val="none" w:sz="0" w:space="0" w:color="auto"/>
                <w:left w:val="none" w:sz="0" w:space="0" w:color="auto"/>
                <w:bottom w:val="none" w:sz="0" w:space="0" w:color="auto"/>
                <w:right w:val="none" w:sz="0" w:space="0" w:color="auto"/>
              </w:divBdr>
              <w:divsChild>
                <w:div w:id="2190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0443">
      <w:bodyDiv w:val="1"/>
      <w:marLeft w:val="0"/>
      <w:marRight w:val="0"/>
      <w:marTop w:val="0"/>
      <w:marBottom w:val="0"/>
      <w:divBdr>
        <w:top w:val="none" w:sz="0" w:space="0" w:color="auto"/>
        <w:left w:val="none" w:sz="0" w:space="0" w:color="auto"/>
        <w:bottom w:val="none" w:sz="0" w:space="0" w:color="auto"/>
        <w:right w:val="none" w:sz="0" w:space="0" w:color="auto"/>
      </w:divBdr>
      <w:divsChild>
        <w:div w:id="1614360186">
          <w:marLeft w:val="0"/>
          <w:marRight w:val="0"/>
          <w:marTop w:val="0"/>
          <w:marBottom w:val="0"/>
          <w:divBdr>
            <w:top w:val="none" w:sz="0" w:space="0" w:color="auto"/>
            <w:left w:val="none" w:sz="0" w:space="0" w:color="auto"/>
            <w:bottom w:val="none" w:sz="0" w:space="0" w:color="auto"/>
            <w:right w:val="none" w:sz="0" w:space="0" w:color="auto"/>
          </w:divBdr>
          <w:divsChild>
            <w:div w:id="1720931353">
              <w:marLeft w:val="0"/>
              <w:marRight w:val="0"/>
              <w:marTop w:val="0"/>
              <w:marBottom w:val="0"/>
              <w:divBdr>
                <w:top w:val="none" w:sz="0" w:space="0" w:color="auto"/>
                <w:left w:val="none" w:sz="0" w:space="0" w:color="auto"/>
                <w:bottom w:val="none" w:sz="0" w:space="0" w:color="auto"/>
                <w:right w:val="none" w:sz="0" w:space="0" w:color="auto"/>
              </w:divBdr>
              <w:divsChild>
                <w:div w:id="5453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DA5D-C893-480F-BCAA-4407D22D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452</Words>
  <Characters>2371</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43</cp:revision>
  <cp:lastPrinted>2022-12-02T00:20:00Z</cp:lastPrinted>
  <dcterms:created xsi:type="dcterms:W3CDTF">2020-08-24T18:46:00Z</dcterms:created>
  <dcterms:modified xsi:type="dcterms:W3CDTF">2022-12-02T00:20:00Z</dcterms:modified>
</cp:coreProperties>
</file>