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4A2" w14:textId="77777777" w:rsidR="00AC158F" w:rsidRDefault="00FC3B40">
      <w:pPr>
        <w:spacing w:before="10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PRESUMPTION OF POSSESSION</w:t>
      </w:r>
    </w:p>
    <w:p w14:paraId="1FC604A3" w14:textId="77777777" w:rsidR="00AC158F" w:rsidRDefault="00FC3B40">
      <w:pPr>
        <w:spacing w:line="331" w:lineRule="exact"/>
        <w:ind w:left="720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FROM PRESENCE OF WEAPON IN AUTOMOBILE</w:t>
      </w:r>
    </w:p>
    <w:p w14:paraId="1FC604A4" w14:textId="77777777" w:rsidR="00AC158F" w:rsidRDefault="00FC3B40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Penal Law § 265.15 (3)</w:t>
      </w:r>
    </w:p>
    <w:p w14:paraId="1FC604A5" w14:textId="77777777" w:rsidR="00AC158F" w:rsidRDefault="00FC3B40">
      <w:pPr>
        <w:spacing w:before="317" w:line="325" w:lineRule="exact"/>
        <w:ind w:firstLine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the presence in an automobile [other than a stolen one or a public omnibus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28"/>
        </w:rPr>
        <w:t>], of:</w:t>
      </w:r>
    </w:p>
    <w:p w14:paraId="1FC604A6" w14:textId="77777777" w:rsidR="00AC158F" w:rsidRDefault="00FC3B40">
      <w:pPr>
        <w:spacing w:before="333" w:line="317" w:lineRule="exact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Select appropriate alternative:</w:t>
      </w:r>
    </w:p>
    <w:p w14:paraId="1FC604A7" w14:textId="77777777" w:rsidR="00AC158F" w:rsidRDefault="00FC3B40">
      <w:pPr>
        <w:spacing w:before="320" w:line="325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any firearm</w:t>
      </w:r>
    </w:p>
    <w:p w14:paraId="1FC604A8" w14:textId="77777777" w:rsidR="00AC158F" w:rsidRDefault="00FC3B40">
      <w:pPr>
        <w:spacing w:line="317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large capacity ammunition feeding device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1FC604A9" w14:textId="77777777" w:rsidR="00AC158F" w:rsidRDefault="00FC3B40">
      <w:pPr>
        <w:spacing w:before="6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defaced firearm</w:t>
      </w:r>
    </w:p>
    <w:p w14:paraId="1FC604AA" w14:textId="77777777" w:rsidR="00AC158F" w:rsidRDefault="00FC3B40">
      <w:pPr>
        <w:spacing w:line="321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defaced rifle or shotgun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1FC604AB" w14:textId="77777777" w:rsidR="00AC158F" w:rsidRDefault="00FC3B40">
      <w:pPr>
        <w:spacing w:line="324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defaced large capacity ammunition feeding device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1FC604AC" w14:textId="77777777" w:rsidR="00AC158F" w:rsidRDefault="00FC3B40">
      <w:pPr>
        <w:spacing w:line="324" w:lineRule="exact"/>
        <w:textAlignment w:val="baseline"/>
        <w:rPr>
          <w:rFonts w:ascii="Arial" w:eastAsia="Arial" w:hAnsi="Arial"/>
          <w:color w:val="000000"/>
          <w:spacing w:val="1"/>
          <w:sz w:val="28"/>
        </w:rPr>
      </w:pPr>
      <w:r>
        <w:rPr>
          <w:rFonts w:ascii="Arial" w:eastAsia="Arial" w:hAnsi="Arial"/>
          <w:color w:val="000000"/>
          <w:spacing w:val="1"/>
          <w:sz w:val="28"/>
        </w:rPr>
        <w:t>firearm silencer</w:t>
      </w:r>
    </w:p>
    <w:p w14:paraId="1FC604AD" w14:textId="77777777" w:rsidR="00AC158F" w:rsidRDefault="00FC3B40">
      <w:pPr>
        <w:spacing w:line="322" w:lineRule="exact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explosive or incendiary</w:t>
      </w:r>
      <w:r>
        <w:rPr>
          <w:rFonts w:ascii="Arial" w:eastAsia="Arial" w:hAnsi="Arial"/>
          <w:color w:val="000000"/>
          <w:spacing w:val="-2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pacing w:val="-2"/>
          <w:sz w:val="28"/>
        </w:rPr>
        <w:t xml:space="preserve"> bomb</w:t>
      </w:r>
    </w:p>
    <w:p w14:paraId="1FC604AE" w14:textId="77777777" w:rsidR="00AC158F" w:rsidRDefault="00FC3B40">
      <w:pPr>
        <w:spacing w:before="1" w:line="325" w:lineRule="exact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bombshell</w:t>
      </w:r>
    </w:p>
    <w:p w14:paraId="1FC604B0" w14:textId="77777777" w:rsidR="00AC158F" w:rsidRDefault="00FC3B40">
      <w:pPr>
        <w:spacing w:before="1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switchblade knife</w:t>
      </w:r>
    </w:p>
    <w:p w14:paraId="1FC604B1" w14:textId="77777777" w:rsidR="00AC158F" w:rsidRDefault="00FC3B40">
      <w:pPr>
        <w:spacing w:line="316" w:lineRule="exact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pilum ballistic knife</w:t>
      </w:r>
      <w:r>
        <w:rPr>
          <w:rFonts w:ascii="Arial" w:eastAsia="Arial" w:hAnsi="Arial"/>
          <w:color w:val="000000"/>
          <w:spacing w:val="-2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pacing w:val="-2"/>
          <w:sz w:val="17"/>
        </w:rPr>
        <w:t xml:space="preserve"> </w:t>
      </w:r>
    </w:p>
    <w:p w14:paraId="1FC604B2" w14:textId="77777777" w:rsidR="00AC158F" w:rsidRDefault="00FC3B40">
      <w:pPr>
        <w:spacing w:line="320" w:lineRule="exact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metal knuckle knife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7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1FC604B3" w14:textId="77777777" w:rsidR="00AC158F" w:rsidRDefault="00FC3B40">
      <w:pPr>
        <w:spacing w:before="9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dagger</w:t>
      </w:r>
    </w:p>
    <w:p w14:paraId="1FC604B4" w14:textId="77777777" w:rsidR="00AC158F" w:rsidRDefault="00FC3B40">
      <w:pPr>
        <w:spacing w:before="1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dirk</w:t>
      </w:r>
    </w:p>
    <w:p w14:paraId="1FC604B5" w14:textId="77777777" w:rsidR="00AC158F" w:rsidRDefault="00FC3B40">
      <w:pPr>
        <w:spacing w:line="322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stiletto</w:t>
      </w:r>
    </w:p>
    <w:p w14:paraId="1FC604B6" w14:textId="77777777" w:rsidR="00AC158F" w:rsidRDefault="00FC3B40">
      <w:pPr>
        <w:spacing w:line="321" w:lineRule="exact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billy</w:t>
      </w:r>
    </w:p>
    <w:p w14:paraId="1FC604B7" w14:textId="77777777" w:rsidR="00AC158F" w:rsidRDefault="00FC3B40">
      <w:pPr>
        <w:spacing w:before="2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blackjack</w:t>
      </w:r>
    </w:p>
    <w:p w14:paraId="1FC604B8" w14:textId="77777777" w:rsidR="00AC158F" w:rsidRDefault="00FC3B40">
      <w:pPr>
        <w:spacing w:line="313" w:lineRule="exact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plastic knuckles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8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1FC604B9" w14:textId="77777777" w:rsidR="00AC158F" w:rsidRDefault="00FC3B40">
      <w:pPr>
        <w:spacing w:before="10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metal knuckles</w:t>
      </w:r>
    </w:p>
    <w:p w14:paraId="1FC604BA" w14:textId="77777777" w:rsidR="00AC158F" w:rsidRDefault="00FC3B40">
      <w:pPr>
        <w:spacing w:line="315" w:lineRule="exact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chuka stick</w:t>
      </w:r>
      <w:r>
        <w:rPr>
          <w:rFonts w:ascii="Arial" w:eastAsia="Arial" w:hAnsi="Arial"/>
          <w:color w:val="000000"/>
          <w:spacing w:val="-5"/>
          <w:sz w:val="28"/>
          <w:vertAlign w:val="superscript"/>
        </w:rPr>
        <w:t>9</w:t>
      </w:r>
      <w:r>
        <w:rPr>
          <w:rFonts w:ascii="Arial" w:eastAsia="Arial" w:hAnsi="Arial"/>
          <w:color w:val="000000"/>
          <w:spacing w:val="-5"/>
          <w:sz w:val="17"/>
        </w:rPr>
        <w:t xml:space="preserve"> </w:t>
      </w:r>
    </w:p>
    <w:p w14:paraId="1FC604BB" w14:textId="77777777" w:rsidR="00AC158F" w:rsidRDefault="00FC3B40">
      <w:pPr>
        <w:spacing w:before="8" w:line="325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sandbag</w:t>
      </w:r>
    </w:p>
    <w:p w14:paraId="1FC604BC" w14:textId="77777777" w:rsidR="00AC158F" w:rsidRDefault="00FC3B40">
      <w:pPr>
        <w:spacing w:line="321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sandclub</w:t>
      </w:r>
    </w:p>
    <w:p w14:paraId="1FC604BD" w14:textId="77777777" w:rsidR="00AC158F" w:rsidRDefault="00FC3B40">
      <w:pPr>
        <w:spacing w:before="2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slungshot</w:t>
      </w:r>
    </w:p>
    <w:p w14:paraId="1FC604BE" w14:textId="77777777" w:rsidR="00AC158F" w:rsidRDefault="00FC3B40">
      <w:pPr>
        <w:spacing w:before="297" w:after="935" w:line="325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is presumptive evidence of its possession by all persons occupying such automobile at the time such weapon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instrument]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appliance] is found</w:t>
      </w:r>
    </w:p>
    <w:p w14:paraId="1FC604BF" w14:textId="77777777" w:rsidR="00AC158F" w:rsidRDefault="00AC158F">
      <w:pPr>
        <w:spacing w:before="297" w:after="935" w:line="325" w:lineRule="exact"/>
        <w:sectPr w:rsidR="00AC158F">
          <w:pgSz w:w="12240" w:h="15840"/>
          <w:pgMar w:top="1440" w:right="2120" w:bottom="964" w:left="2160" w:header="720" w:footer="0" w:gutter="0"/>
          <w:cols w:space="720"/>
        </w:sectPr>
      </w:pPr>
    </w:p>
    <w:p w14:paraId="1FC604C0" w14:textId="77777777" w:rsidR="00AC158F" w:rsidRDefault="00FC3B40">
      <w:pPr>
        <w:spacing w:before="24" w:line="325" w:lineRule="exact"/>
        <w:jc w:val="center"/>
        <w:textAlignment w:val="baseline"/>
        <w:rPr>
          <w:rFonts w:ascii="Arial" w:eastAsia="Arial" w:hAnsi="Arial"/>
          <w:color w:val="000000"/>
          <w:spacing w:val="4"/>
          <w:sz w:val="28"/>
        </w:rPr>
      </w:pPr>
      <w:r>
        <w:rPr>
          <w:rFonts w:ascii="Arial" w:eastAsia="Arial" w:hAnsi="Arial"/>
          <w:color w:val="000000"/>
          <w:spacing w:val="4"/>
          <w:sz w:val="28"/>
        </w:rPr>
        <w:t>[</w:t>
      </w:r>
      <w:r>
        <w:rPr>
          <w:rFonts w:ascii="Arial" w:eastAsia="Arial" w:hAnsi="Arial"/>
          <w:i/>
          <w:color w:val="000000"/>
          <w:spacing w:val="4"/>
          <w:sz w:val="28"/>
          <w:u w:val="single"/>
        </w:rPr>
        <w:t>NOTE: Add any exception(s) in issue</w:t>
      </w:r>
      <w:r>
        <w:rPr>
          <w:rFonts w:ascii="Arial" w:eastAsia="Arial" w:hAnsi="Arial"/>
          <w:color w:val="000000"/>
          <w:spacing w:val="4"/>
          <w:sz w:val="28"/>
          <w:u w:val="single"/>
        </w:rPr>
        <w:t xml:space="preserve">: </w:t>
      </w:r>
    </w:p>
    <w:p w14:paraId="1FC604C1" w14:textId="77777777" w:rsidR="00AC158F" w:rsidRDefault="00AC158F">
      <w:pPr>
        <w:sectPr w:rsidR="00AC158F">
          <w:type w:val="continuous"/>
          <w:pgSz w:w="12240" w:h="15840"/>
          <w:pgMar w:top="1440" w:right="2120" w:bottom="964" w:left="2160" w:header="720" w:footer="0" w:gutter="0"/>
          <w:cols w:space="720"/>
        </w:sectPr>
      </w:pPr>
    </w:p>
    <w:p w14:paraId="1FC604C2" w14:textId="77777777" w:rsidR="00AC158F" w:rsidRDefault="00FC3B40">
      <w:pPr>
        <w:spacing w:before="20" w:line="311" w:lineRule="exact"/>
        <w:ind w:left="144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except if such weapon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instrument]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appliance] is found upon the person of one of the occupants therein</w:t>
      </w:r>
      <w:r>
        <w:rPr>
          <w:rFonts w:ascii="Arial" w:eastAsia="Arial" w:hAnsi="Arial"/>
          <w:color w:val="000000"/>
          <w:sz w:val="28"/>
          <w:vertAlign w:val="superscript"/>
        </w:rPr>
        <w:t>10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FC604C3" w14:textId="77777777" w:rsidR="00AC158F" w:rsidRDefault="00FC3B40">
      <w:pPr>
        <w:spacing w:before="352" w:line="323" w:lineRule="exact"/>
        <w:ind w:left="1440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 xml:space="preserve">and/or </w:t>
      </w:r>
      <w:r>
        <w:rPr>
          <w:rFonts w:ascii="Arial" w:eastAsia="Arial" w:hAnsi="Arial"/>
          <w:color w:val="000000"/>
          <w:sz w:val="28"/>
        </w:rPr>
        <w:t>except if such weapon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instrument]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appliance] is found in an automobile which is being operated for hire by a duly licensed driver in the due, lawful and p</w:t>
      </w:r>
      <w:r>
        <w:rPr>
          <w:rFonts w:ascii="Arial" w:eastAsia="Arial" w:hAnsi="Arial"/>
          <w:color w:val="000000"/>
          <w:sz w:val="28"/>
        </w:rPr>
        <w:t>roper pursuit of his trade, then such presumption shall not apply to the driver</w:t>
      </w:r>
      <w:r>
        <w:rPr>
          <w:rFonts w:ascii="Arial" w:eastAsia="Arial" w:hAnsi="Arial"/>
          <w:color w:val="000000"/>
          <w:sz w:val="28"/>
          <w:vertAlign w:val="superscript"/>
        </w:rPr>
        <w:t>11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FC604C4" w14:textId="77777777" w:rsidR="00AC158F" w:rsidRDefault="00FC3B40">
      <w:pPr>
        <w:spacing w:before="326" w:line="323" w:lineRule="exact"/>
        <w:ind w:left="1440"/>
        <w:jc w:val="both"/>
        <w:textAlignment w:val="baseline"/>
        <w:rPr>
          <w:rFonts w:ascii="Arial" w:eastAsia="Arial" w:hAnsi="Arial"/>
          <w:i/>
          <w:color w:val="000000"/>
          <w:spacing w:val="-3"/>
          <w:sz w:val="28"/>
        </w:rPr>
      </w:pPr>
      <w:r>
        <w:rPr>
          <w:rFonts w:ascii="Arial" w:eastAsia="Arial" w:hAnsi="Arial"/>
          <w:i/>
          <w:color w:val="000000"/>
          <w:spacing w:val="-3"/>
          <w:sz w:val="28"/>
        </w:rPr>
        <w:t xml:space="preserve">and/or </w:t>
      </w:r>
      <w:r>
        <w:rPr>
          <w:rFonts w:ascii="Arial" w:eastAsia="Arial" w:hAnsi="Arial"/>
          <w:color w:val="000000"/>
          <w:spacing w:val="-3"/>
          <w:sz w:val="28"/>
        </w:rPr>
        <w:t>except if the weapon so found is a pistol or revolver and one of the occupants, not present under duress, has in his or her possession a valid license to have and car</w:t>
      </w:r>
      <w:r>
        <w:rPr>
          <w:rFonts w:ascii="Arial" w:eastAsia="Arial" w:hAnsi="Arial"/>
          <w:color w:val="000000"/>
          <w:spacing w:val="-3"/>
          <w:sz w:val="28"/>
        </w:rPr>
        <w:t>ry concealed the same.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12</w:t>
      </w:r>
      <w:r>
        <w:rPr>
          <w:rFonts w:ascii="Arial" w:eastAsia="Arial" w:hAnsi="Arial"/>
          <w:color w:val="000000"/>
          <w:spacing w:val="-3"/>
          <w:sz w:val="28"/>
        </w:rPr>
        <w:t>]</w:t>
      </w:r>
    </w:p>
    <w:p w14:paraId="1FC604C5" w14:textId="77777777" w:rsidR="00AC158F" w:rsidRDefault="00FC3B40">
      <w:pPr>
        <w:spacing w:before="33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What this means is that, if the People have proven beyond a reasonable doubt that the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(specify weapon) </w:t>
      </w:r>
      <w:r>
        <w:rPr>
          <w:rFonts w:ascii="Arial" w:eastAsia="Arial" w:hAnsi="Arial"/>
          <w:color w:val="000000"/>
          <w:sz w:val="28"/>
        </w:rPr>
        <w:t xml:space="preserve"> was present in an automobile [other than a stolen one or a public omnibus] and that the defendant was occupying such automobile at the time such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(specify) </w:t>
      </w:r>
      <w:r>
        <w:rPr>
          <w:rFonts w:ascii="Arial" w:eastAsia="Arial" w:hAnsi="Arial"/>
          <w:color w:val="000000"/>
          <w:sz w:val="28"/>
        </w:rPr>
        <w:t xml:space="preserve"> was found</w:t>
      </w:r>
    </w:p>
    <w:p w14:paraId="1FC604C6" w14:textId="77777777" w:rsidR="00AC158F" w:rsidRDefault="00FC3B40">
      <w:pPr>
        <w:spacing w:before="333" w:line="320" w:lineRule="exact"/>
        <w:ind w:left="1440"/>
        <w:textAlignment w:val="baseline"/>
        <w:rPr>
          <w:rFonts w:ascii="Arial" w:eastAsia="Arial" w:hAnsi="Arial"/>
          <w:i/>
          <w:color w:val="000000"/>
          <w:spacing w:val="5"/>
          <w:sz w:val="28"/>
          <w:u w:val="single"/>
        </w:rPr>
      </w:pPr>
      <w:r>
        <w:rPr>
          <w:rFonts w:ascii="Arial" w:eastAsia="Arial" w:hAnsi="Arial"/>
          <w:i/>
          <w:color w:val="000000"/>
          <w:spacing w:val="5"/>
          <w:sz w:val="28"/>
          <w:u w:val="single"/>
        </w:rPr>
        <w:t>[NOTE: Add any exception(s) in issue:</w:t>
      </w:r>
    </w:p>
    <w:p w14:paraId="1FC604C7" w14:textId="77777777" w:rsidR="00AC158F" w:rsidRDefault="00FC3B40">
      <w:pPr>
        <w:spacing w:before="315" w:line="323" w:lineRule="exact"/>
        <w:ind w:left="144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and that the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(specify) </w:t>
      </w:r>
      <w:r>
        <w:rPr>
          <w:rFonts w:ascii="Arial" w:eastAsia="Arial" w:hAnsi="Arial"/>
          <w:color w:val="000000"/>
          <w:sz w:val="28"/>
        </w:rPr>
        <w:t xml:space="preserve"> was not found upon the pers</w:t>
      </w:r>
      <w:r>
        <w:rPr>
          <w:rFonts w:ascii="Arial" w:eastAsia="Arial" w:hAnsi="Arial"/>
          <w:color w:val="000000"/>
          <w:sz w:val="28"/>
        </w:rPr>
        <w:t>on of one of the occupants therein</w:t>
      </w:r>
    </w:p>
    <w:p w14:paraId="1FC604C8" w14:textId="77777777" w:rsidR="00AC158F" w:rsidRDefault="00FC3B40">
      <w:pPr>
        <w:spacing w:before="325" w:line="323" w:lineRule="exact"/>
        <w:ind w:left="1440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 xml:space="preserve">and/or </w:t>
      </w:r>
      <w:r>
        <w:rPr>
          <w:rFonts w:ascii="Arial" w:eastAsia="Arial" w:hAnsi="Arial"/>
          <w:color w:val="000000"/>
          <w:sz w:val="28"/>
        </w:rPr>
        <w:t xml:space="preserve">and that the </w:t>
      </w:r>
      <w:r>
        <w:rPr>
          <w:rFonts w:ascii="Arial" w:eastAsia="Arial" w:hAnsi="Arial"/>
          <w:i/>
          <w:color w:val="000000"/>
          <w:sz w:val="28"/>
          <w:u w:val="single"/>
        </w:rPr>
        <w:t>(specify)</w:t>
      </w:r>
      <w:r>
        <w:rPr>
          <w:rFonts w:ascii="Arial" w:eastAsia="Arial" w:hAnsi="Arial"/>
          <w:color w:val="000000"/>
          <w:sz w:val="28"/>
        </w:rPr>
        <w:t xml:space="preserve"> was not found in an automobile which was being operated for hire by the defendant, as a duly licensed driver in the due, lawful and proper pursuit of his trade</w:t>
      </w:r>
    </w:p>
    <w:p w14:paraId="1FC604C9" w14:textId="77777777" w:rsidR="00AC158F" w:rsidRDefault="00FC3B40">
      <w:pPr>
        <w:spacing w:before="335" w:line="323" w:lineRule="exact"/>
        <w:ind w:left="1440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 xml:space="preserve">and/or </w:t>
      </w:r>
      <w:r>
        <w:rPr>
          <w:rFonts w:ascii="Arial" w:eastAsia="Arial" w:hAnsi="Arial"/>
          <w:color w:val="000000"/>
          <w:sz w:val="28"/>
        </w:rPr>
        <w:t>and that none of the occ</w:t>
      </w:r>
      <w:r>
        <w:rPr>
          <w:rFonts w:ascii="Arial" w:eastAsia="Arial" w:hAnsi="Arial"/>
          <w:color w:val="000000"/>
          <w:sz w:val="28"/>
        </w:rPr>
        <w:t xml:space="preserve">upants, except for any occupant present under duress, had in his or her possession a valid license to have and carry concealed the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(specify)</w:t>
      </w:r>
      <w:r>
        <w:rPr>
          <w:rFonts w:ascii="Arial" w:eastAsia="Arial" w:hAnsi="Arial"/>
          <w:color w:val="000000"/>
          <w:sz w:val="28"/>
        </w:rPr>
        <w:t>],</w:t>
      </w:r>
    </w:p>
    <w:p w14:paraId="1FC604CA" w14:textId="77777777" w:rsidR="00AC158F" w:rsidRDefault="00FC3B40">
      <w:pPr>
        <w:spacing w:before="321" w:line="323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then you may, but you are not required to, infer from those facts</w:t>
      </w:r>
    </w:p>
    <w:p w14:paraId="1FC604CB" w14:textId="77777777" w:rsidR="00AC158F" w:rsidRDefault="00AC158F">
      <w:pPr>
        <w:sectPr w:rsidR="00AC158F">
          <w:footerReference w:type="default" r:id="rId6"/>
          <w:pgSz w:w="12240" w:h="15840"/>
          <w:pgMar w:top="1760" w:right="2123" w:bottom="1259" w:left="2157" w:header="720" w:footer="1478" w:gutter="0"/>
          <w:cols w:space="720"/>
        </w:sectPr>
      </w:pPr>
    </w:p>
    <w:p w14:paraId="1FC604CC" w14:textId="77777777" w:rsidR="00AC158F" w:rsidRDefault="00FC3B40">
      <w:pPr>
        <w:spacing w:before="15" w:line="30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that the defendant possessed the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(specify)</w:t>
      </w:r>
      <w:r>
        <w:rPr>
          <w:rFonts w:ascii="Arial" w:eastAsia="Arial" w:hAnsi="Arial"/>
          <w:color w:val="000000"/>
          <w:sz w:val="28"/>
        </w:rPr>
        <w:t xml:space="preserve">. </w:t>
      </w:r>
      <w:r>
        <w:rPr>
          <w:rFonts w:ascii="Arial" w:eastAsia="Arial" w:hAnsi="Arial"/>
          <w:color w:val="000000"/>
          <w:sz w:val="26"/>
        </w:rPr>
        <w:t>Whether or not to draw that inference is for you to decide and will depend entirely on your evaluation of the evidence.</w:t>
      </w:r>
      <w:r>
        <w:rPr>
          <w:rFonts w:ascii="Arial" w:eastAsia="Arial" w:hAnsi="Arial"/>
          <w:color w:val="000000"/>
          <w:sz w:val="26"/>
          <w:vertAlign w:val="superscript"/>
        </w:rPr>
        <w:t>13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1FC604CD" w14:textId="77777777" w:rsidR="00AC158F" w:rsidRDefault="00AC158F">
      <w:pPr>
        <w:sectPr w:rsidR="00AC158F">
          <w:pgSz w:w="12240" w:h="15840"/>
          <w:pgMar w:top="1440" w:right="2137" w:bottom="1268" w:left="2143" w:header="720" w:footer="1473" w:gutter="0"/>
          <w:cols w:space="720"/>
        </w:sectPr>
      </w:pPr>
    </w:p>
    <w:p w14:paraId="1FC604CE" w14:textId="0CB34071" w:rsidR="00AC158F" w:rsidRDefault="00FC3B40">
      <w:pPr>
        <w:spacing w:before="369" w:line="277" w:lineRule="exact"/>
        <w:jc w:val="both"/>
        <w:textAlignment w:val="baseline"/>
        <w:rPr>
          <w:rFonts w:ascii="Arial" w:eastAsia="Arial" w:hAnsi="Arial"/>
          <w:color w:val="000000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604E5" wp14:editId="214C71B7">
                <wp:simplePos x="0" y="0"/>
                <wp:positionH relativeFrom="page">
                  <wp:posOffset>1357630</wp:posOffset>
                </wp:positionH>
                <wp:positionV relativeFrom="page">
                  <wp:posOffset>1106170</wp:posOffset>
                </wp:positionV>
                <wp:extent cx="23952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D6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9pt,87.1pt" to="295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gWyQEAAIMDAAAOAAAAZHJzL2Uyb0RvYy54bWysU8GO0zAQvSPxD5bvNGlgEURN99CyXApU&#10;2uUDpraTWDgey3ab9O8ZO21Z4LbaHCzbM/P85r3J6n4aDDspHzTahi8XJWfKCpTadg3/+fTw7hNn&#10;IYKVYNCqhp9V4Pfrt29Wo6tVhT0aqTwjEBvq0TW8j9HVRRFErwYIC3TKUrBFP0Cko+8K6WEk9MEU&#10;VVl+LEb00nkUKgS63c5Bvs74batE/NG2QUVmGk7cYl59Xg9pLdYrqDsPrtfiQgNewGIAbenRG9QW&#10;IrCj1/9BDVp4DNjGhcChwLbVQuUeqJtl+U83jz04lXshcYK7yRReD1Z8P+0905K848zCQBbttFWs&#10;SsqMLtSUsLF7n3oTk310OxS/ArO46cF2KjN8OjsqW6aK4q+SdAiO8A/jN5SUA8eIWaap9UOCJAHY&#10;lN0439xQU2SCLqv3n++qikwT11gB9bXQ+RC/KhxY2jTcEOcMDKddiIkI1NeU9I7FB21MNttYNhLb&#10;u+pDmSsCGi1TNOUF3x02xrMTpHnJX26LIs/TEvQWQj/n5dA8SR6PVuZnegXyy2UfQZt5T7SMvciU&#10;lJk1PqA87/1VPnI6879MZRql5+dc/effWf8GAAD//wMAUEsDBBQABgAIAAAAIQCXT/c43QAAAAsB&#10;AAAPAAAAZHJzL2Rvd25yZXYueG1sTI9BT4NAEIXvJv6HzZh4swu01oosjTXpwUsTsT9ggCkQ2VnC&#10;bgv66x0TEz3OvDdvvpdtZ9urC42+c2wgXkSgiCtXd9wYOL7v7zagfECusXdMBj7Jwza/vsowrd3E&#10;b3QpQqMkhH2KBtoQhlRrX7Vk0S/cQCzayY0Wg4xjo+sRJwm3vU6iaK0tdiwfWhzopaXqozhbwTgt&#10;cRXxfnc8rA88ve425Vfhjbm9mZ+fQAWaw58ZfvDlBnJhKt2Za696A0m8FPQgwsMqASWO+8dY2pW/&#10;G51n+n+H/BsAAP//AwBQSwECLQAUAAYACAAAACEAtoM4kv4AAADhAQAAEwAAAAAAAAAAAAAAAAAA&#10;AAAAW0NvbnRlbnRfVHlwZXNdLnhtbFBLAQItABQABgAIAAAAIQA4/SH/1gAAAJQBAAALAAAAAAAA&#10;AAAAAAAAAC8BAABfcmVscy8ucmVsc1BLAQItABQABgAIAAAAIQDgaOgWyQEAAIMDAAAOAAAAAAAA&#10;AAAAAAAAAC4CAABkcnMvZTJvRG9jLnhtbFBLAQItABQABgAIAAAAIQCXT/c43QAAAAsBAAAPAAAA&#10;AAAAAAAAAAAAACMEAABkcnMvZG93bnJldi54bWxQSwUGAAAAAAQABADzAAAALQUAAAAA&#10;" strokeweight="1.2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4"/>
        </w:rPr>
        <w:t xml:space="preserve">1 </w:t>
      </w:r>
      <w:r>
        <w:rPr>
          <w:rFonts w:ascii="Arial" w:eastAsia="Arial" w:hAnsi="Arial"/>
          <w:color w:val="000000"/>
          <w:sz w:val="24"/>
        </w:rPr>
        <w:t>Read the bracketed material only if an issue exists as to whether the automobile is stolen or is a public omnibus.</w:t>
      </w:r>
    </w:p>
    <w:p w14:paraId="1FC604CF" w14:textId="77777777" w:rsidR="00AC158F" w:rsidRDefault="00FC3B40">
      <w:pPr>
        <w:spacing w:before="240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Added by the L 2000, ch 189, § 14, effective November 1, 2000, and thus as to crimes involving “large capacity ammunition feeding device,” </w:t>
      </w:r>
      <w:r>
        <w:rPr>
          <w:rFonts w:ascii="Arial" w:eastAsia="Arial" w:hAnsi="Arial"/>
          <w:color w:val="000000"/>
          <w:sz w:val="24"/>
        </w:rPr>
        <w:t>committed on or after Nov. 1, 2000.</w:t>
      </w:r>
    </w:p>
    <w:p w14:paraId="1FC604D0" w14:textId="77777777" w:rsidR="00AC158F" w:rsidRDefault="00FC3B40">
      <w:pPr>
        <w:spacing w:before="233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 xml:space="preserve"> Added by the L 1987, ch 695, § 3.</w:t>
      </w:r>
    </w:p>
    <w:p w14:paraId="1FC604D1" w14:textId="77777777" w:rsidR="00AC158F" w:rsidRDefault="00FC3B40">
      <w:pPr>
        <w:spacing w:before="243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color w:val="000000"/>
          <w:sz w:val="24"/>
        </w:rPr>
        <w:t xml:space="preserve"> Added by the L 2000, ch 189, § 14, effective November 1, 2000, and thus as to crimes involving “defaced large capacity ammunition feeding device,” committed on or after November 1, 2</w:t>
      </w:r>
      <w:r>
        <w:rPr>
          <w:rFonts w:ascii="Arial" w:eastAsia="Arial" w:hAnsi="Arial"/>
          <w:color w:val="000000"/>
          <w:sz w:val="24"/>
        </w:rPr>
        <w:t>000.</w:t>
      </w:r>
    </w:p>
    <w:p w14:paraId="1FC604D2" w14:textId="77777777" w:rsidR="00AC158F" w:rsidRDefault="00FC3B40">
      <w:pPr>
        <w:spacing w:before="233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color w:val="000000"/>
          <w:sz w:val="24"/>
        </w:rPr>
        <w:t xml:space="preserve"> “Explosive or incendiary” was added as predicate to “bomb” by the L 1970, ch 1012, § 2.</w:t>
      </w:r>
    </w:p>
    <w:p w14:paraId="1FC604D3" w14:textId="77777777" w:rsidR="00AC158F" w:rsidRDefault="00FC3B40">
      <w:pPr>
        <w:spacing w:before="238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color w:val="000000"/>
          <w:sz w:val="24"/>
        </w:rPr>
        <w:t xml:space="preserve"> Added by the L 1986, ch 328, § 5.</w:t>
      </w:r>
    </w:p>
    <w:p w14:paraId="1FC604D4" w14:textId="77777777" w:rsidR="00AC158F" w:rsidRDefault="00FC3B40">
      <w:pPr>
        <w:spacing w:before="241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7</w:t>
      </w:r>
      <w:r>
        <w:rPr>
          <w:rFonts w:ascii="Arial" w:eastAsia="Arial" w:hAnsi="Arial"/>
          <w:color w:val="000000"/>
          <w:sz w:val="24"/>
        </w:rPr>
        <w:t xml:space="preserve"> Added by the L 1995, ch 219, § 5.</w:t>
      </w:r>
    </w:p>
    <w:p w14:paraId="1FC604D5" w14:textId="77777777" w:rsidR="00AC158F" w:rsidRDefault="00FC3B40">
      <w:pPr>
        <w:spacing w:before="238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8</w:t>
      </w:r>
      <w:r>
        <w:rPr>
          <w:rFonts w:ascii="Arial" w:eastAsia="Arial" w:hAnsi="Arial"/>
          <w:color w:val="000000"/>
          <w:sz w:val="24"/>
        </w:rPr>
        <w:t xml:space="preserve"> Added by the L 2008, ch 257, § 6, effective November 1, 2008, and thus as to crimes involving “plastic knuckles,” committed on or after November 1, 2008.</w:t>
      </w:r>
    </w:p>
    <w:p w14:paraId="1FC604D6" w14:textId="77777777" w:rsidR="00AC158F" w:rsidRDefault="00FC3B40">
      <w:pPr>
        <w:spacing w:before="234" w:after="114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9</w:t>
      </w:r>
      <w:r>
        <w:rPr>
          <w:rFonts w:ascii="Arial" w:eastAsia="Arial" w:hAnsi="Arial"/>
          <w:color w:val="000000"/>
          <w:sz w:val="24"/>
        </w:rPr>
        <w:t xml:space="preserve"> Added by the L1974, ch 179, § 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360"/>
        <w:gridCol w:w="4703"/>
      </w:tblGrid>
      <w:tr w:rsidR="00AC158F" w14:paraId="1FC604D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9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7" w14:textId="77777777" w:rsidR="00AC158F" w:rsidRDefault="00FC3B40">
            <w:pPr>
              <w:spacing w:before="112" w:after="86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vertAlign w:val="superscript"/>
              </w:rPr>
            </w:pPr>
            <w:r>
              <w:rPr>
                <w:rFonts w:ascii="Arial" w:eastAsia="Arial" w:hAnsi="Arial"/>
                <w:color w:val="000000"/>
                <w:sz w:val="14"/>
                <w:vertAlign w:val="superscript"/>
              </w:rPr>
              <w:t>10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 xml:space="preserve"> See </w:t>
            </w:r>
            <w:r>
              <w:rPr>
                <w:rFonts w:ascii="Arial" w:eastAsia="Arial" w:hAnsi="Arial"/>
                <w:color w:val="000000"/>
                <w:sz w:val="24"/>
              </w:rPr>
              <w:t>Penal Law § 265.15</w:t>
            </w:r>
          </w:p>
        </w:tc>
        <w:tc>
          <w:tcPr>
            <w:tcW w:w="36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8" w14:textId="77777777" w:rsidR="00AC158F" w:rsidRDefault="00FC3B40">
            <w:pPr>
              <w:spacing w:before="115" w:after="83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(3)</w:t>
            </w:r>
          </w:p>
        </w:tc>
        <w:tc>
          <w:tcPr>
            <w:tcW w:w="47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9" w14:textId="77777777" w:rsidR="00AC158F" w:rsidRDefault="00FC3B40">
            <w:pPr>
              <w:spacing w:before="115" w:after="83" w:line="277" w:lineRule="exact"/>
              <w:ind w:right="4155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(a).</w:t>
            </w:r>
          </w:p>
        </w:tc>
      </w:tr>
      <w:tr w:rsidR="00AC158F" w14:paraId="1FC604D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9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B" w14:textId="77777777" w:rsidR="00AC158F" w:rsidRDefault="00FC3B40">
            <w:pPr>
              <w:spacing w:before="150" w:after="86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vertAlign w:val="superscript"/>
              </w:rPr>
            </w:pPr>
            <w:r>
              <w:rPr>
                <w:rFonts w:ascii="Arial" w:eastAsia="Arial" w:hAnsi="Arial"/>
                <w:color w:val="000000"/>
                <w:sz w:val="14"/>
                <w:vertAlign w:val="superscript"/>
              </w:rPr>
              <w:t>11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 xml:space="preserve"> See </w:t>
            </w:r>
            <w:r>
              <w:rPr>
                <w:rFonts w:ascii="Arial" w:eastAsia="Arial" w:hAnsi="Arial"/>
                <w:color w:val="000000"/>
                <w:sz w:val="24"/>
              </w:rPr>
              <w:t>Penal Law § 265.15</w:t>
            </w:r>
          </w:p>
        </w:tc>
        <w:tc>
          <w:tcPr>
            <w:tcW w:w="36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C" w14:textId="77777777" w:rsidR="00AC158F" w:rsidRDefault="00FC3B40">
            <w:pPr>
              <w:spacing w:before="154" w:after="82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(3)</w:t>
            </w:r>
          </w:p>
        </w:tc>
        <w:tc>
          <w:tcPr>
            <w:tcW w:w="47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D" w14:textId="77777777" w:rsidR="00AC158F" w:rsidRDefault="00FC3B40">
            <w:pPr>
              <w:spacing w:before="154" w:after="82" w:line="277" w:lineRule="exact"/>
              <w:ind w:right="4155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(b).</w:t>
            </w:r>
          </w:p>
        </w:tc>
      </w:tr>
      <w:tr w:rsidR="00AC158F" w14:paraId="1FC604E2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89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DF" w14:textId="77777777" w:rsidR="00AC158F" w:rsidRDefault="00FC3B40">
            <w:pPr>
              <w:spacing w:before="151" w:after="57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vertAlign w:val="superscript"/>
              </w:rPr>
            </w:pPr>
            <w:r>
              <w:rPr>
                <w:rFonts w:ascii="Arial" w:eastAsia="Arial" w:hAnsi="Arial"/>
                <w:color w:val="000000"/>
                <w:sz w:val="14"/>
                <w:vertAlign w:val="superscript"/>
              </w:rPr>
              <w:t>12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 xml:space="preserve"> See </w:t>
            </w:r>
            <w:r>
              <w:rPr>
                <w:rFonts w:ascii="Arial" w:eastAsia="Arial" w:hAnsi="Arial"/>
                <w:color w:val="000000"/>
                <w:sz w:val="24"/>
              </w:rPr>
              <w:t>Penal Law § 265.15</w:t>
            </w:r>
          </w:p>
        </w:tc>
        <w:tc>
          <w:tcPr>
            <w:tcW w:w="36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E0" w14:textId="77777777" w:rsidR="00AC158F" w:rsidRDefault="00FC3B40">
            <w:pPr>
              <w:spacing w:before="154" w:after="54" w:line="2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(3)</w:t>
            </w:r>
          </w:p>
        </w:tc>
        <w:tc>
          <w:tcPr>
            <w:tcW w:w="47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FC604E1" w14:textId="77777777" w:rsidR="00AC158F" w:rsidRDefault="00FC3B40">
            <w:pPr>
              <w:spacing w:before="154" w:after="54" w:line="277" w:lineRule="exact"/>
              <w:ind w:right="4155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(c).</w:t>
            </w:r>
          </w:p>
        </w:tc>
      </w:tr>
    </w:tbl>
    <w:p w14:paraId="1FC604E3" w14:textId="77777777" w:rsidR="00AC158F" w:rsidRDefault="00AC158F">
      <w:pPr>
        <w:spacing w:after="160" w:line="20" w:lineRule="exact"/>
      </w:pPr>
    </w:p>
    <w:p w14:paraId="1FC604E4" w14:textId="77777777" w:rsidR="00AC158F" w:rsidRDefault="00FC3B40">
      <w:pPr>
        <w:spacing w:line="256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13. In 2019, the last sentence was added to conform to the instruction for presumptions in other sections.</w:t>
      </w:r>
    </w:p>
    <w:sectPr w:rsidR="00AC158F">
      <w:pgSz w:w="12240" w:h="15840"/>
      <w:pgMar w:top="1720" w:right="2142" w:bottom="1268" w:left="2138" w:header="72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04EB" w14:textId="77777777" w:rsidR="00000000" w:rsidRDefault="00FC3B40">
      <w:r>
        <w:separator/>
      </w:r>
    </w:p>
  </w:endnote>
  <w:endnote w:type="continuationSeparator" w:id="0">
    <w:p w14:paraId="1FC604ED" w14:textId="77777777" w:rsidR="00000000" w:rsidRDefault="00FC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04E6" w14:textId="33790A14" w:rsidR="00AC158F" w:rsidRDefault="00FC3B40">
    <w:pPr>
      <w:tabs>
        <w:tab w:val="left" w:pos="3833"/>
      </w:tabs>
      <w:spacing w:line="229" w:lineRule="exact"/>
      <w:textAlignment w:val="baseline"/>
      <w:rPr>
        <w:rFonts w:eastAsia="Times New Roman"/>
        <w:color w:val="000000"/>
        <w:sz w:val="24"/>
      </w:rPr>
    </w:pPr>
    <w:r>
      <w:rPr>
        <w:rFonts w:eastAsia="Times New Roman"/>
        <w:color w:val="000000"/>
        <w:sz w:val="24"/>
      </w:rPr>
      <w:tab/>
    </w:r>
    <w:r>
      <w:rPr>
        <w:rFonts w:ascii="Arial" w:eastAsia="Arial" w:hAnsi="Arial"/>
        <w:color w:val="000000"/>
        <w:sz w:val="20"/>
      </w:rPr>
      <w:fldChar w:fldCharType="begin"/>
    </w:r>
    <w:r>
      <w:rPr>
        <w:rFonts w:ascii="Arial" w:eastAsia="Arial" w:hAnsi="Arial"/>
        <w:color w:val="000000"/>
        <w:sz w:val="20"/>
      </w:rPr>
      <w:instrText>PAGE</w:instrText>
    </w:r>
    <w:r w:rsidR="00320A9D">
      <w:rPr>
        <w:rFonts w:ascii="Arial" w:eastAsia="Arial" w:hAnsi="Arial"/>
        <w:color w:val="000000"/>
        <w:sz w:val="20"/>
      </w:rPr>
      <w:fldChar w:fldCharType="separate"/>
    </w:r>
    <w:r w:rsidR="00320A9D">
      <w:rPr>
        <w:rFonts w:ascii="Arial" w:eastAsia="Arial" w:hAnsi="Arial"/>
        <w:noProof/>
        <w:color w:val="000000"/>
        <w:sz w:val="20"/>
      </w:rPr>
      <w:t>2</w:t>
    </w:r>
    <w:r>
      <w:rPr>
        <w:rFonts w:ascii="Arial" w:eastAsia="Arial" w:hAnsi="Arial"/>
        <w:color w:val="000000"/>
        <w:sz w:val="20"/>
      </w:rPr>
      <w:fldChar w:fldCharType="end"/>
    </w:r>
    <w:r>
      <w:rPr>
        <w:rFonts w:ascii="Arial" w:eastAsia="Arial" w:hAnsi="Arial"/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04E7" w14:textId="77777777" w:rsidR="00000000" w:rsidRDefault="00FC3B40">
      <w:r>
        <w:separator/>
      </w:r>
    </w:p>
  </w:footnote>
  <w:footnote w:type="continuationSeparator" w:id="0">
    <w:p w14:paraId="1FC604E9" w14:textId="77777777" w:rsidR="00000000" w:rsidRDefault="00FC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8F"/>
    <w:rsid w:val="00320A9D"/>
    <w:rsid w:val="00AC158F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C604A2"/>
  <w15:docId w15:val="{A6DA85AD-65CC-4AD1-92C6-5B34522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Donnino</dc:creator>
  <cp:lastModifiedBy>Hon. William Donnino</cp:lastModifiedBy>
  <cp:revision>2</cp:revision>
  <dcterms:created xsi:type="dcterms:W3CDTF">2021-05-20T20:18:00Z</dcterms:created>
  <dcterms:modified xsi:type="dcterms:W3CDTF">2021-05-20T20:18:00Z</dcterms:modified>
</cp:coreProperties>
</file>