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A CHEMICAL WEAPON</w:t>
        <w:br/>
      </w:r>
      <w:r>
        <w:rPr>
          <w:rFonts w:ascii="Arial" w:hAnsi="Arial" w:eastAsia="Arial"/>
          <w:b w:val="true"/>
          <w:strike w:val="false"/>
          <w:color w:val="000000"/>
          <w:spacing w:val="0"/>
          <w:w w:val="100"/>
          <w:sz w:val="28"/>
          <w:vertAlign w:val="baseline"/>
          <w:lang w:val="en-US"/>
        </w:rPr>
        <w:t xml:space="preserve">OR BIOLOGICAL WEAPON IN THE FIRST DEGREE</w:t>
        <w:br/>
      </w:r>
      <w:r>
        <w:rPr>
          <w:rFonts w:ascii="Arial" w:hAnsi="Arial" w:eastAsia="Arial"/>
          <w:b w:val="true"/>
          <w:strike w:val="false"/>
          <w:color w:val="000000"/>
          <w:spacing w:val="0"/>
          <w:w w:val="100"/>
          <w:sz w:val="28"/>
          <w:vertAlign w:val="baseline"/>
          <w:lang w:val="en-US"/>
        </w:rPr>
        <w:t xml:space="preserve">Penal Law § 490.45(2)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a Chemical Weapon or Biological Weapon in the First Degree.</w:t>
      </w:r>
    </w:p>
    <w:p>
      <w:pPr>
        <w:pageBreakBefore w:val="false"/>
        <w:spacing w:before="31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a Chemical Weapon or Biological Weapon in the First Degree when he or she possesses any select chemical agent with intent to use such agent to cause serious physical injury to, or the death of, more than two other persons.</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25"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CHEMICAL AGENT means an identified chemical weapon, including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5" w:after="288"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acts with intent to use any select chemical agent to cause serious physical injury to, or the death of, more than two other persons when his or her conscious objective or purpose is to do so.</w:t>
      </w:r>
    </w:p>
    <w:p>
      <w:pPr>
        <w:pageBreakBefore w:val="false"/>
        <w:spacing w:before="262" w:after="0" w:line="277"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pict>
          <v:line strokeweight="1.2pt" strokecolor="#000000" from="108pt,558.7pt" to="252.05pt,558.7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If necessary, an expanded definition of “possession” is available in the section on General Instructions under Possession.</w:t>
      </w:r>
    </w:p>
    <w:p>
      <w:pPr>
        <w:pageBreakBefore w:val="false"/>
        <w:spacing w:before="232" w:after="0" w:line="277"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2</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If “chemical weapon” is at issue, the charge should be expanded by adding the applicable definition set forth in Penal Law § 490.05(10).</w:t>
      </w:r>
    </w:p>
    <w:p>
      <w:pPr>
        <w:pageBreakBefore w:val="false"/>
        <w:spacing w:before="243"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3</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possessed any select chemical agent;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use such agent to cause serious physical injury to, or the death of, more than two other persons.</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794"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794" w:line="321" w:lineRule="exact"/>
        <w:sectPr>
          <w:type w:val="nextPage"/>
          <w:pgSz w:w="12240" w:h="15840" w:orient="portrait"/>
          <w:pgMar w:bottom="1024" w:top="1440" w:right="2138" w:left="2162" w:header="720" w:footer="720"/>
          <w:titlePg w:val="false"/>
          <w:textDirection w:val="lrTb"/>
        </w:sectPr>
      </w:pPr>
    </w:p>
    <w:p>
      <w:pPr>
        <w:pageBreakBefore w:val="false"/>
        <w:spacing w:before="258" w:after="0" w:line="276" w:lineRule="exact"/>
        <w:ind w:right="0" w:left="0" w:firstLine="0"/>
        <w:jc w:val="left"/>
        <w:textAlignment w:val="baseline"/>
        <w:rPr>
          <w:rFonts w:ascii="Times New Roman" w:hAnsi="Times New Roman" w:eastAsia="Times New Roman"/>
          <w:strike w:val="false"/>
          <w:color w:val="000000"/>
          <w:spacing w:val="0"/>
          <w:w w:val="100"/>
          <w:sz w:val="13"/>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0.95pt" strokecolor="#000000" from="108pt,667.9pt" to="252.05pt,667.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10.00(10).</w:t>
      </w:r>
    </w:p>
    <w:sectPr>
      <w:type w:val="continuous"/>
      <w:pgSz w:w="12240" w:h="15840" w:orient="portrait"/>
      <w:pgMar w:bottom="1024" w:top="1440" w:right="68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