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4B6A" w14:textId="3A4DE0E7" w:rsidR="00170CE2" w:rsidRPr="00932237" w:rsidRDefault="00170CE2">
      <w:pPr>
        <w:kinsoku w:val="0"/>
        <w:overflowPunct w:val="0"/>
        <w:autoSpaceDE/>
        <w:autoSpaceDN/>
        <w:adjustRightInd/>
        <w:spacing w:before="40" w:line="292" w:lineRule="exact"/>
        <w:jc w:val="center"/>
        <w:textAlignment w:val="baseline"/>
        <w:rPr>
          <w:rFonts w:ascii="Arial" w:hAnsi="Arial" w:cs="Arial"/>
          <w:spacing w:val="-3"/>
          <w:sz w:val="24"/>
        </w:rPr>
      </w:pPr>
      <w:r w:rsidRPr="00932237">
        <w:rPr>
          <w:rFonts w:ascii="Arial" w:hAnsi="Arial" w:cs="Arial"/>
          <w:b/>
          <w:spacing w:val="-3"/>
          <w:sz w:val="24"/>
        </w:rPr>
        <w:t xml:space="preserve">Right to Appeal Waived </w:t>
      </w:r>
      <w:r w:rsidRPr="00932237">
        <w:rPr>
          <w:rFonts w:ascii="Arial" w:hAnsi="Arial" w:cs="Arial"/>
          <w:spacing w:val="-3"/>
          <w:sz w:val="24"/>
          <w:vertAlign w:val="superscript"/>
        </w:rPr>
        <w:t>1</w:t>
      </w:r>
    </w:p>
    <w:p w14:paraId="5069E578" w14:textId="51B48378" w:rsidR="00170CE2" w:rsidRPr="00932237" w:rsidRDefault="00170CE2">
      <w:pPr>
        <w:kinsoku w:val="0"/>
        <w:overflowPunct w:val="0"/>
        <w:autoSpaceDE/>
        <w:autoSpaceDN/>
        <w:adjustRightInd/>
        <w:spacing w:before="331" w:line="319" w:lineRule="exact"/>
        <w:ind w:firstLine="720"/>
        <w:jc w:val="both"/>
        <w:textAlignment w:val="baseline"/>
        <w:rPr>
          <w:rFonts w:ascii="Arial" w:hAnsi="Arial" w:cs="Arial"/>
          <w:sz w:val="24"/>
        </w:rPr>
      </w:pPr>
      <w:r w:rsidRPr="00932237">
        <w:rPr>
          <w:rFonts w:ascii="Arial" w:hAnsi="Arial" w:cs="Arial"/>
          <w:sz w:val="24"/>
        </w:rPr>
        <w:t xml:space="preserve">Next, a defendant ordinarily retains the right to appeal even after pleading guilty. </w:t>
      </w:r>
      <w:r w:rsidR="008A47B3" w:rsidRPr="00932237">
        <w:rPr>
          <w:rFonts w:ascii="Arial" w:hAnsi="Arial" w:cs="Arial"/>
          <w:sz w:val="24"/>
        </w:rPr>
        <w:t xml:space="preserve"> </w:t>
      </w:r>
      <w:r w:rsidRPr="00932237">
        <w:rPr>
          <w:rFonts w:ascii="Arial" w:hAnsi="Arial" w:cs="Arial"/>
          <w:sz w:val="24"/>
        </w:rPr>
        <w:t>Thus, a waiver of the right to appeal is separate and distinct from the waiver of a trial and other rights by a plea of guilty.</w:t>
      </w:r>
      <w:r w:rsidR="00034600" w:rsidRPr="00932237">
        <w:rPr>
          <w:rFonts w:ascii="Arial" w:hAnsi="Arial" w:cs="Arial"/>
          <w:sz w:val="24"/>
        </w:rPr>
        <w:t xml:space="preserve"> </w:t>
      </w:r>
      <w:r w:rsidRPr="00932237">
        <w:rPr>
          <w:rFonts w:ascii="Arial" w:hAnsi="Arial" w:cs="Arial"/>
          <w:sz w:val="24"/>
        </w:rPr>
        <w:t xml:space="preserve"> In this case, however, as a condition of the plea agreement, you are asked to waive your right to appeal.</w:t>
      </w:r>
      <w:r w:rsidRPr="00932237">
        <w:rPr>
          <w:rFonts w:ascii="Arial" w:hAnsi="Arial" w:cs="Arial"/>
          <w:sz w:val="24"/>
          <w:vertAlign w:val="superscript"/>
        </w:rPr>
        <w:t>2</w:t>
      </w:r>
    </w:p>
    <w:p w14:paraId="0994FCC5" w14:textId="7FAEE7E6" w:rsidR="00170CE2" w:rsidRPr="00932237" w:rsidRDefault="00170CE2">
      <w:pPr>
        <w:kinsoku w:val="0"/>
        <w:overflowPunct w:val="0"/>
        <w:autoSpaceDE/>
        <w:autoSpaceDN/>
        <w:adjustRightInd/>
        <w:spacing w:before="333" w:line="321" w:lineRule="exact"/>
        <w:ind w:firstLine="720"/>
        <w:jc w:val="both"/>
        <w:textAlignment w:val="baseline"/>
        <w:rPr>
          <w:rFonts w:ascii="Arial" w:hAnsi="Arial" w:cs="Arial"/>
          <w:sz w:val="24"/>
        </w:rPr>
      </w:pPr>
      <w:r w:rsidRPr="00932237">
        <w:rPr>
          <w:rFonts w:ascii="Arial" w:hAnsi="Arial" w:cs="Arial"/>
          <w:sz w:val="24"/>
        </w:rPr>
        <w:t>First, what is an appeal</w:t>
      </w:r>
      <w:r w:rsidR="008A47B3" w:rsidRPr="00932237">
        <w:rPr>
          <w:rFonts w:ascii="Arial" w:hAnsi="Arial" w:cs="Arial"/>
          <w:sz w:val="24"/>
        </w:rPr>
        <w:t xml:space="preserve">?  </w:t>
      </w:r>
      <w:r w:rsidRPr="00932237">
        <w:rPr>
          <w:rFonts w:ascii="Arial" w:hAnsi="Arial" w:cs="Arial"/>
          <w:sz w:val="24"/>
        </w:rPr>
        <w:t>An appeal is a proceeding before a higher court, an appellate court</w:t>
      </w:r>
      <w:r w:rsidR="00855FFB" w:rsidRPr="00932237">
        <w:rPr>
          <w:rFonts w:ascii="Arial" w:hAnsi="Arial" w:cs="Arial"/>
          <w:sz w:val="24"/>
        </w:rPr>
        <w:t xml:space="preserve">.  </w:t>
      </w:r>
      <w:r w:rsidRPr="00932237">
        <w:rPr>
          <w:rFonts w:ascii="Arial" w:hAnsi="Arial" w:cs="Arial"/>
          <w:sz w:val="24"/>
        </w:rPr>
        <w:t>If a defendant cannot afford the costs of an appeal or of a lawyer, the state will bear those costs</w:t>
      </w:r>
      <w:r w:rsidR="00855FFB" w:rsidRPr="00932237">
        <w:rPr>
          <w:rFonts w:ascii="Arial" w:hAnsi="Arial" w:cs="Arial"/>
          <w:sz w:val="24"/>
        </w:rPr>
        <w:t xml:space="preserve">.  </w:t>
      </w:r>
      <w:r w:rsidRPr="00932237">
        <w:rPr>
          <w:rFonts w:ascii="Arial" w:hAnsi="Arial" w:cs="Arial"/>
          <w:sz w:val="24"/>
        </w:rPr>
        <w:t>On an appeal, a defendant may, normally through his/her lawyer, argue that an error took place in this court which requires a modification or reversal of the conviction</w:t>
      </w:r>
      <w:r w:rsidR="00855FFB" w:rsidRPr="00932237">
        <w:rPr>
          <w:rFonts w:ascii="Arial" w:hAnsi="Arial" w:cs="Arial"/>
          <w:sz w:val="24"/>
        </w:rPr>
        <w:t xml:space="preserve">.  </w:t>
      </w:r>
      <w:r w:rsidRPr="00932237">
        <w:rPr>
          <w:rFonts w:ascii="Arial" w:hAnsi="Arial" w:cs="Arial"/>
          <w:sz w:val="24"/>
        </w:rPr>
        <w:t>A reversal would require either new proceedings in this court or a dismissal</w:t>
      </w:r>
      <w:r w:rsidR="00855FFB" w:rsidRPr="00932237">
        <w:rPr>
          <w:rFonts w:ascii="Arial" w:hAnsi="Arial" w:cs="Arial"/>
          <w:sz w:val="24"/>
        </w:rPr>
        <w:t xml:space="preserve">.  </w:t>
      </w:r>
      <w:r w:rsidRPr="00932237">
        <w:rPr>
          <w:rFonts w:ascii="Arial" w:hAnsi="Arial" w:cs="Arial"/>
          <w:sz w:val="24"/>
        </w:rPr>
        <w:t>Do you understand?</w:t>
      </w:r>
    </w:p>
    <w:p w14:paraId="33B1D2AE" w14:textId="7864B2CE" w:rsidR="00170CE2" w:rsidRPr="00932237" w:rsidRDefault="00170CE2">
      <w:pPr>
        <w:kinsoku w:val="0"/>
        <w:overflowPunct w:val="0"/>
        <w:autoSpaceDE/>
        <w:autoSpaceDN/>
        <w:adjustRightInd/>
        <w:spacing w:before="326" w:line="321" w:lineRule="exact"/>
        <w:ind w:firstLine="720"/>
        <w:jc w:val="both"/>
        <w:textAlignment w:val="baseline"/>
        <w:rPr>
          <w:rFonts w:ascii="Arial" w:hAnsi="Arial" w:cs="Arial"/>
          <w:color w:val="000018"/>
          <w:spacing w:val="-3"/>
          <w:sz w:val="24"/>
        </w:rPr>
      </w:pPr>
      <w:r w:rsidRPr="00932237">
        <w:rPr>
          <w:rFonts w:ascii="Arial" w:hAnsi="Arial" w:cs="Arial"/>
          <w:spacing w:val="-3"/>
          <w:sz w:val="24"/>
        </w:rPr>
        <w:t>By waiving your right to appeal, you do not give up your right to take an appeal by filing a notice of appeal with this court and the District Attorney within 30 days of the sentence</w:t>
      </w:r>
      <w:r w:rsidR="00855FFB" w:rsidRPr="00932237">
        <w:rPr>
          <w:rFonts w:ascii="Arial" w:hAnsi="Arial" w:cs="Arial"/>
          <w:spacing w:val="-3"/>
          <w:sz w:val="24"/>
        </w:rPr>
        <w:t xml:space="preserve">.  </w:t>
      </w:r>
      <w:r w:rsidRPr="00932237">
        <w:rPr>
          <w:rFonts w:ascii="Arial" w:hAnsi="Arial" w:cs="Arial"/>
          <w:spacing w:val="-3"/>
          <w:sz w:val="24"/>
        </w:rPr>
        <w:t>But, if you take an appeal, you are by this waiver giving up the right to have the appellate court consider most claims of error, [including a claimed error in the denial of your (</w:t>
      </w:r>
      <w:r w:rsidRPr="00932237">
        <w:rPr>
          <w:rFonts w:ascii="Arial" w:hAnsi="Arial" w:cs="Arial"/>
          <w:i/>
          <w:spacing w:val="-3"/>
          <w:sz w:val="24"/>
          <w:u w:val="single"/>
        </w:rPr>
        <w:t>specify</w:t>
      </w:r>
      <w:r w:rsidRPr="00932237">
        <w:rPr>
          <w:rFonts w:ascii="Arial" w:hAnsi="Arial" w:cs="Arial"/>
          <w:spacing w:val="-3"/>
          <w:sz w:val="24"/>
        </w:rPr>
        <w:t>, e.g., motion to suppress),]</w:t>
      </w:r>
      <w:r w:rsidRPr="00932237">
        <w:rPr>
          <w:rFonts w:ascii="Arial" w:hAnsi="Arial" w:cs="Arial"/>
          <w:color w:val="000018"/>
          <w:spacing w:val="-3"/>
          <w:sz w:val="24"/>
          <w:vertAlign w:val="superscript"/>
        </w:rPr>
        <w:t xml:space="preserve"> 3</w:t>
      </w:r>
      <w:r w:rsidRPr="00932237">
        <w:rPr>
          <w:rFonts w:ascii="Arial" w:hAnsi="Arial" w:cs="Arial"/>
          <w:color w:val="000018"/>
          <w:spacing w:val="-3"/>
          <w:sz w:val="24"/>
        </w:rPr>
        <w:t xml:space="preserve"> and</w:t>
      </w:r>
      <w:r w:rsidRPr="00932237">
        <w:rPr>
          <w:rFonts w:ascii="Arial" w:hAnsi="Arial" w:cs="Arial"/>
          <w:spacing w:val="-3"/>
          <w:sz w:val="24"/>
        </w:rPr>
        <w:t xml:space="preserve"> to consider</w:t>
      </w:r>
      <w:r w:rsidRPr="00932237">
        <w:rPr>
          <w:rFonts w:ascii="Arial" w:hAnsi="Arial" w:cs="Arial"/>
          <w:color w:val="000018"/>
          <w:spacing w:val="-3"/>
          <w:sz w:val="24"/>
        </w:rPr>
        <w:t xml:space="preserve"> whether the sentence I impose, whatever it may be, is excessive and should be modified</w:t>
      </w:r>
      <w:r w:rsidR="00855FFB" w:rsidRPr="00932237">
        <w:rPr>
          <w:rFonts w:ascii="Arial" w:hAnsi="Arial" w:cs="Arial"/>
          <w:color w:val="000018"/>
          <w:spacing w:val="-3"/>
          <w:sz w:val="24"/>
        </w:rPr>
        <w:t xml:space="preserve">.  </w:t>
      </w:r>
      <w:r w:rsidRPr="00932237">
        <w:rPr>
          <w:rFonts w:ascii="Arial" w:hAnsi="Arial" w:cs="Arial"/>
          <w:color w:val="000018"/>
          <w:spacing w:val="-3"/>
          <w:sz w:val="24"/>
        </w:rPr>
        <w:t>As a result, the conviction by this plea and sentence will normally be final</w:t>
      </w:r>
      <w:r w:rsidR="00855FFB" w:rsidRPr="00932237">
        <w:rPr>
          <w:rFonts w:ascii="Arial" w:hAnsi="Arial" w:cs="Arial"/>
          <w:color w:val="000018"/>
          <w:spacing w:val="-3"/>
          <w:sz w:val="24"/>
        </w:rPr>
        <w:t xml:space="preserve">.  </w:t>
      </w:r>
      <w:r w:rsidRPr="00932237">
        <w:rPr>
          <w:rFonts w:ascii="Arial" w:hAnsi="Arial" w:cs="Arial"/>
          <w:color w:val="000018"/>
          <w:spacing w:val="-3"/>
          <w:sz w:val="24"/>
        </w:rPr>
        <w:t>Do you understand?</w:t>
      </w:r>
    </w:p>
    <w:p w14:paraId="64238132" w14:textId="23321F24" w:rsidR="002D19E1" w:rsidRPr="007431F9" w:rsidRDefault="00170CE2" w:rsidP="002D19E1">
      <w:pPr>
        <w:kinsoku w:val="0"/>
        <w:overflowPunct w:val="0"/>
        <w:autoSpaceDE/>
        <w:autoSpaceDN/>
        <w:adjustRightInd/>
        <w:spacing w:before="326" w:line="321" w:lineRule="exact"/>
        <w:ind w:firstLine="720"/>
        <w:jc w:val="both"/>
        <w:textAlignment w:val="baseline"/>
        <w:rPr>
          <w:rFonts w:ascii="Arial" w:hAnsi="Arial" w:cs="Arial"/>
          <w:sz w:val="24"/>
        </w:rPr>
      </w:pPr>
      <w:r w:rsidRPr="007431F9">
        <w:rPr>
          <w:rFonts w:ascii="Arial" w:hAnsi="Arial" w:cs="Arial"/>
          <w:spacing w:val="-3"/>
          <w:sz w:val="24"/>
        </w:rPr>
        <w:t>Among the limited number of claims that will survive the waiver of the right to appeal are: the voluntariness of this plea</w:t>
      </w:r>
      <w:r w:rsidRPr="007431F9">
        <w:rPr>
          <w:rFonts w:ascii="Arial" w:hAnsi="Arial" w:cs="Arial"/>
          <w:i/>
          <w:spacing w:val="-3"/>
          <w:sz w:val="24"/>
        </w:rPr>
        <w:t xml:space="preserve">, </w:t>
      </w:r>
      <w:r w:rsidRPr="007431F9">
        <w:rPr>
          <w:rFonts w:ascii="Arial" w:hAnsi="Arial" w:cs="Arial"/>
          <w:spacing w:val="-3"/>
          <w:sz w:val="24"/>
        </w:rPr>
        <w:t>the validity and voluntariness of this waiver, the legality of the sentence</w:t>
      </w:r>
      <w:r w:rsidRPr="007431F9">
        <w:rPr>
          <w:rFonts w:ascii="Arial" w:hAnsi="Arial" w:cs="Arial"/>
          <w:i/>
          <w:spacing w:val="-3"/>
          <w:sz w:val="24"/>
        </w:rPr>
        <w:t>,</w:t>
      </w:r>
      <w:r w:rsidRPr="007431F9">
        <w:rPr>
          <w:rFonts w:ascii="Arial" w:hAnsi="Arial" w:cs="Arial"/>
          <w:spacing w:val="-3"/>
          <w:sz w:val="24"/>
        </w:rPr>
        <w:t xml:space="preserve"> </w:t>
      </w:r>
      <w:r w:rsidR="00921CA9" w:rsidRPr="007431F9">
        <w:rPr>
          <w:rFonts w:ascii="Arial" w:hAnsi="Arial" w:cs="Arial"/>
          <w:spacing w:val="-3"/>
          <w:sz w:val="24"/>
        </w:rPr>
        <w:t>[and] the jurisdiction of this Court</w:t>
      </w:r>
    </w:p>
    <w:p w14:paraId="767306C5" w14:textId="77366876" w:rsidR="002D19E1" w:rsidRPr="007431F9" w:rsidRDefault="002D19E1">
      <w:pPr>
        <w:kinsoku w:val="0"/>
        <w:overflowPunct w:val="0"/>
        <w:autoSpaceDE/>
        <w:autoSpaceDN/>
        <w:adjustRightInd/>
        <w:spacing w:before="25" w:line="295" w:lineRule="exact"/>
        <w:textAlignment w:val="baseline"/>
        <w:rPr>
          <w:rFonts w:ascii="Arial" w:hAnsi="Arial" w:cs="Arial"/>
          <w:i/>
          <w:iCs/>
          <w:spacing w:val="-3"/>
          <w:sz w:val="24"/>
          <w:u w:val="single"/>
        </w:rPr>
      </w:pPr>
      <w:r w:rsidRPr="007431F9">
        <w:rPr>
          <w:rFonts w:ascii="Arial" w:hAnsi="Arial" w:cs="Arial"/>
          <w:i/>
          <w:iCs/>
          <w:spacing w:val="-3"/>
          <w:sz w:val="24"/>
          <w:u w:val="single"/>
        </w:rPr>
        <w:t>Add if an issue in the case:</w:t>
      </w:r>
    </w:p>
    <w:p w14:paraId="4B25A99C" w14:textId="57691C79" w:rsidR="00170CE2" w:rsidRPr="007431F9" w:rsidRDefault="00E81954">
      <w:pPr>
        <w:kinsoku w:val="0"/>
        <w:overflowPunct w:val="0"/>
        <w:autoSpaceDE/>
        <w:autoSpaceDN/>
        <w:adjustRightInd/>
        <w:spacing w:before="25" w:line="295" w:lineRule="exact"/>
        <w:textAlignment w:val="baseline"/>
        <w:rPr>
          <w:rFonts w:ascii="Arial" w:hAnsi="Arial" w:cs="Arial"/>
          <w:sz w:val="24"/>
        </w:rPr>
      </w:pPr>
      <w:r w:rsidRPr="007431F9">
        <w:rPr>
          <w:rFonts w:ascii="Arial" w:hAnsi="Arial" w:cs="Arial"/>
          <w:sz w:val="24"/>
        </w:rPr>
        <w:t>[</w:t>
      </w:r>
      <w:r w:rsidR="00170CE2" w:rsidRPr="007431F9">
        <w:rPr>
          <w:rFonts w:ascii="Arial" w:hAnsi="Arial" w:cs="Arial"/>
          <w:sz w:val="24"/>
        </w:rPr>
        <w:t>and] a defendant's competency to stand trial,</w:t>
      </w:r>
    </w:p>
    <w:p w14:paraId="7EE8B1B7" w14:textId="77777777" w:rsidR="00170CE2" w:rsidRPr="007431F9" w:rsidRDefault="00170CE2">
      <w:pPr>
        <w:kinsoku w:val="0"/>
        <w:overflowPunct w:val="0"/>
        <w:autoSpaceDE/>
        <w:autoSpaceDN/>
        <w:adjustRightInd/>
        <w:spacing w:before="25" w:line="295" w:lineRule="exact"/>
        <w:textAlignment w:val="baseline"/>
        <w:rPr>
          <w:rFonts w:ascii="Arial" w:hAnsi="Arial" w:cs="Arial"/>
          <w:spacing w:val="-1"/>
          <w:sz w:val="24"/>
        </w:rPr>
      </w:pPr>
      <w:r w:rsidRPr="007431F9">
        <w:rPr>
          <w:rFonts w:ascii="Arial" w:hAnsi="Arial" w:cs="Arial"/>
          <w:spacing w:val="-1"/>
          <w:sz w:val="24"/>
        </w:rPr>
        <w:t>[and] a defendant's constitutional right to a speedy trial</w:t>
      </w:r>
      <w:r w:rsidRPr="007431F9">
        <w:rPr>
          <w:rFonts w:ascii="Arial" w:hAnsi="Arial" w:cs="Arial"/>
          <w:spacing w:val="-1"/>
          <w:sz w:val="24"/>
          <w:vertAlign w:val="superscript"/>
        </w:rPr>
        <w:t>4</w:t>
      </w:r>
      <w:r w:rsidRPr="007431F9">
        <w:rPr>
          <w:rFonts w:ascii="Arial" w:hAnsi="Arial" w:cs="Arial"/>
          <w:spacing w:val="-1"/>
          <w:sz w:val="24"/>
        </w:rPr>
        <w:t>].</w:t>
      </w:r>
    </w:p>
    <w:p w14:paraId="3FF6B6D6" w14:textId="77777777" w:rsidR="00170CE2" w:rsidRPr="007431F9" w:rsidRDefault="00170CE2">
      <w:pPr>
        <w:kinsoku w:val="0"/>
        <w:overflowPunct w:val="0"/>
        <w:autoSpaceDE/>
        <w:autoSpaceDN/>
        <w:adjustRightInd/>
        <w:spacing w:before="350" w:line="295" w:lineRule="exact"/>
        <w:textAlignment w:val="baseline"/>
        <w:rPr>
          <w:rFonts w:ascii="Arial" w:hAnsi="Arial" w:cs="Arial"/>
          <w:spacing w:val="-1"/>
          <w:sz w:val="24"/>
        </w:rPr>
      </w:pPr>
      <w:r w:rsidRPr="007431F9">
        <w:rPr>
          <w:rFonts w:ascii="Arial" w:hAnsi="Arial" w:cs="Arial"/>
          <w:spacing w:val="-1"/>
          <w:sz w:val="24"/>
        </w:rPr>
        <w:t>Do you understand?]</w:t>
      </w:r>
    </w:p>
    <w:p w14:paraId="76D1053B" w14:textId="77777777" w:rsidR="00170CE2" w:rsidRPr="00932237" w:rsidRDefault="00170CE2" w:rsidP="00E81954">
      <w:pPr>
        <w:kinsoku w:val="0"/>
        <w:overflowPunct w:val="0"/>
        <w:autoSpaceDE/>
        <w:autoSpaceDN/>
        <w:adjustRightInd/>
        <w:spacing w:before="120"/>
        <w:ind w:left="720"/>
        <w:textAlignment w:val="baseline"/>
        <w:rPr>
          <w:rFonts w:ascii="Arial" w:hAnsi="Arial" w:cs="Arial"/>
          <w:color w:val="000018"/>
          <w:sz w:val="24"/>
        </w:rPr>
      </w:pPr>
      <w:r w:rsidRPr="00932237">
        <w:rPr>
          <w:rFonts w:ascii="Arial" w:hAnsi="Arial" w:cs="Arial"/>
          <w:color w:val="000018"/>
          <w:sz w:val="24"/>
        </w:rPr>
        <w:t>Have you spoken to your lawyer about waiving your right to appeal?</w:t>
      </w:r>
    </w:p>
    <w:p w14:paraId="4BC2B24D" w14:textId="77777777" w:rsidR="00170CE2" w:rsidRPr="00932237" w:rsidRDefault="00170CE2" w:rsidP="00E81954">
      <w:pPr>
        <w:kinsoku w:val="0"/>
        <w:overflowPunct w:val="0"/>
        <w:autoSpaceDE/>
        <w:autoSpaceDN/>
        <w:adjustRightInd/>
        <w:spacing w:before="120"/>
        <w:ind w:left="720"/>
        <w:textAlignment w:val="baseline"/>
        <w:rPr>
          <w:rFonts w:ascii="Arial" w:hAnsi="Arial" w:cs="Arial"/>
          <w:color w:val="000018"/>
          <w:spacing w:val="-4"/>
          <w:sz w:val="24"/>
        </w:rPr>
      </w:pPr>
      <w:r w:rsidRPr="00932237">
        <w:rPr>
          <w:rFonts w:ascii="Arial" w:hAnsi="Arial" w:cs="Arial"/>
          <w:color w:val="000018"/>
          <w:spacing w:val="-4"/>
          <w:sz w:val="24"/>
        </w:rPr>
        <w:t>Are you willing to do so in return for the plea and sentence agreement?</w:t>
      </w:r>
    </w:p>
    <w:p w14:paraId="073F1635" w14:textId="77777777" w:rsidR="00170CE2" w:rsidRPr="00932237" w:rsidRDefault="00170CE2" w:rsidP="00E81954">
      <w:pPr>
        <w:kinsoku w:val="0"/>
        <w:overflowPunct w:val="0"/>
        <w:autoSpaceDE/>
        <w:autoSpaceDN/>
        <w:adjustRightInd/>
        <w:spacing w:before="120"/>
        <w:ind w:firstLine="720"/>
        <w:jc w:val="both"/>
        <w:textAlignment w:val="baseline"/>
        <w:rPr>
          <w:rFonts w:ascii="Arial" w:hAnsi="Arial" w:cs="Arial"/>
          <w:color w:val="000018"/>
          <w:sz w:val="24"/>
        </w:rPr>
      </w:pPr>
      <w:r w:rsidRPr="00932237">
        <w:rPr>
          <w:rFonts w:ascii="Arial" w:hAnsi="Arial" w:cs="Arial"/>
          <w:color w:val="000018"/>
          <w:sz w:val="24"/>
        </w:rPr>
        <w:t>Do you waive your right to appeal voluntarily, of your own free will and choice?</w:t>
      </w:r>
    </w:p>
    <w:p w14:paraId="1A43A7C1" w14:textId="77777777" w:rsidR="00170CE2" w:rsidRPr="00932237" w:rsidRDefault="00170CE2">
      <w:pPr>
        <w:widowControl/>
        <w:rPr>
          <w:rFonts w:ascii="Arial" w:hAnsi="Arial" w:cs="Arial"/>
          <w:sz w:val="24"/>
        </w:rPr>
        <w:sectPr w:rsidR="00170CE2" w:rsidRPr="00932237">
          <w:footerReference w:type="first" r:id="rId8"/>
          <w:pgSz w:w="12240" w:h="15840"/>
          <w:pgMar w:top="1060" w:right="2125" w:bottom="865" w:left="2155" w:header="720" w:footer="1075" w:gutter="0"/>
          <w:cols w:space="720"/>
          <w:noEndnote/>
          <w:titlePg/>
        </w:sectPr>
      </w:pPr>
    </w:p>
    <w:p w14:paraId="308748F1" w14:textId="60492804" w:rsidR="00170CE2" w:rsidRPr="00932237" w:rsidRDefault="00CA2D05">
      <w:pPr>
        <w:numPr>
          <w:ilvl w:val="0"/>
          <w:numId w:val="1"/>
        </w:numPr>
        <w:kinsoku w:val="0"/>
        <w:overflowPunct w:val="0"/>
        <w:autoSpaceDE/>
        <w:autoSpaceDN/>
        <w:adjustRightInd/>
        <w:spacing w:before="13" w:line="310" w:lineRule="exact"/>
        <w:jc w:val="both"/>
        <w:textAlignment w:val="baseline"/>
        <w:rPr>
          <w:rFonts w:ascii="Arial" w:hAnsi="Arial" w:cs="Arial"/>
          <w:spacing w:val="-4"/>
          <w:sz w:val="24"/>
        </w:rPr>
      </w:pPr>
      <w:r w:rsidRPr="00932237">
        <w:rPr>
          <w:rFonts w:ascii="Arial" w:hAnsi="Arial" w:cs="Arial"/>
          <w:noProof/>
          <w:sz w:val="24"/>
        </w:rPr>
        <w:lastRenderedPageBreak/>
        <mc:AlternateContent>
          <mc:Choice Requires="wps">
            <w:drawing>
              <wp:anchor distT="0" distB="0" distL="0" distR="0" simplePos="0" relativeHeight="251658240" behindDoc="0" locked="0" layoutInCell="0" allowOverlap="1" wp14:anchorId="5D10C992" wp14:editId="31E3454D">
                <wp:simplePos x="0" y="0"/>
                <wp:positionH relativeFrom="page">
                  <wp:posOffset>1363980</wp:posOffset>
                </wp:positionH>
                <wp:positionV relativeFrom="page">
                  <wp:posOffset>877570</wp:posOffset>
                </wp:positionV>
                <wp:extent cx="506031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C3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9.1pt" to="505.8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" o:allowincell="f" strokeweight="1.2pt">
                <w10:wrap type="square" anchorx="page" anchory="page"/>
              </v:line>
            </w:pict>
          </mc:Fallback>
        </mc:AlternateContent>
      </w:r>
      <w:r w:rsidR="00170CE2" w:rsidRPr="00932237">
        <w:rPr>
          <w:rFonts w:ascii="Arial" w:hAnsi="Arial" w:cs="Arial"/>
          <w:spacing w:val="-4"/>
          <w:sz w:val="24"/>
        </w:rPr>
        <w:t xml:space="preserve">In </w:t>
      </w:r>
      <w:r w:rsidR="00170CE2" w:rsidRPr="00932237">
        <w:rPr>
          <w:rFonts w:ascii="Arial" w:hAnsi="Arial" w:cs="Arial"/>
          <w:i/>
          <w:spacing w:val="-4"/>
          <w:sz w:val="24"/>
        </w:rPr>
        <w:t>People v. Thomas</w:t>
      </w:r>
      <w:r w:rsidR="00170CE2" w:rsidRPr="00932237">
        <w:rPr>
          <w:rFonts w:ascii="Arial" w:hAnsi="Arial" w:cs="Arial"/>
          <w:spacing w:val="-4"/>
          <w:sz w:val="24"/>
        </w:rPr>
        <w:t xml:space="preserve">, </w:t>
      </w:r>
      <w:r w:rsidR="005D7672" w:rsidRPr="00932237">
        <w:rPr>
          <w:rFonts w:ascii="Arial" w:hAnsi="Arial" w:cs="Arial"/>
          <w:sz w:val="24"/>
        </w:rPr>
        <w:t>25 NY3d 337 (2019)</w:t>
      </w:r>
      <w:r w:rsidR="00170CE2" w:rsidRPr="00932237">
        <w:rPr>
          <w:rFonts w:ascii="Arial" w:hAnsi="Arial" w:cs="Arial"/>
          <w:spacing w:val="-4"/>
          <w:sz w:val="24"/>
        </w:rPr>
        <w:t xml:space="preserve">, the Court of Appeals reviewed three separate cases that contested the validity of a waiver of the right to appeal; a majority of </w:t>
      </w:r>
      <w:r w:rsidR="00C35CBD" w:rsidRPr="00932237">
        <w:rPr>
          <w:rFonts w:ascii="Arial" w:hAnsi="Arial" w:cs="Arial"/>
          <w:spacing w:val="-4"/>
          <w:sz w:val="24"/>
        </w:rPr>
        <w:t xml:space="preserve">the </w:t>
      </w:r>
      <w:r w:rsidR="00170CE2" w:rsidRPr="00932237">
        <w:rPr>
          <w:rFonts w:ascii="Arial" w:hAnsi="Arial" w:cs="Arial"/>
          <w:spacing w:val="-4"/>
          <w:sz w:val="24"/>
        </w:rPr>
        <w:t>Court found one waiver valid and two invalid; three judges wrote separate opinions either concurring or dissenting with respect to each of the three cases</w:t>
      </w:r>
      <w:r w:rsidR="00855FFB" w:rsidRPr="00932237">
        <w:rPr>
          <w:rFonts w:ascii="Arial" w:hAnsi="Arial" w:cs="Arial"/>
          <w:spacing w:val="-4"/>
          <w:sz w:val="24"/>
        </w:rPr>
        <w:t xml:space="preserve">.  </w:t>
      </w:r>
      <w:r w:rsidR="00170CE2" w:rsidRPr="00932237">
        <w:rPr>
          <w:rFonts w:ascii="Arial" w:hAnsi="Arial" w:cs="Arial"/>
          <w:spacing w:val="-4"/>
          <w:sz w:val="24"/>
        </w:rPr>
        <w:t>The majority opinion approved parts of the Model Colloquy (MC).</w:t>
      </w:r>
    </w:p>
    <w:p w14:paraId="5106175F" w14:textId="44C4CAF1" w:rsidR="00170CE2" w:rsidRPr="00932237" w:rsidRDefault="00170CE2">
      <w:pPr>
        <w:kinsoku w:val="0"/>
        <w:overflowPunct w:val="0"/>
        <w:autoSpaceDE/>
        <w:autoSpaceDN/>
        <w:adjustRightInd/>
        <w:spacing w:before="6" w:line="310" w:lineRule="exact"/>
        <w:ind w:firstLine="720"/>
        <w:jc w:val="both"/>
        <w:textAlignment w:val="baseline"/>
        <w:rPr>
          <w:rFonts w:ascii="Arial" w:hAnsi="Arial" w:cs="Arial"/>
          <w:spacing w:val="-4"/>
          <w:sz w:val="24"/>
        </w:rPr>
      </w:pPr>
      <w:r w:rsidRPr="00932237">
        <w:rPr>
          <w:rFonts w:ascii="Arial" w:hAnsi="Arial" w:cs="Arial"/>
          <w:spacing w:val="-4"/>
          <w:sz w:val="24"/>
        </w:rPr>
        <w:t xml:space="preserve">The Appellate Divisions had previously approved similar formulations of the MC waiver. </w:t>
      </w:r>
      <w:r w:rsidR="00790FD8" w:rsidRPr="00932237">
        <w:rPr>
          <w:rFonts w:ascii="Arial" w:hAnsi="Arial" w:cs="Arial"/>
          <w:spacing w:val="-4"/>
          <w:sz w:val="24"/>
        </w:rPr>
        <w:t xml:space="preserve"> </w:t>
      </w:r>
      <w:r w:rsidRPr="00932237">
        <w:rPr>
          <w:rFonts w:ascii="Arial" w:hAnsi="Arial" w:cs="Arial"/>
          <w:i/>
          <w:spacing w:val="-4"/>
          <w:sz w:val="24"/>
        </w:rPr>
        <w:t>E.g. People v Ball</w:t>
      </w:r>
      <w:r w:rsidRPr="00932237">
        <w:rPr>
          <w:rFonts w:ascii="Arial" w:hAnsi="Arial" w:cs="Arial"/>
          <w:spacing w:val="-4"/>
          <w:sz w:val="24"/>
        </w:rPr>
        <w:t xml:space="preserve">, 129 AD3d 739 </w:t>
      </w:r>
      <w:r w:rsidR="00C6432C" w:rsidRPr="00932237">
        <w:rPr>
          <w:rFonts w:ascii="Arial" w:hAnsi="Arial" w:cs="Arial"/>
          <w:spacing w:val="-4"/>
          <w:sz w:val="24"/>
        </w:rPr>
        <w:t>(</w:t>
      </w:r>
      <w:r w:rsidRPr="00932237">
        <w:rPr>
          <w:rFonts w:ascii="Arial" w:hAnsi="Arial" w:cs="Arial"/>
          <w:spacing w:val="-4"/>
          <w:sz w:val="24"/>
        </w:rPr>
        <w:t xml:space="preserve">2d Dept 2015); </w:t>
      </w:r>
      <w:r w:rsidRPr="00932237">
        <w:rPr>
          <w:rFonts w:ascii="Arial" w:hAnsi="Arial" w:cs="Arial"/>
          <w:i/>
          <w:spacing w:val="-4"/>
          <w:sz w:val="24"/>
        </w:rPr>
        <w:t>People v Contreras</w:t>
      </w:r>
      <w:r w:rsidRPr="00932237">
        <w:rPr>
          <w:rFonts w:ascii="Arial" w:hAnsi="Arial" w:cs="Arial"/>
          <w:spacing w:val="-4"/>
          <w:sz w:val="24"/>
        </w:rPr>
        <w:t xml:space="preserve">, 123 AD3d 1139 </w:t>
      </w:r>
      <w:r w:rsidR="00C6432C" w:rsidRPr="00932237">
        <w:rPr>
          <w:rFonts w:ascii="Arial" w:hAnsi="Arial" w:cs="Arial"/>
          <w:spacing w:val="-4"/>
          <w:sz w:val="24"/>
        </w:rPr>
        <w:t>(</w:t>
      </w:r>
      <w:r w:rsidRPr="00932237">
        <w:rPr>
          <w:rFonts w:ascii="Arial" w:hAnsi="Arial" w:cs="Arial"/>
          <w:spacing w:val="-4"/>
          <w:sz w:val="24"/>
        </w:rPr>
        <w:t>2d Dept 2014</w:t>
      </w:r>
      <w:r w:rsidR="00C6432C" w:rsidRPr="00932237">
        <w:rPr>
          <w:rFonts w:ascii="Arial" w:hAnsi="Arial" w:cs="Arial"/>
          <w:spacing w:val="-4"/>
          <w:sz w:val="24"/>
        </w:rPr>
        <w:t>)</w:t>
      </w:r>
      <w:r w:rsidRPr="00932237">
        <w:rPr>
          <w:rFonts w:ascii="Arial" w:hAnsi="Arial" w:cs="Arial"/>
          <w:spacing w:val="-4"/>
          <w:sz w:val="24"/>
        </w:rPr>
        <w:t xml:space="preserve">; </w:t>
      </w:r>
      <w:r w:rsidRPr="00932237">
        <w:rPr>
          <w:rFonts w:ascii="Arial" w:hAnsi="Arial" w:cs="Arial"/>
          <w:i/>
          <w:spacing w:val="-4"/>
          <w:sz w:val="24"/>
        </w:rPr>
        <w:t>People v Cannon</w:t>
      </w:r>
      <w:r w:rsidRPr="00932237">
        <w:rPr>
          <w:rFonts w:ascii="Arial" w:hAnsi="Arial" w:cs="Arial"/>
          <w:spacing w:val="-4"/>
          <w:sz w:val="24"/>
        </w:rPr>
        <w:t xml:space="preserve">, 123 AD3d 1138 </w:t>
      </w:r>
      <w:r w:rsidR="00C6432C" w:rsidRPr="00932237">
        <w:rPr>
          <w:rFonts w:ascii="Arial" w:hAnsi="Arial" w:cs="Arial"/>
          <w:spacing w:val="-4"/>
          <w:sz w:val="24"/>
        </w:rPr>
        <w:t>(</w:t>
      </w:r>
      <w:r w:rsidRPr="00932237">
        <w:rPr>
          <w:rFonts w:ascii="Arial" w:hAnsi="Arial" w:cs="Arial"/>
          <w:spacing w:val="-4"/>
          <w:sz w:val="24"/>
        </w:rPr>
        <w:t>2d Dept 2014</w:t>
      </w:r>
      <w:r w:rsidR="00C6432C" w:rsidRPr="00932237">
        <w:rPr>
          <w:rFonts w:ascii="Arial" w:hAnsi="Arial" w:cs="Arial"/>
          <w:spacing w:val="-4"/>
          <w:sz w:val="24"/>
        </w:rPr>
        <w:t>)</w:t>
      </w:r>
      <w:r w:rsidRPr="00932237">
        <w:rPr>
          <w:rFonts w:ascii="Arial" w:hAnsi="Arial" w:cs="Arial"/>
          <w:spacing w:val="-4"/>
          <w:sz w:val="24"/>
        </w:rPr>
        <w:t xml:space="preserve">; </w:t>
      </w:r>
      <w:r w:rsidRPr="00932237">
        <w:rPr>
          <w:rFonts w:ascii="Arial" w:hAnsi="Arial" w:cs="Arial"/>
          <w:i/>
          <w:spacing w:val="-4"/>
          <w:sz w:val="24"/>
        </w:rPr>
        <w:t>People v Vaiana</w:t>
      </w:r>
      <w:r w:rsidRPr="00932237">
        <w:rPr>
          <w:rFonts w:ascii="Arial" w:hAnsi="Arial" w:cs="Arial"/>
          <w:spacing w:val="-4"/>
          <w:sz w:val="24"/>
        </w:rPr>
        <w:t xml:space="preserve">, 119 AD3d 879 </w:t>
      </w:r>
      <w:r w:rsidR="00C6432C" w:rsidRPr="00932237">
        <w:rPr>
          <w:rFonts w:ascii="Arial" w:hAnsi="Arial" w:cs="Arial"/>
          <w:spacing w:val="-4"/>
          <w:sz w:val="24"/>
        </w:rPr>
        <w:t>(</w:t>
      </w:r>
      <w:r w:rsidRPr="00932237">
        <w:rPr>
          <w:rFonts w:ascii="Arial" w:hAnsi="Arial" w:cs="Arial"/>
          <w:spacing w:val="-4"/>
          <w:sz w:val="24"/>
        </w:rPr>
        <w:t>2d Dept 2014</w:t>
      </w:r>
      <w:r w:rsidR="00C6432C" w:rsidRPr="00932237">
        <w:rPr>
          <w:rFonts w:ascii="Arial" w:hAnsi="Arial" w:cs="Arial"/>
          <w:spacing w:val="-4"/>
          <w:sz w:val="24"/>
        </w:rPr>
        <w:t>)</w:t>
      </w:r>
      <w:r w:rsidRPr="00932237">
        <w:rPr>
          <w:rFonts w:ascii="Arial" w:hAnsi="Arial" w:cs="Arial"/>
          <w:spacing w:val="-4"/>
          <w:sz w:val="24"/>
        </w:rPr>
        <w:t xml:space="preserve">; </w:t>
      </w:r>
      <w:r w:rsidRPr="00932237">
        <w:rPr>
          <w:rFonts w:ascii="Arial" w:hAnsi="Arial" w:cs="Arial"/>
          <w:i/>
          <w:spacing w:val="-4"/>
          <w:sz w:val="24"/>
        </w:rPr>
        <w:t>People v Persaud</w:t>
      </w:r>
      <w:r w:rsidRPr="00932237">
        <w:rPr>
          <w:rFonts w:ascii="Arial" w:hAnsi="Arial" w:cs="Arial"/>
          <w:spacing w:val="-4"/>
          <w:sz w:val="24"/>
        </w:rPr>
        <w:t xml:space="preserve">, 118 AD3d 820 </w:t>
      </w:r>
      <w:r w:rsidR="00C6432C" w:rsidRPr="00932237">
        <w:rPr>
          <w:rFonts w:ascii="Arial" w:hAnsi="Arial" w:cs="Arial"/>
          <w:spacing w:val="-4"/>
          <w:sz w:val="24"/>
        </w:rPr>
        <w:t>(</w:t>
      </w:r>
      <w:r w:rsidRPr="00932237">
        <w:rPr>
          <w:rFonts w:ascii="Arial" w:hAnsi="Arial" w:cs="Arial"/>
          <w:spacing w:val="-4"/>
          <w:sz w:val="24"/>
        </w:rPr>
        <w:t>2d Dept 2014)</w:t>
      </w:r>
      <w:r w:rsidR="00855FFB" w:rsidRPr="00932237">
        <w:rPr>
          <w:rFonts w:ascii="Arial" w:hAnsi="Arial" w:cs="Arial"/>
          <w:spacing w:val="-4"/>
          <w:sz w:val="24"/>
        </w:rPr>
        <w:t xml:space="preserve">.  </w:t>
      </w:r>
      <w:r w:rsidRPr="00932237">
        <w:rPr>
          <w:rFonts w:ascii="Arial" w:hAnsi="Arial" w:cs="Arial"/>
          <w:spacing w:val="-4"/>
          <w:sz w:val="24"/>
        </w:rPr>
        <w:t xml:space="preserve">The references in the MC to whether the defendant has conferred with counsel and understands that the conviction will normally be final were added after </w:t>
      </w:r>
      <w:r w:rsidRPr="00932237">
        <w:rPr>
          <w:rFonts w:ascii="Arial" w:hAnsi="Arial" w:cs="Arial"/>
          <w:i/>
          <w:spacing w:val="-4"/>
          <w:sz w:val="24"/>
        </w:rPr>
        <w:t>People v Brown</w:t>
      </w:r>
      <w:r w:rsidRPr="00932237">
        <w:rPr>
          <w:rFonts w:ascii="Arial" w:hAnsi="Arial" w:cs="Arial"/>
          <w:spacing w:val="-4"/>
          <w:sz w:val="24"/>
        </w:rPr>
        <w:t>, 122 AD3d 133 (2d Dept 2014) recommended inclusion of those references.</w:t>
      </w:r>
    </w:p>
    <w:p w14:paraId="60679165" w14:textId="77777777" w:rsidR="00790FD8" w:rsidRPr="00932237" w:rsidRDefault="00170CE2">
      <w:pPr>
        <w:kinsoku w:val="0"/>
        <w:overflowPunct w:val="0"/>
        <w:autoSpaceDE/>
        <w:autoSpaceDN/>
        <w:adjustRightInd/>
        <w:spacing w:before="3" w:line="310" w:lineRule="exact"/>
        <w:ind w:firstLine="720"/>
        <w:jc w:val="both"/>
        <w:textAlignment w:val="baseline"/>
        <w:rPr>
          <w:rFonts w:ascii="Arial" w:hAnsi="Arial" w:cs="Arial"/>
          <w:sz w:val="24"/>
        </w:rPr>
      </w:pPr>
      <w:r w:rsidRPr="00932237">
        <w:rPr>
          <w:rFonts w:ascii="Arial" w:hAnsi="Arial" w:cs="Arial"/>
          <w:sz w:val="24"/>
        </w:rPr>
        <w:t xml:space="preserve">A review of all four opinions in </w:t>
      </w:r>
      <w:r w:rsidRPr="00932237">
        <w:rPr>
          <w:rFonts w:ascii="Arial" w:hAnsi="Arial" w:cs="Arial"/>
          <w:i/>
          <w:sz w:val="24"/>
        </w:rPr>
        <w:t xml:space="preserve">Thomas </w:t>
      </w:r>
      <w:r w:rsidRPr="00932237">
        <w:rPr>
          <w:rFonts w:ascii="Arial" w:hAnsi="Arial" w:cs="Arial"/>
          <w:sz w:val="24"/>
        </w:rPr>
        <w:t xml:space="preserve">suggests additions to the MC. </w:t>
      </w:r>
    </w:p>
    <w:p w14:paraId="71BB7ED6" w14:textId="4CE926C4" w:rsidR="00170CE2" w:rsidRPr="00932237" w:rsidRDefault="00170CE2">
      <w:pPr>
        <w:kinsoku w:val="0"/>
        <w:overflowPunct w:val="0"/>
        <w:autoSpaceDE/>
        <w:autoSpaceDN/>
        <w:adjustRightInd/>
        <w:spacing w:before="3" w:line="310" w:lineRule="exact"/>
        <w:ind w:firstLine="720"/>
        <w:jc w:val="both"/>
        <w:textAlignment w:val="baseline"/>
        <w:rPr>
          <w:rFonts w:ascii="Arial" w:hAnsi="Arial" w:cs="Arial"/>
          <w:sz w:val="24"/>
        </w:rPr>
      </w:pPr>
      <w:r w:rsidRPr="00932237">
        <w:rPr>
          <w:rFonts w:ascii="Arial" w:hAnsi="Arial" w:cs="Arial"/>
          <w:sz w:val="24"/>
        </w:rPr>
        <w:t xml:space="preserve">First, while the opening paragraph of the MC has met the requirement of telling a defendant that a guilty plea and appeal waiver are “separate and distinct,” the repeated use of that quoted term in the </w:t>
      </w:r>
      <w:r w:rsidRPr="00932237">
        <w:rPr>
          <w:rFonts w:ascii="Arial" w:hAnsi="Arial" w:cs="Arial"/>
          <w:i/>
          <w:sz w:val="24"/>
        </w:rPr>
        <w:t xml:space="preserve">Thomas </w:t>
      </w:r>
      <w:r w:rsidRPr="00932237">
        <w:rPr>
          <w:rFonts w:ascii="Arial" w:hAnsi="Arial" w:cs="Arial"/>
          <w:sz w:val="24"/>
        </w:rPr>
        <w:t>opinions suggest that a “belt and suspenders” approach would be to include the quoted phrase in the opening paragraph</w:t>
      </w:r>
      <w:r w:rsidR="00855FFB" w:rsidRPr="00932237">
        <w:rPr>
          <w:rFonts w:ascii="Arial" w:hAnsi="Arial" w:cs="Arial"/>
          <w:sz w:val="24"/>
        </w:rPr>
        <w:t xml:space="preserve">.  </w:t>
      </w:r>
      <w:r w:rsidRPr="00932237">
        <w:rPr>
          <w:rFonts w:ascii="Arial" w:hAnsi="Arial" w:cs="Arial"/>
          <w:sz w:val="24"/>
        </w:rPr>
        <w:t>Thus the second sentence of the first paragraph has been added.</w:t>
      </w:r>
    </w:p>
    <w:p w14:paraId="40FDC417" w14:textId="77777777" w:rsidR="00170CE2" w:rsidRPr="00932237" w:rsidRDefault="00170CE2">
      <w:pPr>
        <w:kinsoku w:val="0"/>
        <w:overflowPunct w:val="0"/>
        <w:autoSpaceDE/>
        <w:autoSpaceDN/>
        <w:adjustRightInd/>
        <w:spacing w:before="3" w:line="310" w:lineRule="exact"/>
        <w:ind w:firstLine="720"/>
        <w:jc w:val="both"/>
        <w:textAlignment w:val="baseline"/>
        <w:rPr>
          <w:rFonts w:ascii="Arial" w:hAnsi="Arial" w:cs="Arial"/>
          <w:sz w:val="24"/>
        </w:rPr>
      </w:pPr>
      <w:r w:rsidRPr="00932237">
        <w:rPr>
          <w:rFonts w:ascii="Arial" w:hAnsi="Arial" w:cs="Arial"/>
          <w:sz w:val="24"/>
        </w:rPr>
        <w:t>Second, the collective opinions suggest that even though the record shows that the waiver is intended "to cover all aspects of the case," the better practice would be for a court to expressly set forth any major aspect of the case for which appellate review is waived, as well as those items not waived.</w:t>
      </w:r>
    </w:p>
    <w:p w14:paraId="62587301" w14:textId="3A51AD19" w:rsidR="00170CE2" w:rsidRPr="00932237" w:rsidRDefault="00170CE2">
      <w:pPr>
        <w:kinsoku w:val="0"/>
        <w:overflowPunct w:val="0"/>
        <w:autoSpaceDE/>
        <w:autoSpaceDN/>
        <w:adjustRightInd/>
        <w:spacing w:before="7" w:line="310" w:lineRule="exact"/>
        <w:ind w:firstLine="720"/>
        <w:jc w:val="both"/>
        <w:textAlignment w:val="baseline"/>
        <w:rPr>
          <w:rFonts w:ascii="Arial" w:hAnsi="Arial" w:cs="Arial"/>
          <w:spacing w:val="-4"/>
          <w:sz w:val="24"/>
        </w:rPr>
      </w:pPr>
      <w:r w:rsidRPr="00932237">
        <w:rPr>
          <w:rFonts w:ascii="Arial" w:hAnsi="Arial" w:cs="Arial"/>
          <w:spacing w:val="-4"/>
          <w:sz w:val="24"/>
        </w:rPr>
        <w:t xml:space="preserve">With respect to the waiver of a major aspect of the case, the MC had included in footnote three a suggestion that the defendant be told, for example, that he/she was waiving appellate review of a denied suppression motion. </w:t>
      </w:r>
      <w:r w:rsidR="00790FD8" w:rsidRPr="00932237">
        <w:rPr>
          <w:rFonts w:ascii="Arial" w:hAnsi="Arial" w:cs="Arial"/>
          <w:spacing w:val="-4"/>
          <w:sz w:val="24"/>
        </w:rPr>
        <w:t xml:space="preserve"> </w:t>
      </w:r>
      <w:r w:rsidRPr="00932237">
        <w:rPr>
          <w:rFonts w:ascii="Arial" w:hAnsi="Arial" w:cs="Arial"/>
          <w:spacing w:val="-4"/>
          <w:sz w:val="24"/>
        </w:rPr>
        <w:t xml:space="preserve">In light of </w:t>
      </w:r>
      <w:r w:rsidRPr="00932237">
        <w:rPr>
          <w:rFonts w:ascii="Arial" w:hAnsi="Arial" w:cs="Arial"/>
          <w:i/>
          <w:spacing w:val="-4"/>
          <w:sz w:val="24"/>
        </w:rPr>
        <w:t>Thomas</w:t>
      </w:r>
      <w:r w:rsidRPr="00932237">
        <w:rPr>
          <w:rFonts w:ascii="Arial" w:hAnsi="Arial" w:cs="Arial"/>
          <w:spacing w:val="-4"/>
          <w:sz w:val="24"/>
        </w:rPr>
        <w:t xml:space="preserve">, the language of the footnote has been moved into paragraph three. </w:t>
      </w:r>
      <w:r w:rsidR="00F82B27" w:rsidRPr="00932237">
        <w:rPr>
          <w:rFonts w:ascii="Arial" w:hAnsi="Arial" w:cs="Arial"/>
          <w:spacing w:val="-4"/>
          <w:sz w:val="24"/>
        </w:rPr>
        <w:t xml:space="preserve"> </w:t>
      </w:r>
      <w:r w:rsidRPr="00932237">
        <w:rPr>
          <w:rFonts w:ascii="Arial" w:hAnsi="Arial" w:cs="Arial"/>
          <w:spacing w:val="-4"/>
          <w:sz w:val="24"/>
        </w:rPr>
        <w:t>Also, as explained in the revised footnote three, other denied motions may be waived and may warrant being noted.</w:t>
      </w:r>
    </w:p>
    <w:p w14:paraId="32DB5160" w14:textId="224D787A" w:rsidR="00170CE2" w:rsidRPr="00932237" w:rsidRDefault="00170CE2">
      <w:pPr>
        <w:numPr>
          <w:ilvl w:val="0"/>
          <w:numId w:val="1"/>
        </w:numPr>
        <w:kinsoku w:val="0"/>
        <w:overflowPunct w:val="0"/>
        <w:autoSpaceDE/>
        <w:autoSpaceDN/>
        <w:adjustRightInd/>
        <w:spacing w:before="217" w:line="310" w:lineRule="exact"/>
        <w:jc w:val="both"/>
        <w:textAlignment w:val="baseline"/>
        <w:rPr>
          <w:rFonts w:ascii="Arial" w:hAnsi="Arial" w:cs="Arial"/>
          <w:i/>
          <w:sz w:val="24"/>
        </w:rPr>
      </w:pPr>
      <w:r w:rsidRPr="00932237">
        <w:rPr>
          <w:rFonts w:ascii="Arial" w:hAnsi="Arial" w:cs="Arial"/>
          <w:sz w:val="24"/>
        </w:rPr>
        <w:t>The waiver must be made "knowingly, intelligently and voluntarily" (</w:t>
      </w:r>
      <w:r w:rsidRPr="00932237">
        <w:rPr>
          <w:rFonts w:ascii="Arial" w:hAnsi="Arial" w:cs="Arial"/>
          <w:i/>
          <w:sz w:val="24"/>
        </w:rPr>
        <w:t>People v Lopez</w:t>
      </w:r>
      <w:r w:rsidRPr="00932237">
        <w:rPr>
          <w:rFonts w:ascii="Arial" w:hAnsi="Arial" w:cs="Arial"/>
          <w:sz w:val="24"/>
        </w:rPr>
        <w:t xml:space="preserve">, 6 NY3d 248, 256 </w:t>
      </w:r>
      <w:r w:rsidR="00422223" w:rsidRPr="00932237">
        <w:rPr>
          <w:rFonts w:ascii="Arial" w:hAnsi="Arial" w:cs="Arial"/>
          <w:sz w:val="24"/>
        </w:rPr>
        <w:t>(</w:t>
      </w:r>
      <w:r w:rsidRPr="00932237">
        <w:rPr>
          <w:rFonts w:ascii="Arial" w:hAnsi="Arial" w:cs="Arial"/>
          <w:sz w:val="24"/>
        </w:rPr>
        <w:t>2006</w:t>
      </w:r>
      <w:r w:rsidR="00422223" w:rsidRPr="00932237">
        <w:rPr>
          <w:rFonts w:ascii="Arial" w:hAnsi="Arial" w:cs="Arial"/>
          <w:sz w:val="24"/>
        </w:rPr>
        <w:t>)</w:t>
      </w:r>
      <w:r w:rsidRPr="00932237">
        <w:rPr>
          <w:rFonts w:ascii="Arial" w:hAnsi="Arial" w:cs="Arial"/>
          <w:sz w:val="24"/>
        </w:rPr>
        <w:t xml:space="preserve">; </w:t>
      </w:r>
      <w:r w:rsidRPr="00932237">
        <w:rPr>
          <w:rFonts w:ascii="Arial" w:hAnsi="Arial" w:cs="Arial"/>
          <w:i/>
          <w:sz w:val="24"/>
        </w:rPr>
        <w:t>see People v Muniz</w:t>
      </w:r>
      <w:r w:rsidRPr="00932237">
        <w:rPr>
          <w:rFonts w:ascii="Arial" w:hAnsi="Arial" w:cs="Arial"/>
          <w:sz w:val="24"/>
        </w:rPr>
        <w:t xml:space="preserve">, 91 NY2d 570, 573 </w:t>
      </w:r>
      <w:r w:rsidR="00422223" w:rsidRPr="00932237">
        <w:rPr>
          <w:rFonts w:ascii="Arial" w:hAnsi="Arial" w:cs="Arial"/>
          <w:sz w:val="24"/>
        </w:rPr>
        <w:t>(</w:t>
      </w:r>
      <w:r w:rsidRPr="00932237">
        <w:rPr>
          <w:rFonts w:ascii="Arial" w:hAnsi="Arial" w:cs="Arial"/>
          <w:sz w:val="24"/>
        </w:rPr>
        <w:t>1998</w:t>
      </w:r>
      <w:r w:rsidR="00422223" w:rsidRPr="00932237">
        <w:rPr>
          <w:rFonts w:ascii="Arial" w:hAnsi="Arial" w:cs="Arial"/>
          <w:sz w:val="24"/>
        </w:rPr>
        <w:t>)</w:t>
      </w:r>
      <w:r w:rsidRPr="00932237">
        <w:rPr>
          <w:rFonts w:ascii="Arial" w:hAnsi="Arial" w:cs="Arial"/>
          <w:sz w:val="24"/>
        </w:rPr>
        <w:t>, and the defendant must understand that the waiver is independent of the waiver of rights that flow from a plea of guilty (</w:t>
      </w:r>
      <w:r w:rsidRPr="00932237">
        <w:rPr>
          <w:rFonts w:ascii="Arial" w:hAnsi="Arial" w:cs="Arial"/>
          <w:i/>
          <w:sz w:val="24"/>
        </w:rPr>
        <w:t>see People v Lopez</w:t>
      </w:r>
      <w:r w:rsidRPr="00932237">
        <w:rPr>
          <w:rFonts w:ascii="Arial" w:hAnsi="Arial" w:cs="Arial"/>
          <w:sz w:val="24"/>
        </w:rPr>
        <w:t xml:space="preserve">, </w:t>
      </w:r>
      <w:r w:rsidRPr="00932237">
        <w:rPr>
          <w:rFonts w:ascii="Arial" w:hAnsi="Arial" w:cs="Arial"/>
          <w:i/>
          <w:sz w:val="24"/>
        </w:rPr>
        <w:t>supra).</w:t>
      </w:r>
    </w:p>
    <w:p w14:paraId="4F5E6009" w14:textId="658CA480" w:rsidR="00FB6F8E" w:rsidRPr="00932237" w:rsidRDefault="00170CE2" w:rsidP="009D172E">
      <w:pPr>
        <w:kinsoku w:val="0"/>
        <w:overflowPunct w:val="0"/>
        <w:autoSpaceDE/>
        <w:autoSpaceDN/>
        <w:adjustRightInd/>
        <w:spacing w:before="6" w:line="310" w:lineRule="exact"/>
        <w:ind w:firstLine="720"/>
        <w:jc w:val="both"/>
        <w:textAlignment w:val="baseline"/>
        <w:rPr>
          <w:rFonts w:ascii="Arial" w:hAnsi="Arial" w:cs="Arial"/>
          <w:spacing w:val="-4"/>
          <w:sz w:val="24"/>
        </w:rPr>
      </w:pPr>
      <w:r w:rsidRPr="00932237">
        <w:rPr>
          <w:rFonts w:ascii="Arial" w:hAnsi="Arial" w:cs="Arial"/>
          <w:spacing w:val="-4"/>
          <w:sz w:val="24"/>
        </w:rPr>
        <w:t>A written waiver of the right to appeal may be utilized.</w:t>
      </w:r>
      <w:r w:rsidR="00790FD8" w:rsidRPr="00932237">
        <w:rPr>
          <w:rFonts w:ascii="Arial" w:hAnsi="Arial" w:cs="Arial"/>
          <w:spacing w:val="-4"/>
          <w:sz w:val="24"/>
        </w:rPr>
        <w:t xml:space="preserve"> </w:t>
      </w:r>
      <w:r w:rsidRPr="00932237">
        <w:rPr>
          <w:rFonts w:ascii="Arial" w:hAnsi="Arial" w:cs="Arial"/>
          <w:spacing w:val="-4"/>
          <w:sz w:val="24"/>
        </w:rPr>
        <w:t xml:space="preserve"> However, that writing, even with the purported signature of the defendant, is normally by itself insufficient to prove that there was a knowing, intelligent and voluntary waiver of the right to appeal</w:t>
      </w:r>
      <w:r w:rsidR="00D5386F" w:rsidRPr="00932237">
        <w:rPr>
          <w:rFonts w:ascii="Arial" w:hAnsi="Arial" w:cs="Arial"/>
          <w:spacing w:val="-4"/>
          <w:sz w:val="24"/>
        </w:rPr>
        <w:t>.</w:t>
      </w:r>
    </w:p>
    <w:p w14:paraId="46D7E472" w14:textId="77777777" w:rsidR="00170CE2" w:rsidRPr="00932237" w:rsidRDefault="00170CE2">
      <w:pPr>
        <w:widowControl/>
        <w:rPr>
          <w:rFonts w:ascii="Arial" w:hAnsi="Arial" w:cs="Arial"/>
          <w:sz w:val="24"/>
        </w:rPr>
        <w:sectPr w:rsidR="00170CE2" w:rsidRPr="00932237">
          <w:footerReference w:type="default" r:id="rId9"/>
          <w:pgSz w:w="12240" w:h="15840"/>
          <w:pgMar w:top="1360" w:right="2124" w:bottom="505" w:left="2148" w:header="720" w:footer="715" w:gutter="0"/>
          <w:cols w:space="720"/>
          <w:noEndnote/>
        </w:sectPr>
      </w:pPr>
    </w:p>
    <w:p w14:paraId="6363C5A6" w14:textId="1BDC4A50" w:rsidR="00170CE2" w:rsidRPr="00932237" w:rsidRDefault="00FB6F8E">
      <w:pPr>
        <w:kinsoku w:val="0"/>
        <w:overflowPunct w:val="0"/>
        <w:autoSpaceDE/>
        <w:autoSpaceDN/>
        <w:adjustRightInd/>
        <w:spacing w:before="15" w:line="311" w:lineRule="exact"/>
        <w:jc w:val="both"/>
        <w:textAlignment w:val="baseline"/>
        <w:rPr>
          <w:rFonts w:ascii="Arial" w:hAnsi="Arial" w:cs="Arial"/>
          <w:sz w:val="24"/>
        </w:rPr>
      </w:pPr>
      <w:r w:rsidRPr="00932237">
        <w:rPr>
          <w:rFonts w:ascii="Arial" w:hAnsi="Arial" w:cs="Arial"/>
          <w:sz w:val="24"/>
        </w:rPr>
        <w:lastRenderedPageBreak/>
        <w:t xml:space="preserve">It remains necessary for the court to “adequately assure[ ] that defendant understood the nature of the appeal </w:t>
      </w:r>
      <w:r w:rsidR="009D172E" w:rsidRPr="00932237">
        <w:rPr>
          <w:rFonts w:ascii="Arial" w:hAnsi="Arial" w:cs="Arial"/>
          <w:sz w:val="24"/>
        </w:rPr>
        <w:t>waiver (</w:t>
      </w:r>
      <w:r w:rsidR="009D172E" w:rsidRPr="00932237">
        <w:rPr>
          <w:rFonts w:ascii="Arial" w:hAnsi="Arial" w:cs="Arial"/>
          <w:i/>
          <w:iCs/>
          <w:sz w:val="24"/>
        </w:rPr>
        <w:t>People v. Elmer,</w:t>
      </w:r>
      <w:r w:rsidR="009D172E" w:rsidRPr="00932237">
        <w:rPr>
          <w:rFonts w:ascii="Arial" w:hAnsi="Arial" w:cs="Arial"/>
          <w:sz w:val="24"/>
        </w:rPr>
        <w:t xml:space="preserve"> 19 NY3d</w:t>
      </w:r>
      <w:r w:rsidRPr="00932237">
        <w:rPr>
          <w:rFonts w:ascii="Arial" w:hAnsi="Arial" w:cs="Arial"/>
          <w:sz w:val="24"/>
        </w:rPr>
        <w:t xml:space="preserve"> </w:t>
      </w:r>
      <w:r w:rsidR="00170CE2" w:rsidRPr="00932237">
        <w:rPr>
          <w:rFonts w:ascii="Arial" w:hAnsi="Arial" w:cs="Arial"/>
          <w:sz w:val="24"/>
        </w:rPr>
        <w:t xml:space="preserve">501, 510 </w:t>
      </w:r>
      <w:r w:rsidR="00E6777E" w:rsidRPr="00932237">
        <w:rPr>
          <w:rFonts w:ascii="Arial" w:hAnsi="Arial" w:cs="Arial"/>
          <w:sz w:val="24"/>
        </w:rPr>
        <w:t>(</w:t>
      </w:r>
      <w:r w:rsidR="00170CE2" w:rsidRPr="00932237">
        <w:rPr>
          <w:rFonts w:ascii="Arial" w:hAnsi="Arial" w:cs="Arial"/>
          <w:sz w:val="24"/>
        </w:rPr>
        <w:t>2012</w:t>
      </w:r>
      <w:r w:rsidR="00E6777E" w:rsidRPr="00932237">
        <w:rPr>
          <w:rFonts w:ascii="Arial" w:hAnsi="Arial" w:cs="Arial"/>
          <w:sz w:val="24"/>
        </w:rPr>
        <w:t>) (</w:t>
      </w:r>
      <w:r w:rsidR="00170CE2" w:rsidRPr="00932237">
        <w:rPr>
          <w:rFonts w:ascii="Arial" w:hAnsi="Arial" w:cs="Arial"/>
          <w:sz w:val="24"/>
        </w:rPr>
        <w:t xml:space="preserve">“There was no ‘attempt by the court to ascertain on the record an acknowledgment from defendant that he had, in fact, signed the waiver or that, if he had, he was aware of its contents'” </w:t>
      </w:r>
      <w:r w:rsidR="007F26F6" w:rsidRPr="00932237">
        <w:rPr>
          <w:rFonts w:ascii="Arial" w:hAnsi="Arial" w:cs="Arial"/>
          <w:sz w:val="24"/>
        </w:rPr>
        <w:t>[</w:t>
      </w:r>
      <w:r w:rsidR="00170CE2" w:rsidRPr="00932237">
        <w:rPr>
          <w:rFonts w:ascii="Arial" w:hAnsi="Arial" w:cs="Arial"/>
          <w:sz w:val="24"/>
        </w:rPr>
        <w:t>citation omitted]</w:t>
      </w:r>
      <w:r w:rsidR="007F26F6" w:rsidRPr="00932237">
        <w:rPr>
          <w:rFonts w:ascii="Arial" w:hAnsi="Arial" w:cs="Arial"/>
          <w:sz w:val="24"/>
        </w:rPr>
        <w:t>)</w:t>
      </w:r>
      <w:r w:rsidR="00D86061" w:rsidRPr="00932237">
        <w:rPr>
          <w:rFonts w:ascii="Arial" w:hAnsi="Arial" w:cs="Arial"/>
          <w:sz w:val="24"/>
        </w:rPr>
        <w:t xml:space="preserve">.  </w:t>
      </w:r>
      <w:r w:rsidR="00170CE2" w:rsidRPr="00932237">
        <w:rPr>
          <w:rFonts w:ascii="Arial" w:hAnsi="Arial" w:cs="Arial"/>
          <w:sz w:val="24"/>
        </w:rPr>
        <w:t xml:space="preserve"> </w:t>
      </w:r>
      <w:r w:rsidR="00D86061" w:rsidRPr="00932237">
        <w:rPr>
          <w:rFonts w:ascii="Arial" w:hAnsi="Arial" w:cs="Arial"/>
          <w:i/>
          <w:sz w:val="24"/>
        </w:rPr>
        <w:t>S</w:t>
      </w:r>
      <w:r w:rsidR="00170CE2" w:rsidRPr="00932237">
        <w:rPr>
          <w:rFonts w:ascii="Arial" w:hAnsi="Arial" w:cs="Arial"/>
          <w:i/>
          <w:sz w:val="24"/>
        </w:rPr>
        <w:t>ee People v Bradshaw</w:t>
      </w:r>
      <w:r w:rsidR="00170CE2" w:rsidRPr="00932237">
        <w:rPr>
          <w:rFonts w:ascii="Arial" w:hAnsi="Arial" w:cs="Arial"/>
          <w:sz w:val="24"/>
        </w:rPr>
        <w:t xml:space="preserve">, 18 NY3d 257 </w:t>
      </w:r>
      <w:r w:rsidR="00A33E6E" w:rsidRPr="00932237">
        <w:rPr>
          <w:rFonts w:ascii="Arial" w:hAnsi="Arial" w:cs="Arial"/>
          <w:sz w:val="24"/>
        </w:rPr>
        <w:t>(</w:t>
      </w:r>
      <w:r w:rsidR="00170CE2" w:rsidRPr="00932237">
        <w:rPr>
          <w:rFonts w:ascii="Arial" w:hAnsi="Arial" w:cs="Arial"/>
          <w:sz w:val="24"/>
        </w:rPr>
        <w:t>2011</w:t>
      </w:r>
      <w:r w:rsidR="00A33E6E" w:rsidRPr="00932237">
        <w:rPr>
          <w:rFonts w:ascii="Arial" w:hAnsi="Arial" w:cs="Arial"/>
          <w:sz w:val="24"/>
        </w:rPr>
        <w:t>)</w:t>
      </w:r>
      <w:r w:rsidR="0057511C" w:rsidRPr="00932237">
        <w:rPr>
          <w:rFonts w:ascii="Arial" w:hAnsi="Arial" w:cs="Arial"/>
          <w:sz w:val="24"/>
        </w:rPr>
        <w:t xml:space="preserve">.  </w:t>
      </w:r>
      <w:r w:rsidR="00170CE2" w:rsidRPr="00932237">
        <w:rPr>
          <w:rFonts w:ascii="Arial" w:hAnsi="Arial" w:cs="Arial"/>
          <w:i/>
          <w:sz w:val="24"/>
        </w:rPr>
        <w:t>People v Calvi</w:t>
      </w:r>
      <w:r w:rsidR="00170CE2" w:rsidRPr="00932237">
        <w:rPr>
          <w:rFonts w:ascii="Arial" w:hAnsi="Arial" w:cs="Arial"/>
          <w:sz w:val="24"/>
        </w:rPr>
        <w:t xml:space="preserve">, 89 NY2d 868 </w:t>
      </w:r>
      <w:r w:rsidR="001273A1" w:rsidRPr="00932237">
        <w:rPr>
          <w:rFonts w:ascii="Arial" w:hAnsi="Arial" w:cs="Arial"/>
          <w:sz w:val="24"/>
        </w:rPr>
        <w:t>(</w:t>
      </w:r>
      <w:r w:rsidR="00170CE2" w:rsidRPr="00932237">
        <w:rPr>
          <w:rFonts w:ascii="Arial" w:hAnsi="Arial" w:cs="Arial"/>
          <w:sz w:val="24"/>
        </w:rPr>
        <w:t>1996</w:t>
      </w:r>
      <w:r w:rsidR="001273A1" w:rsidRPr="00932237">
        <w:rPr>
          <w:rFonts w:ascii="Arial" w:hAnsi="Arial" w:cs="Arial"/>
          <w:sz w:val="24"/>
        </w:rPr>
        <w:t>)</w:t>
      </w:r>
      <w:r w:rsidR="00170CE2" w:rsidRPr="00932237">
        <w:rPr>
          <w:rFonts w:ascii="Arial" w:hAnsi="Arial" w:cs="Arial"/>
          <w:sz w:val="24"/>
        </w:rPr>
        <w:t xml:space="preserve">; </w:t>
      </w:r>
      <w:r w:rsidR="00170CE2" w:rsidRPr="00932237">
        <w:rPr>
          <w:rFonts w:ascii="Arial" w:hAnsi="Arial" w:cs="Arial"/>
          <w:i/>
          <w:sz w:val="24"/>
        </w:rPr>
        <w:t xml:space="preserve">People v Callahan </w:t>
      </w:r>
      <w:r w:rsidR="00170CE2" w:rsidRPr="00932237">
        <w:rPr>
          <w:rFonts w:ascii="Arial" w:hAnsi="Arial" w:cs="Arial"/>
          <w:sz w:val="24"/>
        </w:rPr>
        <w:t>[</w:t>
      </w:r>
      <w:r w:rsidR="00170CE2" w:rsidRPr="00932237">
        <w:rPr>
          <w:rFonts w:ascii="Arial" w:hAnsi="Arial" w:cs="Arial"/>
          <w:i/>
          <w:sz w:val="24"/>
        </w:rPr>
        <w:t>DeSimone</w:t>
      </w:r>
      <w:r w:rsidR="00170CE2" w:rsidRPr="00932237">
        <w:rPr>
          <w:rFonts w:ascii="Arial" w:hAnsi="Arial" w:cs="Arial"/>
          <w:sz w:val="24"/>
        </w:rPr>
        <w:t xml:space="preserve">], 80 NY2d 273 </w:t>
      </w:r>
      <w:r w:rsidR="001273A1" w:rsidRPr="00932237">
        <w:rPr>
          <w:rFonts w:ascii="Arial" w:hAnsi="Arial" w:cs="Arial"/>
          <w:sz w:val="24"/>
        </w:rPr>
        <w:t>(</w:t>
      </w:r>
      <w:r w:rsidR="00170CE2" w:rsidRPr="00932237">
        <w:rPr>
          <w:rFonts w:ascii="Arial" w:hAnsi="Arial" w:cs="Arial"/>
          <w:sz w:val="24"/>
        </w:rPr>
        <w:t>1992</w:t>
      </w:r>
      <w:r w:rsidR="001273A1" w:rsidRPr="00932237">
        <w:rPr>
          <w:rFonts w:ascii="Arial" w:hAnsi="Arial" w:cs="Arial"/>
          <w:sz w:val="24"/>
        </w:rPr>
        <w:t>).</w:t>
      </w:r>
      <w:r w:rsidR="00D86061" w:rsidRPr="00932237">
        <w:rPr>
          <w:rFonts w:ascii="Arial" w:hAnsi="Arial" w:cs="Arial"/>
          <w:sz w:val="24"/>
        </w:rPr>
        <w:t xml:space="preserve"> </w:t>
      </w:r>
      <w:r w:rsidR="00170CE2" w:rsidRPr="00932237">
        <w:rPr>
          <w:rFonts w:ascii="Arial" w:hAnsi="Arial" w:cs="Arial"/>
          <w:sz w:val="24"/>
        </w:rPr>
        <w:t xml:space="preserve"> </w:t>
      </w:r>
      <w:r w:rsidR="00D86061" w:rsidRPr="00932237">
        <w:rPr>
          <w:rFonts w:ascii="Arial" w:hAnsi="Arial" w:cs="Arial"/>
          <w:i/>
          <w:iCs/>
          <w:sz w:val="24"/>
        </w:rPr>
        <w:t>C</w:t>
      </w:r>
      <w:r w:rsidR="00855FFB" w:rsidRPr="00932237">
        <w:rPr>
          <w:rFonts w:ascii="Arial" w:hAnsi="Arial" w:cs="Arial"/>
          <w:i/>
          <w:iCs/>
          <w:sz w:val="24"/>
        </w:rPr>
        <w:t>f.</w:t>
      </w:r>
      <w:r w:rsidR="00855FFB" w:rsidRPr="00932237">
        <w:rPr>
          <w:rFonts w:ascii="Arial" w:hAnsi="Arial" w:cs="Arial"/>
          <w:i/>
          <w:sz w:val="24"/>
        </w:rPr>
        <w:t xml:space="preserve">  </w:t>
      </w:r>
      <w:r w:rsidR="00170CE2" w:rsidRPr="00932237">
        <w:rPr>
          <w:rFonts w:ascii="Arial" w:hAnsi="Arial" w:cs="Arial"/>
          <w:i/>
          <w:sz w:val="24"/>
        </w:rPr>
        <w:t>People v Ramos</w:t>
      </w:r>
      <w:r w:rsidR="00170CE2" w:rsidRPr="00932237">
        <w:rPr>
          <w:rFonts w:ascii="Arial" w:hAnsi="Arial" w:cs="Arial"/>
          <w:sz w:val="24"/>
        </w:rPr>
        <w:t xml:space="preserve">, 7 NY3d 737 </w:t>
      </w:r>
      <w:r w:rsidR="001273A1" w:rsidRPr="00932237">
        <w:rPr>
          <w:rFonts w:ascii="Arial" w:hAnsi="Arial" w:cs="Arial"/>
          <w:sz w:val="24"/>
        </w:rPr>
        <w:t>(</w:t>
      </w:r>
      <w:r w:rsidR="00170CE2" w:rsidRPr="00932237">
        <w:rPr>
          <w:rFonts w:ascii="Arial" w:hAnsi="Arial" w:cs="Arial"/>
          <w:sz w:val="24"/>
        </w:rPr>
        <w:t>2006</w:t>
      </w:r>
      <w:r w:rsidR="001273A1" w:rsidRPr="00932237">
        <w:rPr>
          <w:rFonts w:ascii="Arial" w:hAnsi="Arial" w:cs="Arial"/>
          <w:sz w:val="24"/>
        </w:rPr>
        <w:t>) (</w:t>
      </w:r>
      <w:r w:rsidR="00170CE2" w:rsidRPr="00932237">
        <w:rPr>
          <w:rFonts w:ascii="Arial" w:hAnsi="Arial" w:cs="Arial"/>
          <w:sz w:val="24"/>
        </w:rPr>
        <w:t>the defendant adequately orally acknowledged that he understood by the writing that he was waiving his right to appeal).</w:t>
      </w:r>
    </w:p>
    <w:p w14:paraId="05A26227" w14:textId="05EBE4CE" w:rsidR="00170CE2" w:rsidRPr="00932237" w:rsidRDefault="00170CE2">
      <w:pPr>
        <w:numPr>
          <w:ilvl w:val="0"/>
          <w:numId w:val="2"/>
        </w:numPr>
        <w:kinsoku w:val="0"/>
        <w:overflowPunct w:val="0"/>
        <w:autoSpaceDE/>
        <w:autoSpaceDN/>
        <w:adjustRightInd/>
        <w:spacing w:before="207" w:line="311" w:lineRule="exact"/>
        <w:jc w:val="both"/>
        <w:textAlignment w:val="baseline"/>
        <w:rPr>
          <w:rFonts w:ascii="Arial" w:hAnsi="Arial" w:cs="Arial"/>
          <w:spacing w:val="-4"/>
          <w:sz w:val="24"/>
        </w:rPr>
      </w:pPr>
      <w:r w:rsidRPr="00932237">
        <w:rPr>
          <w:rFonts w:ascii="Arial" w:hAnsi="Arial" w:cs="Arial"/>
          <w:spacing w:val="-4"/>
          <w:sz w:val="24"/>
        </w:rPr>
        <w:t>Prior to decisional law approving a waiver of the right to appeal, a defendant could separately waive the right to appeal a determination of a suppression hearing</w:t>
      </w:r>
      <w:r w:rsidR="00350968" w:rsidRPr="00932237">
        <w:rPr>
          <w:rFonts w:ascii="Arial" w:hAnsi="Arial" w:cs="Arial"/>
          <w:spacing w:val="-4"/>
          <w:sz w:val="24"/>
        </w:rPr>
        <w:t xml:space="preserve">.  </w:t>
      </w:r>
      <w:r w:rsidR="00350968" w:rsidRPr="00932237">
        <w:rPr>
          <w:rFonts w:ascii="Arial" w:hAnsi="Arial" w:cs="Arial"/>
          <w:i/>
          <w:iCs/>
          <w:spacing w:val="-4"/>
          <w:sz w:val="24"/>
        </w:rPr>
        <w:t>See</w:t>
      </w:r>
      <w:r w:rsidRPr="00932237">
        <w:rPr>
          <w:rFonts w:ascii="Arial" w:hAnsi="Arial" w:cs="Arial"/>
          <w:i/>
          <w:iCs/>
          <w:spacing w:val="-4"/>
          <w:sz w:val="24"/>
        </w:rPr>
        <w:t xml:space="preserve"> </w:t>
      </w:r>
      <w:r w:rsidRPr="00932237">
        <w:rPr>
          <w:rFonts w:ascii="Arial" w:hAnsi="Arial" w:cs="Arial"/>
          <w:i/>
          <w:spacing w:val="-4"/>
          <w:sz w:val="24"/>
        </w:rPr>
        <w:t>People v Williams</w:t>
      </w:r>
      <w:r w:rsidRPr="00932237">
        <w:rPr>
          <w:rFonts w:ascii="Arial" w:hAnsi="Arial" w:cs="Arial"/>
          <w:spacing w:val="-4"/>
          <w:sz w:val="24"/>
        </w:rPr>
        <w:t xml:space="preserve">, 36 NY2d 829 </w:t>
      </w:r>
      <w:r w:rsidR="001273A1" w:rsidRPr="00932237">
        <w:rPr>
          <w:rFonts w:ascii="Arial" w:hAnsi="Arial" w:cs="Arial"/>
          <w:spacing w:val="-4"/>
          <w:sz w:val="24"/>
        </w:rPr>
        <w:t>(</w:t>
      </w:r>
      <w:r w:rsidRPr="00932237">
        <w:rPr>
          <w:rFonts w:ascii="Arial" w:hAnsi="Arial" w:cs="Arial"/>
          <w:spacing w:val="-4"/>
          <w:sz w:val="24"/>
        </w:rPr>
        <w:t>1975</w:t>
      </w:r>
      <w:r w:rsidR="001273A1" w:rsidRPr="00932237">
        <w:rPr>
          <w:rFonts w:ascii="Arial" w:hAnsi="Arial" w:cs="Arial"/>
          <w:spacing w:val="-4"/>
          <w:sz w:val="24"/>
        </w:rPr>
        <w:t>).</w:t>
      </w:r>
      <w:r w:rsidRPr="00932237">
        <w:rPr>
          <w:rFonts w:ascii="Arial" w:hAnsi="Arial" w:cs="Arial"/>
          <w:spacing w:val="-4"/>
          <w:sz w:val="24"/>
        </w:rPr>
        <w:t xml:space="preserve"> </w:t>
      </w:r>
      <w:r w:rsidR="001B552F" w:rsidRPr="00932237">
        <w:rPr>
          <w:rFonts w:ascii="Arial" w:hAnsi="Arial" w:cs="Arial"/>
          <w:spacing w:val="-4"/>
          <w:sz w:val="24"/>
        </w:rPr>
        <w:t xml:space="preserve"> </w:t>
      </w:r>
      <w:r w:rsidRPr="00932237">
        <w:rPr>
          <w:rFonts w:ascii="Arial" w:hAnsi="Arial" w:cs="Arial"/>
          <w:spacing w:val="-4"/>
          <w:sz w:val="24"/>
        </w:rPr>
        <w:t xml:space="preserve">Once the waiver of the right to appeal was approved and included a waiver of review of a suppression decision, a separate waiver of the right to appeal a suppression decision became unnecessary. </w:t>
      </w:r>
      <w:r w:rsidR="00223B28" w:rsidRPr="00932237">
        <w:rPr>
          <w:rFonts w:ascii="Arial" w:hAnsi="Arial" w:cs="Arial"/>
          <w:spacing w:val="-4"/>
          <w:sz w:val="24"/>
        </w:rPr>
        <w:t xml:space="preserve"> </w:t>
      </w:r>
      <w:r w:rsidRPr="00932237">
        <w:rPr>
          <w:rFonts w:ascii="Arial" w:hAnsi="Arial" w:cs="Arial"/>
          <w:spacing w:val="-4"/>
          <w:sz w:val="24"/>
        </w:rPr>
        <w:t>Thus, if applicable, the court should add the words in brackets.</w:t>
      </w:r>
    </w:p>
    <w:p w14:paraId="419C1469" w14:textId="07B27804" w:rsidR="00170CE2" w:rsidRPr="007431F9" w:rsidRDefault="00170CE2">
      <w:pPr>
        <w:kinsoku w:val="0"/>
        <w:overflowPunct w:val="0"/>
        <w:autoSpaceDE/>
        <w:autoSpaceDN/>
        <w:adjustRightInd/>
        <w:spacing w:before="1" w:line="311" w:lineRule="exact"/>
        <w:ind w:firstLine="720"/>
        <w:jc w:val="both"/>
        <w:textAlignment w:val="baseline"/>
        <w:rPr>
          <w:rFonts w:ascii="Arial" w:hAnsi="Arial" w:cs="Arial"/>
          <w:sz w:val="24"/>
        </w:rPr>
      </w:pPr>
      <w:r w:rsidRPr="00932237">
        <w:rPr>
          <w:rFonts w:ascii="Arial" w:hAnsi="Arial" w:cs="Arial"/>
          <w:sz w:val="24"/>
        </w:rPr>
        <w:t xml:space="preserve">As of January 1, 2020, a plea of guilty will not waive appellate review of a CPL 30.30 lack of speedy trial claim. </w:t>
      </w:r>
      <w:r w:rsidR="00376BB5" w:rsidRPr="00932237">
        <w:rPr>
          <w:rFonts w:ascii="Arial" w:hAnsi="Arial" w:cs="Arial"/>
          <w:sz w:val="24"/>
        </w:rPr>
        <w:t xml:space="preserve"> </w:t>
      </w:r>
      <w:r w:rsidRPr="00932237">
        <w:rPr>
          <w:rFonts w:ascii="Arial" w:hAnsi="Arial" w:cs="Arial"/>
          <w:sz w:val="24"/>
        </w:rPr>
        <w:t xml:space="preserve">The statute, however, does not preclude a waiver of the right of appeal including a waiver of appellate review </w:t>
      </w:r>
      <w:r w:rsidRPr="007431F9">
        <w:rPr>
          <w:rFonts w:ascii="Arial" w:hAnsi="Arial" w:cs="Arial"/>
          <w:sz w:val="24"/>
        </w:rPr>
        <w:t xml:space="preserve">of a CPL 30.30 claim. </w:t>
      </w:r>
      <w:r w:rsidR="007245F1" w:rsidRPr="007431F9">
        <w:rPr>
          <w:rFonts w:ascii="Arial" w:hAnsi="Arial" w:cs="Arial"/>
          <w:sz w:val="24"/>
        </w:rPr>
        <w:t xml:space="preserve"> </w:t>
      </w:r>
      <w:r w:rsidRPr="007431F9">
        <w:rPr>
          <w:rFonts w:ascii="Arial" w:hAnsi="Arial" w:cs="Arial"/>
          <w:sz w:val="24"/>
        </w:rPr>
        <w:t>Thus, if the court decided a CPL 30.30 motion, it may wish to include that among the claims waived.</w:t>
      </w:r>
    </w:p>
    <w:p w14:paraId="7951E243" w14:textId="791387A8" w:rsidR="00E0572A" w:rsidRPr="007431F9" w:rsidRDefault="00CE52C5" w:rsidP="00B33B30">
      <w:pPr>
        <w:pStyle w:val="ListParagraph"/>
        <w:widowControl/>
        <w:numPr>
          <w:ilvl w:val="0"/>
          <w:numId w:val="3"/>
        </w:numPr>
        <w:tabs>
          <w:tab w:val="clear" w:pos="720"/>
          <w:tab w:val="num" w:pos="0"/>
        </w:tabs>
        <w:kinsoku w:val="0"/>
        <w:overflowPunct w:val="0"/>
        <w:autoSpaceDE/>
        <w:autoSpaceDN/>
        <w:adjustRightInd/>
        <w:snapToGrid w:val="0"/>
        <w:spacing w:before="207" w:line="311" w:lineRule="exact"/>
        <w:ind w:left="0"/>
        <w:jc w:val="both"/>
        <w:textAlignment w:val="baseline"/>
        <w:rPr>
          <w:rFonts w:ascii="Arial" w:eastAsia="Times New Roman" w:hAnsi="Arial" w:cs="Arial"/>
          <w:sz w:val="24"/>
          <w:lang w:val="x-none"/>
        </w:rPr>
      </w:pPr>
      <w:r w:rsidRPr="007431F9">
        <w:rPr>
          <w:rFonts w:ascii="Arial" w:hAnsi="Arial" w:cs="Arial"/>
          <w:sz w:val="24"/>
        </w:rPr>
        <w:t>The Court of Appeals has determined that</w:t>
      </w:r>
      <w:r w:rsidR="00041A0B" w:rsidRPr="007431F9">
        <w:rPr>
          <w:rFonts w:ascii="Arial" w:hAnsi="Arial" w:cs="Arial"/>
          <w:sz w:val="24"/>
        </w:rPr>
        <w:t xml:space="preserve"> </w:t>
      </w:r>
      <w:r w:rsidR="007431F9">
        <w:rPr>
          <w:rFonts w:ascii="Arial" w:hAnsi="Arial" w:cs="Arial"/>
          <w:sz w:val="24"/>
        </w:rPr>
        <w:t>there are</w:t>
      </w:r>
      <w:r w:rsidRPr="007431F9">
        <w:rPr>
          <w:rFonts w:ascii="Arial" w:hAnsi="Arial" w:cs="Arial"/>
          <w:sz w:val="24"/>
        </w:rPr>
        <w:t xml:space="preserve"> some “categories of claims which affect the fundamental fairness of the process and society’s interest in maintaining the integrity of criminal proceedings, and therefore cannot be waived.</w:t>
      </w:r>
      <w:r w:rsidR="00557B2E" w:rsidRPr="007431F9">
        <w:rPr>
          <w:rFonts w:ascii="Arial" w:hAnsi="Arial" w:cs="Arial"/>
          <w:sz w:val="24"/>
        </w:rPr>
        <w:t>”</w:t>
      </w:r>
      <w:r w:rsidR="00277B71" w:rsidRPr="007431F9">
        <w:rPr>
          <w:rFonts w:ascii="Arial" w:hAnsi="Arial" w:cs="Arial"/>
          <w:sz w:val="24"/>
        </w:rPr>
        <w:t xml:space="preserve"> </w:t>
      </w:r>
      <w:r w:rsidRPr="007431F9">
        <w:rPr>
          <w:rFonts w:ascii="Arial" w:eastAsia="Times New Roman" w:hAnsi="Arial" w:cs="Arial"/>
          <w:sz w:val="24"/>
        </w:rPr>
        <w:t xml:space="preserve"> </w:t>
      </w:r>
      <w:r w:rsidR="00EA40C8" w:rsidRPr="007431F9">
        <w:rPr>
          <w:rFonts w:ascii="Arial" w:eastAsia="Times New Roman" w:hAnsi="Arial" w:cs="Arial"/>
          <w:i/>
          <w:iCs/>
          <w:sz w:val="24"/>
        </w:rPr>
        <w:t>People v Campbell</w:t>
      </w:r>
      <w:r w:rsidR="00EA40C8" w:rsidRPr="007431F9">
        <w:rPr>
          <w:rFonts w:ascii="Arial" w:eastAsia="Times New Roman" w:hAnsi="Arial" w:cs="Arial"/>
          <w:sz w:val="24"/>
        </w:rPr>
        <w:t>, 97 NY2d 532, 535 (2002)</w:t>
      </w:r>
      <w:r w:rsidR="007E2403" w:rsidRPr="007431F9">
        <w:rPr>
          <w:rFonts w:ascii="Arial" w:eastAsia="Times New Roman" w:hAnsi="Arial" w:cs="Arial"/>
          <w:sz w:val="24"/>
        </w:rPr>
        <w:t xml:space="preserve">.  </w:t>
      </w:r>
      <w:r w:rsidR="007E2403" w:rsidRPr="007431F9">
        <w:rPr>
          <w:rFonts w:ascii="Arial" w:eastAsia="Times New Roman" w:hAnsi="Arial" w:cs="Arial"/>
          <w:i/>
          <w:iCs/>
          <w:sz w:val="24"/>
        </w:rPr>
        <w:t>See</w:t>
      </w:r>
      <w:r w:rsidR="007E2403" w:rsidRPr="007431F9">
        <w:rPr>
          <w:rFonts w:ascii="Arial" w:eastAsia="Times New Roman" w:hAnsi="Arial" w:cs="Arial"/>
          <w:sz w:val="24"/>
        </w:rPr>
        <w:t xml:space="preserve"> </w:t>
      </w:r>
      <w:r w:rsidR="007E2403" w:rsidRPr="007431F9">
        <w:rPr>
          <w:rFonts w:ascii="Arial" w:hAnsi="Arial" w:cs="Arial"/>
          <w:i/>
          <w:sz w:val="24"/>
        </w:rPr>
        <w:t>People v Thomas</w:t>
      </w:r>
      <w:r w:rsidR="007E2403" w:rsidRPr="007431F9">
        <w:rPr>
          <w:rFonts w:ascii="Arial" w:hAnsi="Arial" w:cs="Arial"/>
          <w:sz w:val="24"/>
        </w:rPr>
        <w:t>, 25 NY3d at 559 (cannot waive a claim that "the voluntariness of the appeal waiver"];</w:t>
      </w:r>
      <w:bookmarkStart w:id="0" w:name="_Hlk110175300"/>
      <w:r w:rsidR="007E2403" w:rsidRPr="007431F9">
        <w:rPr>
          <w:rFonts w:ascii="Arial" w:eastAsia="Times New Roman" w:hAnsi="Arial" w:cs="Arial"/>
          <w:i/>
          <w:iCs/>
          <w:sz w:val="24"/>
        </w:rPr>
        <w:t xml:space="preserve"> People v Campbell</w:t>
      </w:r>
      <w:r w:rsidR="007E2403" w:rsidRPr="007431F9">
        <w:rPr>
          <w:rFonts w:ascii="Arial" w:eastAsia="Times New Roman" w:hAnsi="Arial" w:cs="Arial"/>
          <w:sz w:val="24"/>
        </w:rPr>
        <w:t>, 97 NY2d 532, 535 (2002)</w:t>
      </w:r>
      <w:bookmarkEnd w:id="0"/>
      <w:r w:rsidR="00D120C7" w:rsidRPr="007431F9">
        <w:rPr>
          <w:rFonts w:ascii="Arial" w:eastAsia="Times New Roman" w:hAnsi="Arial" w:cs="Arial"/>
          <w:sz w:val="24"/>
        </w:rPr>
        <w:t xml:space="preserve"> (cannot waive a </w:t>
      </w:r>
      <w:r w:rsidR="00A23A71" w:rsidRPr="007431F9">
        <w:rPr>
          <w:rFonts w:ascii="Arial" w:eastAsia="Times New Roman" w:hAnsi="Arial" w:cs="Arial"/>
          <w:sz w:val="24"/>
        </w:rPr>
        <w:t xml:space="preserve">claim of a denied </w:t>
      </w:r>
      <w:r w:rsidR="00A23A71" w:rsidRPr="007431F9">
        <w:rPr>
          <w:rFonts w:ascii="Arial" w:hAnsi="Arial" w:cs="Arial"/>
          <w:sz w:val="24"/>
        </w:rPr>
        <w:t>“</w:t>
      </w:r>
      <w:r w:rsidRPr="007431F9">
        <w:rPr>
          <w:rFonts w:ascii="Arial" w:eastAsia="Times New Roman" w:hAnsi="Arial" w:cs="Arial"/>
          <w:sz w:val="24"/>
        </w:rPr>
        <w:t>speedy trial, challenges to the legality of court-imposed sentences and questions as to a defendant's competency to stand trial</w:t>
      </w:r>
      <w:r w:rsidR="004F3686" w:rsidRPr="007431F9">
        <w:rPr>
          <w:rFonts w:ascii="Arial" w:eastAsia="Times New Roman" w:hAnsi="Arial" w:cs="Arial"/>
          <w:sz w:val="24"/>
        </w:rPr>
        <w:t xml:space="preserve">”; </w:t>
      </w:r>
      <w:r w:rsidR="00170CE2" w:rsidRPr="007431F9">
        <w:rPr>
          <w:rFonts w:ascii="Arial" w:hAnsi="Arial" w:cs="Arial"/>
          <w:i/>
          <w:sz w:val="24"/>
        </w:rPr>
        <w:t xml:space="preserve">People v Seaberg, </w:t>
      </w:r>
      <w:r w:rsidR="00170CE2" w:rsidRPr="007431F9">
        <w:rPr>
          <w:rFonts w:ascii="Arial" w:hAnsi="Arial" w:cs="Arial"/>
          <w:sz w:val="24"/>
        </w:rPr>
        <w:t xml:space="preserve">74 NY2d 1 (1989). </w:t>
      </w:r>
      <w:r w:rsidR="004713EF" w:rsidRPr="007431F9">
        <w:rPr>
          <w:rFonts w:ascii="Arial" w:hAnsi="Arial" w:cs="Arial"/>
          <w:sz w:val="24"/>
        </w:rPr>
        <w:t xml:space="preserve"> </w:t>
      </w:r>
      <w:r w:rsidR="00170CE2" w:rsidRPr="007431F9">
        <w:rPr>
          <w:rFonts w:ascii="Arial" w:hAnsi="Arial" w:cs="Arial"/>
          <w:sz w:val="24"/>
        </w:rPr>
        <w:t xml:space="preserve">If </w:t>
      </w:r>
      <w:r w:rsidR="00824EA4" w:rsidRPr="007431F9">
        <w:rPr>
          <w:rFonts w:ascii="Arial" w:hAnsi="Arial" w:cs="Arial"/>
          <w:sz w:val="24"/>
        </w:rPr>
        <w:t>a</w:t>
      </w:r>
      <w:r w:rsidR="00170CE2" w:rsidRPr="007431F9">
        <w:rPr>
          <w:rFonts w:ascii="Arial" w:hAnsi="Arial" w:cs="Arial"/>
          <w:sz w:val="24"/>
        </w:rPr>
        <w:t xml:space="preserve"> defendant is eligible for adjudication as a youthful offender and the sentencing court fails to exercise its discretion to consider whether to impose same, that failure will be reviewable on appeal even though the defendant waived the right to appeal.</w:t>
      </w:r>
      <w:r w:rsidR="0049384D" w:rsidRPr="007431F9">
        <w:rPr>
          <w:rFonts w:ascii="Arial" w:hAnsi="Arial" w:cs="Arial"/>
          <w:sz w:val="24"/>
        </w:rPr>
        <w:t xml:space="preserve">  </w:t>
      </w:r>
      <w:r w:rsidR="00824EA4" w:rsidRPr="007431F9">
        <w:rPr>
          <w:rFonts w:ascii="Arial" w:eastAsia="Times New Roman" w:hAnsi="Arial" w:cs="Arial"/>
          <w:i/>
          <w:sz w:val="24"/>
        </w:rPr>
        <w:t xml:space="preserve">People v </w:t>
      </w:r>
      <w:r w:rsidR="00E0572A" w:rsidRPr="007431F9">
        <w:rPr>
          <w:rFonts w:ascii="Arial" w:eastAsia="Times New Roman" w:hAnsi="Arial" w:cs="Arial"/>
          <w:i/>
          <w:sz w:val="24"/>
          <w:lang w:val="x-none"/>
        </w:rPr>
        <w:t xml:space="preserve">Pacherille, </w:t>
      </w:r>
      <w:r w:rsidR="00E0572A" w:rsidRPr="007431F9">
        <w:rPr>
          <w:rFonts w:ascii="Arial" w:eastAsia="Times New Roman" w:hAnsi="Arial" w:cs="Arial"/>
          <w:sz w:val="24"/>
          <w:lang w:val="x-none"/>
        </w:rPr>
        <w:t>25 N.Y.3d 1021</w:t>
      </w:r>
      <w:r w:rsidR="00824EA4" w:rsidRPr="007431F9">
        <w:rPr>
          <w:rFonts w:ascii="Arial" w:eastAsia="Times New Roman" w:hAnsi="Arial" w:cs="Arial"/>
          <w:sz w:val="24"/>
        </w:rPr>
        <w:t xml:space="preserve"> </w:t>
      </w:r>
      <w:r w:rsidR="00E0572A" w:rsidRPr="007431F9">
        <w:rPr>
          <w:rFonts w:ascii="Arial" w:eastAsia="Times New Roman" w:hAnsi="Arial" w:cs="Arial"/>
          <w:sz w:val="24"/>
          <w:lang w:val="x-none"/>
        </w:rPr>
        <w:t>(2015).</w:t>
      </w:r>
    </w:p>
    <w:p w14:paraId="2DA3B1FB" w14:textId="63F2A1AF" w:rsidR="00F5096C" w:rsidRPr="007431F9" w:rsidRDefault="00824EA4" w:rsidP="00E13E92">
      <w:pPr>
        <w:tabs>
          <w:tab w:val="left" w:pos="1580"/>
        </w:tabs>
        <w:kinsoku w:val="0"/>
        <w:overflowPunct w:val="0"/>
        <w:autoSpaceDE/>
        <w:autoSpaceDN/>
        <w:adjustRightInd/>
        <w:spacing w:before="207" w:line="311" w:lineRule="exact"/>
        <w:jc w:val="both"/>
        <w:textAlignment w:val="baseline"/>
        <w:rPr>
          <w:rFonts w:ascii="Arial" w:hAnsi="Arial" w:cs="Arial"/>
          <w:sz w:val="24"/>
        </w:rPr>
      </w:pPr>
      <w:r w:rsidRPr="007431F9">
        <w:rPr>
          <w:rFonts w:ascii="Arial" w:hAnsi="Arial" w:cs="Arial"/>
          <w:sz w:val="24"/>
        </w:rPr>
        <w:t xml:space="preserve">            </w:t>
      </w:r>
      <w:r w:rsidR="00D11B75" w:rsidRPr="007431F9">
        <w:rPr>
          <w:rFonts w:ascii="Arial" w:hAnsi="Arial" w:cs="Arial"/>
          <w:iCs/>
          <w:sz w:val="24"/>
        </w:rPr>
        <w:t xml:space="preserve">With respect </w:t>
      </w:r>
      <w:r w:rsidR="007431F9" w:rsidRPr="007431F9">
        <w:rPr>
          <w:rFonts w:ascii="Arial" w:hAnsi="Arial" w:cs="Arial"/>
          <w:iCs/>
          <w:sz w:val="24"/>
        </w:rPr>
        <w:t>to</w:t>
      </w:r>
      <w:r w:rsidR="00D11B75" w:rsidRPr="007431F9">
        <w:rPr>
          <w:rFonts w:ascii="Arial" w:hAnsi="Arial" w:cs="Arial"/>
          <w:iCs/>
          <w:sz w:val="24"/>
        </w:rPr>
        <w:t xml:space="preserve"> </w:t>
      </w:r>
      <w:r w:rsidR="004C0D5F" w:rsidRPr="007431F9">
        <w:rPr>
          <w:rFonts w:ascii="Arial" w:hAnsi="Arial" w:cs="Arial"/>
          <w:iCs/>
          <w:sz w:val="24"/>
        </w:rPr>
        <w:t xml:space="preserve">issues </w:t>
      </w:r>
      <w:r w:rsidR="00D11B75" w:rsidRPr="007431F9">
        <w:rPr>
          <w:rFonts w:ascii="Arial" w:hAnsi="Arial" w:cs="Arial"/>
          <w:iCs/>
          <w:sz w:val="24"/>
        </w:rPr>
        <w:t xml:space="preserve">for which appellate review is not waived, the fourth paragraph of the MC that listed those aspects as “optional” are now recommended to be told to a defendant in every case. </w:t>
      </w:r>
      <w:r w:rsidR="004C0D5F" w:rsidRPr="007431F9">
        <w:rPr>
          <w:rFonts w:ascii="Arial" w:hAnsi="Arial" w:cs="Arial"/>
          <w:iCs/>
          <w:sz w:val="24"/>
        </w:rPr>
        <w:t xml:space="preserve"> </w:t>
      </w:r>
      <w:r w:rsidR="004C0D5F" w:rsidRPr="007431F9">
        <w:rPr>
          <w:rFonts w:ascii="Arial" w:hAnsi="Arial" w:cs="Arial"/>
          <w:i/>
          <w:sz w:val="24"/>
        </w:rPr>
        <w:t>But see People v Stevens,</w:t>
      </w:r>
      <w:r w:rsidR="004C0D5F" w:rsidRPr="007431F9">
        <w:rPr>
          <w:rFonts w:ascii="Arial" w:hAnsi="Arial" w:cs="Arial"/>
          <w:sz w:val="24"/>
        </w:rPr>
        <w:t xml:space="preserve"> 203 A.D.3d 958, 959-960 (2022) [</w:t>
      </w:r>
      <w:r w:rsidR="00E90366" w:rsidRPr="007431F9">
        <w:rPr>
          <w:rFonts w:ascii="Arial" w:hAnsi="Arial" w:cs="Arial"/>
          <w:sz w:val="24"/>
        </w:rPr>
        <w:t>“</w:t>
      </w:r>
      <w:r w:rsidR="007D1916" w:rsidRPr="007431F9">
        <w:rPr>
          <w:rFonts w:ascii="Arial" w:hAnsi="Arial" w:cs="Arial"/>
          <w:sz w:val="24"/>
        </w:rPr>
        <w:t>it was not necessary for the County Court to specifically delineate the various issues that survive a valid appeal waiver</w:t>
      </w:r>
      <w:r w:rsidR="00E90366" w:rsidRPr="007431F9">
        <w:rPr>
          <w:rFonts w:ascii="Arial" w:hAnsi="Arial" w:cs="Arial"/>
          <w:sz w:val="24"/>
        </w:rPr>
        <w:t xml:space="preserve"> . . . . </w:t>
      </w:r>
      <w:r w:rsidR="00F5096C" w:rsidRPr="007431F9">
        <w:rPr>
          <w:rFonts w:ascii="Arial" w:hAnsi="Arial" w:cs="Arial"/>
          <w:sz w:val="24"/>
          <w:u w:val="single"/>
        </w:rPr>
        <w:t xml:space="preserve">in some circumstances, a court might feel that it is appropriate to advise </w:t>
      </w:r>
      <w:r w:rsidR="00F5096C" w:rsidRPr="007431F9">
        <w:rPr>
          <w:rFonts w:ascii="Arial" w:hAnsi="Arial" w:cs="Arial"/>
          <w:sz w:val="24"/>
        </w:rPr>
        <w:t xml:space="preserve">the defendant of a particular issue, or issues, that survives an appeal waiver. </w:t>
      </w:r>
      <w:r w:rsidR="00482AA6" w:rsidRPr="007431F9">
        <w:rPr>
          <w:rFonts w:ascii="Arial" w:hAnsi="Arial" w:cs="Arial"/>
          <w:sz w:val="24"/>
        </w:rPr>
        <w:t xml:space="preserve"> </w:t>
      </w:r>
      <w:r w:rsidR="00F5096C" w:rsidRPr="007431F9">
        <w:rPr>
          <w:rFonts w:ascii="Arial" w:hAnsi="Arial" w:cs="Arial"/>
          <w:sz w:val="24"/>
          <w:u w:val="single"/>
        </w:rPr>
        <w:t xml:space="preserve">But here, most of these issues were of no </w:t>
      </w:r>
      <w:r w:rsidR="00F5096C" w:rsidRPr="007431F9">
        <w:rPr>
          <w:rFonts w:ascii="Arial" w:hAnsi="Arial" w:cs="Arial"/>
          <w:sz w:val="24"/>
          <w:u w:val="single"/>
        </w:rPr>
        <w:lastRenderedPageBreak/>
        <w:t>relevance</w:t>
      </w:r>
      <w:r w:rsidR="00F5096C" w:rsidRPr="007431F9">
        <w:rPr>
          <w:rFonts w:ascii="Arial" w:hAnsi="Arial" w:cs="Arial"/>
          <w:sz w:val="24"/>
        </w:rPr>
        <w:t xml:space="preserve"> and, therefore, the County Court could reasonably have concluded there was no point in discussing them</w:t>
      </w:r>
      <w:r w:rsidR="00E90366" w:rsidRPr="007431F9">
        <w:rPr>
          <w:rFonts w:ascii="Arial" w:hAnsi="Arial" w:cs="Arial"/>
          <w:sz w:val="24"/>
        </w:rPr>
        <w:t>”</w:t>
      </w:r>
      <w:r w:rsidR="001568DF" w:rsidRPr="007431F9">
        <w:rPr>
          <w:rFonts w:ascii="Arial" w:hAnsi="Arial" w:cs="Arial"/>
          <w:sz w:val="24"/>
        </w:rPr>
        <w:t xml:space="preserve"> [emphasis added]</w:t>
      </w:r>
      <w:r w:rsidR="00E90366" w:rsidRPr="007431F9">
        <w:rPr>
          <w:rFonts w:ascii="Arial" w:hAnsi="Arial" w:cs="Arial"/>
          <w:sz w:val="24"/>
        </w:rPr>
        <w:t>.</w:t>
      </w:r>
    </w:p>
    <w:sectPr w:rsidR="00F5096C" w:rsidRPr="007431F9" w:rsidSect="00170CE2">
      <w:pgSz w:w="12240" w:h="15840"/>
      <w:pgMar w:top="1040" w:right="2121" w:bottom="505" w:left="2151" w:header="720" w:footer="7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E20D" w14:textId="77777777" w:rsidR="00E2305A" w:rsidRDefault="00E2305A" w:rsidP="00170CE2">
      <w:r>
        <w:separator/>
      </w:r>
    </w:p>
  </w:endnote>
  <w:endnote w:type="continuationSeparator" w:id="0">
    <w:p w14:paraId="6E25E342" w14:textId="77777777" w:rsidR="00E2305A" w:rsidRDefault="00E2305A" w:rsidP="001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A43A" w14:textId="77777777" w:rsidR="00170CE2" w:rsidRDefault="00170CE2">
    <w:pPr>
      <w:keepNext/>
      <w:keepLines/>
      <w:tabs>
        <w:tab w:val="left" w:pos="3509"/>
      </w:tabs>
      <w:kinsoku w:val="0"/>
      <w:overflowPunct w:val="0"/>
      <w:autoSpaceDE/>
      <w:autoSpaceDN/>
      <w:adjustRightInd/>
      <w:spacing w:line="188" w:lineRule="exact"/>
      <w:textAlignment w:val="baseline"/>
      <w:rPr>
        <w:spacing w:val="2"/>
        <w:sz w:val="16"/>
      </w:rPr>
    </w:pPr>
    <w:r>
      <w:rPr>
        <w:sz w:val="24"/>
      </w:rPr>
      <w:tab/>
    </w:r>
    <w:r>
      <w:rPr>
        <w:spacing w:val="2"/>
        <w:sz w:val="16"/>
      </w:rPr>
      <w:t xml:space="preserve">Page </w:t>
    </w:r>
    <w:r>
      <w:rPr>
        <w:spacing w:val="2"/>
        <w:sz w:val="16"/>
      </w:rPr>
      <w:fldChar w:fldCharType="begin"/>
    </w:r>
    <w:r>
      <w:rPr>
        <w:spacing w:val="2"/>
        <w:sz w:val="16"/>
      </w:rPr>
      <w:instrText xml:space="preserve"> PAGE </w:instrText>
    </w:r>
    <w:r>
      <w:rPr>
        <w:spacing w:val="2"/>
        <w:sz w:val="16"/>
      </w:rPr>
      <w:fldChar w:fldCharType="separate"/>
    </w:r>
    <w:r>
      <w:rPr>
        <w:spacing w:val="2"/>
        <w:sz w:val="16"/>
      </w:rPr>
      <w:t>1</w:t>
    </w:r>
    <w:r>
      <w:rPr>
        <w:spacing w:val="2"/>
        <w:sz w:val="16"/>
      </w:rPr>
      <w:fldChar w:fldCharType="end"/>
    </w:r>
    <w:r>
      <w:rPr>
        <w:spacing w:val="2"/>
        <w:sz w:val="16"/>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E18B" w14:textId="77777777" w:rsidR="00170CE2" w:rsidRDefault="00170CE2">
    <w:pPr>
      <w:keepNext/>
      <w:keepLines/>
      <w:tabs>
        <w:tab w:val="left" w:pos="3516"/>
      </w:tabs>
      <w:kinsoku w:val="0"/>
      <w:overflowPunct w:val="0"/>
      <w:autoSpaceDE/>
      <w:autoSpaceDN/>
      <w:adjustRightInd/>
      <w:spacing w:line="188" w:lineRule="exact"/>
      <w:textAlignment w:val="baseline"/>
      <w:rPr>
        <w:spacing w:val="2"/>
        <w:sz w:val="16"/>
      </w:rPr>
    </w:pPr>
    <w:r>
      <w:rPr>
        <w:sz w:val="24"/>
      </w:rPr>
      <w:tab/>
    </w:r>
    <w:r>
      <w:rPr>
        <w:spacing w:val="2"/>
        <w:sz w:val="16"/>
      </w:rPr>
      <w:t xml:space="preserve">Page </w:t>
    </w:r>
    <w:r>
      <w:rPr>
        <w:spacing w:val="2"/>
        <w:sz w:val="16"/>
      </w:rPr>
      <w:fldChar w:fldCharType="begin"/>
    </w:r>
    <w:r>
      <w:rPr>
        <w:spacing w:val="2"/>
        <w:sz w:val="16"/>
      </w:rPr>
      <w:instrText xml:space="preserve"> PAGE </w:instrText>
    </w:r>
    <w:r>
      <w:rPr>
        <w:spacing w:val="2"/>
        <w:sz w:val="16"/>
      </w:rPr>
      <w:fldChar w:fldCharType="separate"/>
    </w:r>
    <w:r>
      <w:rPr>
        <w:spacing w:val="2"/>
        <w:sz w:val="16"/>
      </w:rPr>
      <w:t>3</w:t>
    </w:r>
    <w:r>
      <w:rPr>
        <w:spacing w:val="2"/>
        <w:sz w:val="16"/>
      </w:rPr>
      <w:fldChar w:fldCharType="end"/>
    </w:r>
    <w:r>
      <w:rPr>
        <w:spacing w:val="2"/>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E85B" w14:textId="77777777" w:rsidR="00E2305A" w:rsidRDefault="00E2305A" w:rsidP="00170CE2">
      <w:r>
        <w:separator/>
      </w:r>
    </w:p>
  </w:footnote>
  <w:footnote w:type="continuationSeparator" w:id="0">
    <w:p w14:paraId="3E02A8BD" w14:textId="77777777" w:rsidR="00E2305A" w:rsidRDefault="00E2305A" w:rsidP="0017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363"/>
    <w:multiLevelType w:val="singleLevel"/>
    <w:tmpl w:val="2263AE4C"/>
    <w:lvl w:ilvl="0">
      <w:start w:val="1"/>
      <w:numFmt w:val="decimal"/>
      <w:lvlText w:val="%1."/>
      <w:lvlJc w:val="left"/>
      <w:pPr>
        <w:tabs>
          <w:tab w:val="num" w:pos="720"/>
        </w:tabs>
      </w:pPr>
      <w:rPr>
        <w:snapToGrid/>
        <w:spacing w:val="-4"/>
        <w:sz w:val="24"/>
      </w:rPr>
    </w:lvl>
  </w:abstractNum>
  <w:abstractNum w:abstractNumId="1" w15:restartNumberingAfterBreak="0">
    <w:nsid w:val="07C00BE8"/>
    <w:multiLevelType w:val="singleLevel"/>
    <w:tmpl w:val="44A573BF"/>
    <w:lvl w:ilvl="0">
      <w:start w:val="3"/>
      <w:numFmt w:val="decimal"/>
      <w:lvlText w:val="%1."/>
      <w:lvlJc w:val="left"/>
      <w:pPr>
        <w:tabs>
          <w:tab w:val="num" w:pos="720"/>
        </w:tabs>
      </w:pPr>
      <w:rPr>
        <w:snapToGrid/>
        <w:spacing w:val="-4"/>
        <w:sz w:val="24"/>
      </w:rPr>
    </w:lvl>
  </w:abstractNum>
  <w:num w:numId="1" w16cid:durableId="585696726">
    <w:abstractNumId w:val="0"/>
  </w:num>
  <w:num w:numId="2" w16cid:durableId="780950128">
    <w:abstractNumId w:val="1"/>
  </w:num>
  <w:num w:numId="3" w16cid:durableId="1479419531">
    <w:abstractNumId w:val="1"/>
    <w:lvlOverride w:ilvl="0">
      <w:lvl w:ilvl="0">
        <w:numFmt w:val="decimal"/>
        <w:lvlText w:val="%1."/>
        <w:lvlJc w:val="left"/>
        <w:pPr>
          <w:tabs>
            <w:tab w:val="num" w:pos="720"/>
          </w:tabs>
        </w:pPr>
        <w:rPr>
          <w:i/>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E2"/>
    <w:rsid w:val="000328A0"/>
    <w:rsid w:val="00034600"/>
    <w:rsid w:val="00041836"/>
    <w:rsid w:val="00041A0B"/>
    <w:rsid w:val="00075C61"/>
    <w:rsid w:val="000E150E"/>
    <w:rsid w:val="001273A1"/>
    <w:rsid w:val="00130889"/>
    <w:rsid w:val="001568DF"/>
    <w:rsid w:val="00170CE2"/>
    <w:rsid w:val="00173248"/>
    <w:rsid w:val="0017548D"/>
    <w:rsid w:val="001A3D29"/>
    <w:rsid w:val="001B552F"/>
    <w:rsid w:val="00223B28"/>
    <w:rsid w:val="002347C1"/>
    <w:rsid w:val="00277B71"/>
    <w:rsid w:val="002C35FA"/>
    <w:rsid w:val="002D19E1"/>
    <w:rsid w:val="00303936"/>
    <w:rsid w:val="00336B03"/>
    <w:rsid w:val="0034057B"/>
    <w:rsid w:val="00350968"/>
    <w:rsid w:val="00376BB5"/>
    <w:rsid w:val="003D5DB9"/>
    <w:rsid w:val="00422223"/>
    <w:rsid w:val="004713EF"/>
    <w:rsid w:val="00482AA6"/>
    <w:rsid w:val="0049384D"/>
    <w:rsid w:val="004B622C"/>
    <w:rsid w:val="004C0D5F"/>
    <w:rsid w:val="004F3686"/>
    <w:rsid w:val="004F5CD3"/>
    <w:rsid w:val="00551791"/>
    <w:rsid w:val="00557B2E"/>
    <w:rsid w:val="0057511C"/>
    <w:rsid w:val="005D7672"/>
    <w:rsid w:val="005E22AB"/>
    <w:rsid w:val="00616209"/>
    <w:rsid w:val="0063658E"/>
    <w:rsid w:val="00652354"/>
    <w:rsid w:val="00671275"/>
    <w:rsid w:val="00720FE1"/>
    <w:rsid w:val="007245F1"/>
    <w:rsid w:val="007431F9"/>
    <w:rsid w:val="00790FD8"/>
    <w:rsid w:val="00795BF4"/>
    <w:rsid w:val="007D1916"/>
    <w:rsid w:val="007E2403"/>
    <w:rsid w:val="007E4DB4"/>
    <w:rsid w:val="007F26F6"/>
    <w:rsid w:val="0081249F"/>
    <w:rsid w:val="00824EA4"/>
    <w:rsid w:val="00832754"/>
    <w:rsid w:val="00855FFB"/>
    <w:rsid w:val="008A47B3"/>
    <w:rsid w:val="008E093A"/>
    <w:rsid w:val="00921CA9"/>
    <w:rsid w:val="00932237"/>
    <w:rsid w:val="00935651"/>
    <w:rsid w:val="009D172E"/>
    <w:rsid w:val="009D688E"/>
    <w:rsid w:val="009F67D9"/>
    <w:rsid w:val="00A20138"/>
    <w:rsid w:val="00A23A71"/>
    <w:rsid w:val="00A33E6E"/>
    <w:rsid w:val="00A62432"/>
    <w:rsid w:val="00A9202E"/>
    <w:rsid w:val="00AE694C"/>
    <w:rsid w:val="00B07BF1"/>
    <w:rsid w:val="00BF6A53"/>
    <w:rsid w:val="00C12961"/>
    <w:rsid w:val="00C35CBD"/>
    <w:rsid w:val="00C54ABA"/>
    <w:rsid w:val="00C6432C"/>
    <w:rsid w:val="00CA2D05"/>
    <w:rsid w:val="00CE52C5"/>
    <w:rsid w:val="00D11B75"/>
    <w:rsid w:val="00D120C7"/>
    <w:rsid w:val="00D5386F"/>
    <w:rsid w:val="00D86061"/>
    <w:rsid w:val="00DE7774"/>
    <w:rsid w:val="00DF27C3"/>
    <w:rsid w:val="00E0572A"/>
    <w:rsid w:val="00E13E92"/>
    <w:rsid w:val="00E2305A"/>
    <w:rsid w:val="00E6777E"/>
    <w:rsid w:val="00E81954"/>
    <w:rsid w:val="00E90366"/>
    <w:rsid w:val="00EA40C8"/>
    <w:rsid w:val="00EB0F05"/>
    <w:rsid w:val="00EC3F9A"/>
    <w:rsid w:val="00ED2AAE"/>
    <w:rsid w:val="00F474B7"/>
    <w:rsid w:val="00F5096C"/>
    <w:rsid w:val="00F82B27"/>
    <w:rsid w:val="00FB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A4026"/>
  <w14:defaultImageDpi w14:val="0"/>
  <w15:docId w15:val="{4BC8669B-77B3-4135-9FAA-04FD8119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54"/>
    <w:pPr>
      <w:ind w:left="720"/>
      <w:contextualSpacing/>
    </w:pPr>
  </w:style>
  <w:style w:type="paragraph" w:styleId="Header">
    <w:name w:val="header"/>
    <w:basedOn w:val="Normal"/>
    <w:link w:val="HeaderChar"/>
    <w:uiPriority w:val="99"/>
    <w:unhideWhenUsed/>
    <w:rsid w:val="00D86061"/>
    <w:pPr>
      <w:tabs>
        <w:tab w:val="center" w:pos="4680"/>
        <w:tab w:val="right" w:pos="9360"/>
      </w:tabs>
    </w:pPr>
  </w:style>
  <w:style w:type="character" w:customStyle="1" w:styleId="HeaderChar">
    <w:name w:val="Header Char"/>
    <w:basedOn w:val="DefaultParagraphFont"/>
    <w:link w:val="Header"/>
    <w:uiPriority w:val="99"/>
    <w:rsid w:val="00D86061"/>
    <w:rPr>
      <w:rFonts w:ascii="Times New Roman" w:hAnsi="Times New Roman" w:cs="Times New Roman"/>
      <w:sz w:val="20"/>
      <w:szCs w:val="24"/>
    </w:rPr>
  </w:style>
  <w:style w:type="paragraph" w:styleId="Footer">
    <w:name w:val="footer"/>
    <w:basedOn w:val="Normal"/>
    <w:link w:val="FooterChar"/>
    <w:uiPriority w:val="99"/>
    <w:unhideWhenUsed/>
    <w:rsid w:val="00D86061"/>
    <w:pPr>
      <w:tabs>
        <w:tab w:val="center" w:pos="4680"/>
        <w:tab w:val="right" w:pos="9360"/>
      </w:tabs>
    </w:pPr>
  </w:style>
  <w:style w:type="character" w:customStyle="1" w:styleId="FooterChar">
    <w:name w:val="Footer Char"/>
    <w:basedOn w:val="DefaultParagraphFont"/>
    <w:link w:val="Footer"/>
    <w:uiPriority w:val="99"/>
    <w:rsid w:val="00D86061"/>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5377">
      <w:bodyDiv w:val="1"/>
      <w:marLeft w:val="0"/>
      <w:marRight w:val="0"/>
      <w:marTop w:val="0"/>
      <w:marBottom w:val="0"/>
      <w:divBdr>
        <w:top w:val="none" w:sz="0" w:space="0" w:color="auto"/>
        <w:left w:val="none" w:sz="0" w:space="0" w:color="auto"/>
        <w:bottom w:val="none" w:sz="0" w:space="0" w:color="auto"/>
        <w:right w:val="none" w:sz="0" w:space="0" w:color="auto"/>
      </w:divBdr>
      <w:divsChild>
        <w:div w:id="1610697674">
          <w:marLeft w:val="0"/>
          <w:marRight w:val="0"/>
          <w:marTop w:val="0"/>
          <w:marBottom w:val="0"/>
          <w:divBdr>
            <w:top w:val="none" w:sz="0" w:space="0" w:color="auto"/>
            <w:left w:val="none" w:sz="0" w:space="0" w:color="auto"/>
            <w:bottom w:val="none" w:sz="0" w:space="0" w:color="auto"/>
            <w:right w:val="none" w:sz="0" w:space="0" w:color="auto"/>
          </w:divBdr>
          <w:divsChild>
            <w:div w:id="1206412454">
              <w:marLeft w:val="0"/>
              <w:marRight w:val="0"/>
              <w:marTop w:val="0"/>
              <w:marBottom w:val="0"/>
              <w:divBdr>
                <w:top w:val="none" w:sz="0" w:space="0" w:color="auto"/>
                <w:left w:val="none" w:sz="0" w:space="0" w:color="auto"/>
                <w:bottom w:val="none" w:sz="0" w:space="0" w:color="auto"/>
                <w:right w:val="none" w:sz="0" w:space="0" w:color="auto"/>
              </w:divBdr>
              <w:divsChild>
                <w:div w:id="17184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5302">
      <w:bodyDiv w:val="1"/>
      <w:marLeft w:val="0"/>
      <w:marRight w:val="0"/>
      <w:marTop w:val="0"/>
      <w:marBottom w:val="0"/>
      <w:divBdr>
        <w:top w:val="none" w:sz="0" w:space="0" w:color="auto"/>
        <w:left w:val="none" w:sz="0" w:space="0" w:color="auto"/>
        <w:bottom w:val="none" w:sz="0" w:space="0" w:color="auto"/>
        <w:right w:val="none" w:sz="0" w:space="0" w:color="auto"/>
      </w:divBdr>
      <w:divsChild>
        <w:div w:id="1667174189">
          <w:marLeft w:val="0"/>
          <w:marRight w:val="0"/>
          <w:marTop w:val="0"/>
          <w:marBottom w:val="0"/>
          <w:divBdr>
            <w:top w:val="none" w:sz="0" w:space="0" w:color="auto"/>
            <w:left w:val="none" w:sz="0" w:space="0" w:color="auto"/>
            <w:bottom w:val="none" w:sz="0" w:space="0" w:color="auto"/>
            <w:right w:val="none" w:sz="0" w:space="0" w:color="auto"/>
          </w:divBdr>
          <w:divsChild>
            <w:div w:id="108859225">
              <w:marLeft w:val="0"/>
              <w:marRight w:val="0"/>
              <w:marTop w:val="0"/>
              <w:marBottom w:val="0"/>
              <w:divBdr>
                <w:top w:val="none" w:sz="0" w:space="0" w:color="auto"/>
                <w:left w:val="none" w:sz="0" w:space="0" w:color="auto"/>
                <w:bottom w:val="none" w:sz="0" w:space="0" w:color="auto"/>
                <w:right w:val="none" w:sz="0" w:space="0" w:color="auto"/>
              </w:divBdr>
              <w:divsChild>
                <w:div w:id="10301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5222">
      <w:bodyDiv w:val="1"/>
      <w:marLeft w:val="0"/>
      <w:marRight w:val="0"/>
      <w:marTop w:val="0"/>
      <w:marBottom w:val="0"/>
      <w:divBdr>
        <w:top w:val="none" w:sz="0" w:space="0" w:color="auto"/>
        <w:left w:val="none" w:sz="0" w:space="0" w:color="auto"/>
        <w:bottom w:val="none" w:sz="0" w:space="0" w:color="auto"/>
        <w:right w:val="none" w:sz="0" w:space="0" w:color="auto"/>
      </w:divBdr>
      <w:divsChild>
        <w:div w:id="1461411570">
          <w:marLeft w:val="0"/>
          <w:marRight w:val="0"/>
          <w:marTop w:val="0"/>
          <w:marBottom w:val="0"/>
          <w:divBdr>
            <w:top w:val="none" w:sz="0" w:space="0" w:color="auto"/>
            <w:left w:val="none" w:sz="0" w:space="0" w:color="auto"/>
            <w:bottom w:val="none" w:sz="0" w:space="0" w:color="auto"/>
            <w:right w:val="none" w:sz="0" w:space="0" w:color="auto"/>
          </w:divBdr>
          <w:divsChild>
            <w:div w:id="1450589137">
              <w:marLeft w:val="0"/>
              <w:marRight w:val="0"/>
              <w:marTop w:val="0"/>
              <w:marBottom w:val="0"/>
              <w:divBdr>
                <w:top w:val="none" w:sz="0" w:space="0" w:color="auto"/>
                <w:left w:val="none" w:sz="0" w:space="0" w:color="auto"/>
                <w:bottom w:val="none" w:sz="0" w:space="0" w:color="auto"/>
                <w:right w:val="none" w:sz="0" w:space="0" w:color="auto"/>
              </w:divBdr>
              <w:divsChild>
                <w:div w:id="79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7F09-4438-473A-B8ED-52800E49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1376</Words>
  <Characters>6536</Characters>
  <Application>Microsoft Office Word</Application>
  <DocSecurity>0</DocSecurity>
  <Lines>210</Lines>
  <Paragraphs>71</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93</cp:revision>
  <dcterms:created xsi:type="dcterms:W3CDTF">2022-07-31T18:09:00Z</dcterms:created>
  <dcterms:modified xsi:type="dcterms:W3CDTF">2022-11-29T22:02:00Z</dcterms:modified>
</cp:coreProperties>
</file>