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9D64" w14:textId="184A80AD" w:rsidR="00BB74B8" w:rsidRPr="00F12C25" w:rsidRDefault="002B3527" w:rsidP="002B3527">
      <w:pPr>
        <w:kinsoku w:val="0"/>
        <w:overflowPunct w:val="0"/>
        <w:autoSpaceDE/>
        <w:autoSpaceDN/>
        <w:adjustRightInd/>
        <w:textAlignment w:val="baseline"/>
        <w:rPr>
          <w:b/>
          <w:spacing w:val="2"/>
          <w:sz w:val="28"/>
          <w:szCs w:val="28"/>
        </w:rPr>
      </w:pPr>
      <w:r w:rsidRPr="00F12C25">
        <w:rPr>
          <w:b/>
          <w:spacing w:val="2"/>
          <w:sz w:val="28"/>
          <w:szCs w:val="28"/>
        </w:rPr>
        <w:t xml:space="preserve">4.08 </w:t>
      </w:r>
      <w:r w:rsidR="00BB74B8" w:rsidRPr="00F12C25">
        <w:rPr>
          <w:b/>
          <w:spacing w:val="2"/>
          <w:sz w:val="28"/>
          <w:szCs w:val="28"/>
        </w:rPr>
        <w:t>“Open</w:t>
      </w:r>
      <w:r w:rsidR="00231675" w:rsidRPr="00F12C25">
        <w:rPr>
          <w:b/>
          <w:spacing w:val="2"/>
          <w:sz w:val="28"/>
          <w:szCs w:val="28"/>
        </w:rPr>
        <w:t>ing</w:t>
      </w:r>
      <w:r w:rsidR="00721B2D" w:rsidRPr="00F12C25">
        <w:rPr>
          <w:b/>
          <w:spacing w:val="2"/>
          <w:sz w:val="28"/>
          <w:szCs w:val="28"/>
        </w:rPr>
        <w:t xml:space="preserve"> </w:t>
      </w:r>
      <w:r w:rsidR="00B109DC" w:rsidRPr="00F12C25">
        <w:rPr>
          <w:b/>
          <w:spacing w:val="2"/>
          <w:sz w:val="28"/>
          <w:szCs w:val="28"/>
        </w:rPr>
        <w:t>the</w:t>
      </w:r>
      <w:r w:rsidR="003217A3" w:rsidRPr="00F12C25">
        <w:rPr>
          <w:b/>
          <w:spacing w:val="2"/>
          <w:sz w:val="28"/>
          <w:szCs w:val="28"/>
        </w:rPr>
        <w:t xml:space="preserve"> </w:t>
      </w:r>
      <w:r w:rsidR="00BB74B8" w:rsidRPr="00F12C25">
        <w:rPr>
          <w:b/>
          <w:spacing w:val="2"/>
          <w:sz w:val="28"/>
          <w:szCs w:val="28"/>
        </w:rPr>
        <w:t xml:space="preserve">Door” </w:t>
      </w:r>
      <w:r w:rsidR="00231675" w:rsidRPr="00F12C25">
        <w:rPr>
          <w:b/>
          <w:spacing w:val="2"/>
          <w:sz w:val="28"/>
          <w:szCs w:val="28"/>
        </w:rPr>
        <w:t xml:space="preserve">to </w:t>
      </w:r>
      <w:r w:rsidR="00700684" w:rsidRPr="00F12C25">
        <w:rPr>
          <w:b/>
          <w:spacing w:val="2"/>
          <w:sz w:val="28"/>
          <w:szCs w:val="28"/>
        </w:rPr>
        <w:t>Evidence</w:t>
      </w:r>
      <w:r w:rsidR="00084406" w:rsidRPr="00F12C25">
        <w:rPr>
          <w:rStyle w:val="EndnoteReference"/>
          <w:b/>
          <w:spacing w:val="2"/>
          <w:sz w:val="28"/>
          <w:szCs w:val="28"/>
        </w:rPr>
        <w:endnoteReference w:id="1"/>
      </w:r>
    </w:p>
    <w:p w14:paraId="2C8312F6" w14:textId="77777777" w:rsidR="00EC23D3" w:rsidRPr="00F12C25" w:rsidRDefault="00EC23D3" w:rsidP="002B3527">
      <w:pPr>
        <w:kinsoku w:val="0"/>
        <w:overflowPunct w:val="0"/>
        <w:autoSpaceDE/>
        <w:autoSpaceDN/>
        <w:adjustRightInd/>
        <w:textAlignment w:val="baseline"/>
        <w:rPr>
          <w:b/>
          <w:spacing w:val="2"/>
          <w:sz w:val="28"/>
          <w:szCs w:val="28"/>
        </w:rPr>
      </w:pPr>
    </w:p>
    <w:p w14:paraId="099D760D" w14:textId="65779A2B" w:rsidR="0084290B" w:rsidRPr="00F12C25" w:rsidRDefault="002B3527" w:rsidP="002B3527">
      <w:pPr>
        <w:pStyle w:val="ListParagraph"/>
        <w:kinsoku w:val="0"/>
        <w:overflowPunct w:val="0"/>
        <w:autoSpaceDE/>
        <w:autoSpaceDN/>
        <w:adjustRightInd/>
        <w:ind w:right="720"/>
        <w:jc w:val="both"/>
        <w:textAlignment w:val="baseline"/>
        <w:rPr>
          <w:b/>
          <w:sz w:val="28"/>
          <w:szCs w:val="28"/>
        </w:rPr>
      </w:pPr>
      <w:r w:rsidRPr="00F12C25">
        <w:rPr>
          <w:b/>
          <w:sz w:val="28"/>
          <w:szCs w:val="28"/>
        </w:rPr>
        <w:t xml:space="preserve">(1) </w:t>
      </w:r>
      <w:r w:rsidR="00BB74B8" w:rsidRPr="00F12C25">
        <w:rPr>
          <w:b/>
          <w:sz w:val="28"/>
          <w:szCs w:val="28"/>
        </w:rPr>
        <w:t>A party may “open the door” to the introduction by an opposing party of evidence</w:t>
      </w:r>
      <w:r w:rsidR="007F6AE3" w:rsidRPr="00F12C25">
        <w:rPr>
          <w:b/>
          <w:sz w:val="28"/>
          <w:szCs w:val="28"/>
        </w:rPr>
        <w:t xml:space="preserve"> </w:t>
      </w:r>
      <w:r w:rsidR="00BB74B8" w:rsidRPr="00F12C25">
        <w:rPr>
          <w:b/>
          <w:sz w:val="28"/>
          <w:szCs w:val="28"/>
        </w:rPr>
        <w:t xml:space="preserve">that would otherwise be inadmissible when in </w:t>
      </w:r>
      <w:r w:rsidR="00DA5BBE" w:rsidRPr="00F12C25">
        <w:rPr>
          <w:b/>
          <w:sz w:val="28"/>
          <w:szCs w:val="28"/>
        </w:rPr>
        <w:t>argument, cross-examination of a witness</w:t>
      </w:r>
      <w:r w:rsidR="00940276" w:rsidRPr="00F12C25">
        <w:rPr>
          <w:b/>
          <w:sz w:val="28"/>
          <w:szCs w:val="28"/>
        </w:rPr>
        <w:t>,</w:t>
      </w:r>
      <w:r w:rsidR="00BB74B8" w:rsidRPr="00F12C25">
        <w:rPr>
          <w:b/>
          <w:sz w:val="28"/>
          <w:szCs w:val="28"/>
        </w:rPr>
        <w:t xml:space="preserve"> or other presentation of evidence the party has given an </w:t>
      </w:r>
      <w:bookmarkStart w:id="2" w:name="_Hlk93589566"/>
      <w:r w:rsidR="00BB74B8" w:rsidRPr="00F12C25">
        <w:rPr>
          <w:b/>
          <w:sz w:val="28"/>
          <w:szCs w:val="28"/>
        </w:rPr>
        <w:t xml:space="preserve">incomplete </w:t>
      </w:r>
      <w:r w:rsidR="00291C5E" w:rsidRPr="00F12C25">
        <w:rPr>
          <w:b/>
          <w:sz w:val="28"/>
          <w:szCs w:val="28"/>
        </w:rPr>
        <w:t xml:space="preserve">and </w:t>
      </w:r>
      <w:r w:rsidR="00BB74B8" w:rsidRPr="00F12C25">
        <w:rPr>
          <w:b/>
          <w:sz w:val="28"/>
          <w:szCs w:val="28"/>
        </w:rPr>
        <w:t xml:space="preserve">misleading impression on </w:t>
      </w:r>
      <w:r w:rsidR="00CF5032" w:rsidRPr="00F12C25">
        <w:rPr>
          <w:b/>
          <w:sz w:val="28"/>
          <w:szCs w:val="28"/>
        </w:rPr>
        <w:t xml:space="preserve">an </w:t>
      </w:r>
      <w:r w:rsidR="00BB74B8" w:rsidRPr="00F12C25">
        <w:rPr>
          <w:b/>
          <w:sz w:val="28"/>
          <w:szCs w:val="28"/>
        </w:rPr>
        <w:t>issue</w:t>
      </w:r>
      <w:r w:rsidR="006E53F9" w:rsidRPr="00F12C25">
        <w:rPr>
          <w:b/>
          <w:sz w:val="28"/>
          <w:szCs w:val="28"/>
        </w:rPr>
        <w:t>.</w:t>
      </w:r>
      <w:r w:rsidR="004A4849" w:rsidRPr="00F12C25">
        <w:rPr>
          <w:b/>
          <w:sz w:val="28"/>
          <w:szCs w:val="28"/>
        </w:rPr>
        <w:t xml:space="preserve"> </w:t>
      </w:r>
      <w:r w:rsidR="00E96071" w:rsidRPr="00F12C25">
        <w:rPr>
          <w:b/>
          <w:sz w:val="28"/>
          <w:szCs w:val="28"/>
        </w:rPr>
        <w:t>In a criminal case, however, unconfronted testimonial hearsay is not admissible in response to a party’s argument</w:t>
      </w:r>
      <w:r w:rsidR="000E522B" w:rsidRPr="00F12C25">
        <w:rPr>
          <w:b/>
          <w:sz w:val="28"/>
          <w:szCs w:val="28"/>
        </w:rPr>
        <w:t>,</w:t>
      </w:r>
      <w:r w:rsidR="00E96071" w:rsidRPr="00F12C25">
        <w:rPr>
          <w:b/>
          <w:sz w:val="28"/>
          <w:szCs w:val="28"/>
        </w:rPr>
        <w:t xml:space="preserve"> </w:t>
      </w:r>
      <w:r w:rsidR="000E522B" w:rsidRPr="00F12C25">
        <w:rPr>
          <w:b/>
          <w:sz w:val="28"/>
          <w:szCs w:val="28"/>
        </w:rPr>
        <w:t xml:space="preserve">cross-examination of a witness, or other </w:t>
      </w:r>
      <w:r w:rsidR="00E96071" w:rsidRPr="00F12C25">
        <w:rPr>
          <w:b/>
          <w:sz w:val="28"/>
          <w:szCs w:val="28"/>
        </w:rPr>
        <w:t>presentation of evidence that is misleading.</w:t>
      </w:r>
    </w:p>
    <w:bookmarkEnd w:id="2"/>
    <w:p w14:paraId="61657A77" w14:textId="77777777" w:rsidR="009C00C0" w:rsidRPr="00F12C25" w:rsidRDefault="009C00C0" w:rsidP="002B3527">
      <w:pPr>
        <w:kinsoku w:val="0"/>
        <w:overflowPunct w:val="0"/>
        <w:autoSpaceDE/>
        <w:autoSpaceDN/>
        <w:adjustRightInd/>
        <w:ind w:right="720"/>
        <w:jc w:val="both"/>
        <w:textAlignment w:val="baseline"/>
        <w:rPr>
          <w:b/>
          <w:sz w:val="28"/>
          <w:szCs w:val="28"/>
        </w:rPr>
      </w:pPr>
    </w:p>
    <w:p w14:paraId="0A3CB51D" w14:textId="5F5F6215" w:rsidR="00BB74B8" w:rsidRPr="00F12C25" w:rsidRDefault="00EC23D3" w:rsidP="002B3527">
      <w:pPr>
        <w:kinsoku w:val="0"/>
        <w:overflowPunct w:val="0"/>
        <w:autoSpaceDE/>
        <w:autoSpaceDN/>
        <w:adjustRightInd/>
        <w:ind w:left="720" w:right="720"/>
        <w:jc w:val="both"/>
        <w:textAlignment w:val="baseline"/>
        <w:rPr>
          <w:b/>
          <w:sz w:val="28"/>
          <w:szCs w:val="28"/>
        </w:rPr>
      </w:pPr>
      <w:r w:rsidRPr="00F12C25">
        <w:rPr>
          <w:b/>
          <w:sz w:val="28"/>
          <w:szCs w:val="28"/>
        </w:rPr>
        <w:t xml:space="preserve">(2) </w:t>
      </w:r>
      <w:r w:rsidR="00BB74B8" w:rsidRPr="00F12C25">
        <w:rPr>
          <w:b/>
          <w:sz w:val="28"/>
          <w:szCs w:val="28"/>
        </w:rPr>
        <w:t>A trial court must exercise its discretion to decide whether a party has “opened the door” to otherwise inadmissible evidence.</w:t>
      </w:r>
      <w:r w:rsidR="00302956" w:rsidRPr="00F12C25">
        <w:rPr>
          <w:b/>
          <w:sz w:val="28"/>
          <w:szCs w:val="28"/>
        </w:rPr>
        <w:t xml:space="preserve"> </w:t>
      </w:r>
      <w:r w:rsidR="00BB74B8" w:rsidRPr="00F12C25">
        <w:rPr>
          <w:b/>
          <w:sz w:val="28"/>
          <w:szCs w:val="28"/>
        </w:rPr>
        <w:t xml:space="preserve">In so doing, the trial court should consider whether, and to what extent, the evidence or argument </w:t>
      </w:r>
      <w:r w:rsidR="0027786E" w:rsidRPr="00F12C25">
        <w:rPr>
          <w:b/>
          <w:sz w:val="28"/>
          <w:szCs w:val="28"/>
        </w:rPr>
        <w:t xml:space="preserve">claimed </w:t>
      </w:r>
      <w:r w:rsidR="00075B50" w:rsidRPr="00F12C25">
        <w:rPr>
          <w:b/>
          <w:sz w:val="28"/>
          <w:szCs w:val="28"/>
        </w:rPr>
        <w:t xml:space="preserve">to </w:t>
      </w:r>
      <w:r w:rsidR="00BB74B8" w:rsidRPr="00F12C25">
        <w:rPr>
          <w:b/>
          <w:sz w:val="28"/>
          <w:szCs w:val="28"/>
        </w:rPr>
        <w:t>“open the door” is incomplete and</w:t>
      </w:r>
      <w:r w:rsidR="00CF43D2" w:rsidRPr="00F12C25">
        <w:rPr>
          <w:b/>
          <w:sz w:val="28"/>
          <w:szCs w:val="28"/>
        </w:rPr>
        <w:t xml:space="preserve"> </w:t>
      </w:r>
      <w:r w:rsidR="00BB74B8" w:rsidRPr="00F12C25">
        <w:rPr>
          <w:b/>
          <w:sz w:val="28"/>
          <w:szCs w:val="28"/>
        </w:rPr>
        <w:t>misleading</w:t>
      </w:r>
      <w:r w:rsidR="002151AC" w:rsidRPr="00F12C25">
        <w:rPr>
          <w:b/>
          <w:sz w:val="28"/>
          <w:szCs w:val="28"/>
        </w:rPr>
        <w:t xml:space="preserve"> </w:t>
      </w:r>
      <w:r w:rsidR="00BB74B8" w:rsidRPr="00F12C25">
        <w:rPr>
          <w:b/>
          <w:sz w:val="28"/>
          <w:szCs w:val="28"/>
        </w:rPr>
        <w:t>and what, if any, otherwise inadmissible evidence is reasonably necessary to explain, clarify, or otherwise correct an incomplete and misleading impression.</w:t>
      </w:r>
    </w:p>
    <w:p w14:paraId="6F00BE79" w14:textId="77777777" w:rsidR="00EC23D3" w:rsidRPr="00F12C25" w:rsidRDefault="00EC23D3" w:rsidP="002B3527">
      <w:pPr>
        <w:kinsoku w:val="0"/>
        <w:overflowPunct w:val="0"/>
        <w:autoSpaceDE/>
        <w:autoSpaceDN/>
        <w:adjustRightInd/>
        <w:ind w:right="720"/>
        <w:jc w:val="both"/>
        <w:textAlignment w:val="baseline"/>
        <w:rPr>
          <w:b/>
          <w:sz w:val="28"/>
          <w:szCs w:val="28"/>
        </w:rPr>
      </w:pPr>
    </w:p>
    <w:p w14:paraId="1D39F888" w14:textId="25CA3F9E" w:rsidR="00BB74B8" w:rsidRPr="00F12C25" w:rsidRDefault="00EC23D3" w:rsidP="002B3527">
      <w:pPr>
        <w:kinsoku w:val="0"/>
        <w:overflowPunct w:val="0"/>
        <w:autoSpaceDE/>
        <w:autoSpaceDN/>
        <w:adjustRightInd/>
        <w:ind w:left="720" w:right="720"/>
        <w:jc w:val="both"/>
        <w:textAlignment w:val="baseline"/>
        <w:rPr>
          <w:b/>
          <w:sz w:val="28"/>
          <w:szCs w:val="28"/>
        </w:rPr>
      </w:pPr>
      <w:r w:rsidRPr="00F12C25">
        <w:rPr>
          <w:b/>
          <w:sz w:val="28"/>
          <w:szCs w:val="28"/>
        </w:rPr>
        <w:t xml:space="preserve">(3) </w:t>
      </w:r>
      <w:r w:rsidR="00BB74B8" w:rsidRPr="00F12C25">
        <w:rPr>
          <w:b/>
          <w:sz w:val="28"/>
          <w:szCs w:val="28"/>
        </w:rPr>
        <w:t xml:space="preserve">To assure the proper exercise of the court’s discretion and avoid the introduction of otherwise inadmissible evidence, the recommended practice is for a party to apply to the trial court for a ruling on whether </w:t>
      </w:r>
      <w:r w:rsidR="00222860" w:rsidRPr="00F12C25">
        <w:rPr>
          <w:b/>
          <w:sz w:val="28"/>
          <w:szCs w:val="28"/>
        </w:rPr>
        <w:t xml:space="preserve">the door has been opened </w:t>
      </w:r>
      <w:r w:rsidR="00BB74B8" w:rsidRPr="00F12C25">
        <w:rPr>
          <w:b/>
          <w:sz w:val="28"/>
          <w:szCs w:val="28"/>
        </w:rPr>
        <w:t>before proceeding forward, and the court should so advise the parties before taking evidence.</w:t>
      </w:r>
    </w:p>
    <w:p w14:paraId="5DAE3A9F" w14:textId="77777777" w:rsidR="00EC23D3" w:rsidRPr="00F12C25" w:rsidRDefault="00EC23D3" w:rsidP="002B3527">
      <w:pPr>
        <w:kinsoku w:val="0"/>
        <w:overflowPunct w:val="0"/>
        <w:autoSpaceDE/>
        <w:autoSpaceDN/>
        <w:adjustRightInd/>
        <w:textAlignment w:val="baseline"/>
        <w:rPr>
          <w:b/>
          <w:spacing w:val="26"/>
          <w:sz w:val="28"/>
          <w:szCs w:val="28"/>
        </w:rPr>
      </w:pPr>
    </w:p>
    <w:p w14:paraId="5D99C609" w14:textId="000BBB2F" w:rsidR="00BB74B8" w:rsidRPr="00F12C25" w:rsidRDefault="00BB74B8" w:rsidP="002B3527">
      <w:pPr>
        <w:kinsoku w:val="0"/>
        <w:overflowPunct w:val="0"/>
        <w:autoSpaceDE/>
        <w:autoSpaceDN/>
        <w:adjustRightInd/>
        <w:jc w:val="center"/>
        <w:textAlignment w:val="baseline"/>
        <w:rPr>
          <w:b/>
          <w:spacing w:val="26"/>
          <w:sz w:val="24"/>
        </w:rPr>
      </w:pPr>
      <w:r w:rsidRPr="00F12C25">
        <w:rPr>
          <w:b/>
          <w:spacing w:val="26"/>
          <w:sz w:val="24"/>
        </w:rPr>
        <w:t>Note</w:t>
      </w:r>
    </w:p>
    <w:p w14:paraId="5D18B03F" w14:textId="77777777" w:rsidR="00EC23D3" w:rsidRPr="00F12C25" w:rsidRDefault="00EC23D3" w:rsidP="002B3527">
      <w:pPr>
        <w:kinsoku w:val="0"/>
        <w:overflowPunct w:val="0"/>
        <w:autoSpaceDE/>
        <w:autoSpaceDN/>
        <w:adjustRightInd/>
        <w:textAlignment w:val="baseline"/>
        <w:rPr>
          <w:b/>
          <w:spacing w:val="26"/>
          <w:sz w:val="24"/>
        </w:rPr>
      </w:pPr>
    </w:p>
    <w:p w14:paraId="78F7A987" w14:textId="25FE49F7" w:rsidR="006A5381" w:rsidRPr="00F12C25" w:rsidRDefault="00EC23D3" w:rsidP="002B3527">
      <w:pPr>
        <w:widowControl/>
        <w:snapToGrid w:val="0"/>
        <w:jc w:val="both"/>
        <w:rPr>
          <w:sz w:val="24"/>
          <w:lang w:val="x-none"/>
        </w:rPr>
      </w:pPr>
      <w:r w:rsidRPr="00F12C25">
        <w:rPr>
          <w:b/>
          <w:sz w:val="24"/>
        </w:rPr>
        <w:tab/>
      </w:r>
      <w:r w:rsidR="00BB74B8" w:rsidRPr="00F12C25">
        <w:rPr>
          <w:b/>
          <w:sz w:val="24"/>
        </w:rPr>
        <w:t>Subdivision</w:t>
      </w:r>
      <w:r w:rsidR="00B53EC3" w:rsidRPr="00F12C25">
        <w:rPr>
          <w:b/>
          <w:sz w:val="24"/>
        </w:rPr>
        <w:t>s</w:t>
      </w:r>
      <w:r w:rsidR="00BB74B8" w:rsidRPr="00F12C25">
        <w:rPr>
          <w:b/>
          <w:sz w:val="24"/>
        </w:rPr>
        <w:t xml:space="preserve"> (1) and (2) </w:t>
      </w:r>
      <w:r w:rsidR="00BB74B8" w:rsidRPr="00F12C25">
        <w:rPr>
          <w:sz w:val="24"/>
        </w:rPr>
        <w:t>recite the long-settled “open</w:t>
      </w:r>
      <w:r w:rsidR="00A569BA" w:rsidRPr="00F12C25">
        <w:rPr>
          <w:sz w:val="24"/>
        </w:rPr>
        <w:t>ing the</w:t>
      </w:r>
      <w:r w:rsidR="00BB74B8" w:rsidRPr="00F12C25">
        <w:rPr>
          <w:sz w:val="24"/>
        </w:rPr>
        <w:t xml:space="preserve"> door</w:t>
      </w:r>
      <w:r w:rsidR="00370191" w:rsidRPr="00F12C25">
        <w:rPr>
          <w:sz w:val="24"/>
        </w:rPr>
        <w:t xml:space="preserve"> to evidence</w:t>
      </w:r>
      <w:r w:rsidR="00BB74B8" w:rsidRPr="00F12C25">
        <w:rPr>
          <w:sz w:val="24"/>
        </w:rPr>
        <w:t xml:space="preserve">” principle in New York, as primarily explained in </w:t>
      </w:r>
      <w:r w:rsidR="00BB74B8" w:rsidRPr="00F12C25">
        <w:rPr>
          <w:i/>
          <w:sz w:val="24"/>
        </w:rPr>
        <w:t xml:space="preserve">People v Melendez </w:t>
      </w:r>
      <w:r w:rsidR="00BB74B8" w:rsidRPr="00F12C25">
        <w:rPr>
          <w:sz w:val="24"/>
        </w:rPr>
        <w:t xml:space="preserve">(55 NY2d 445 [1982]); </w:t>
      </w:r>
      <w:r w:rsidR="000E37FA" w:rsidRPr="00F12C25">
        <w:rPr>
          <w:bCs/>
          <w:i/>
          <w:iCs/>
          <w:sz w:val="24"/>
        </w:rPr>
        <w:t>People v Rojas</w:t>
      </w:r>
      <w:r w:rsidR="00DA076F" w:rsidRPr="00F12C25">
        <w:rPr>
          <w:bCs/>
          <w:sz w:val="24"/>
        </w:rPr>
        <w:t xml:space="preserve"> (</w:t>
      </w:r>
      <w:r w:rsidR="000E37FA" w:rsidRPr="00F12C25">
        <w:rPr>
          <w:bCs/>
          <w:sz w:val="24"/>
        </w:rPr>
        <w:t>97 NY2d 32, 34 [2001]</w:t>
      </w:r>
      <w:r w:rsidR="00DA076F" w:rsidRPr="00F12C25">
        <w:rPr>
          <w:bCs/>
          <w:sz w:val="24"/>
        </w:rPr>
        <w:t>)</w:t>
      </w:r>
      <w:r w:rsidR="000E37FA" w:rsidRPr="00F12C25">
        <w:rPr>
          <w:bCs/>
          <w:sz w:val="24"/>
        </w:rPr>
        <w:t>;</w:t>
      </w:r>
      <w:r w:rsidR="000E37FA" w:rsidRPr="00F12C25">
        <w:rPr>
          <w:sz w:val="24"/>
        </w:rPr>
        <w:t xml:space="preserve"> </w:t>
      </w:r>
      <w:r w:rsidR="00BB74B8" w:rsidRPr="00F12C25">
        <w:rPr>
          <w:i/>
          <w:sz w:val="24"/>
        </w:rPr>
        <w:t xml:space="preserve">People v Massie </w:t>
      </w:r>
      <w:r w:rsidR="00BB74B8" w:rsidRPr="00F12C25">
        <w:rPr>
          <w:sz w:val="24"/>
        </w:rPr>
        <w:t xml:space="preserve">(2 NY3d </w:t>
      </w:r>
      <w:r w:rsidR="00016F0D" w:rsidRPr="00F12C25">
        <w:rPr>
          <w:sz w:val="24"/>
        </w:rPr>
        <w:t>1</w:t>
      </w:r>
      <w:r w:rsidR="00BB74B8" w:rsidRPr="00F12C25">
        <w:rPr>
          <w:sz w:val="24"/>
        </w:rPr>
        <w:t xml:space="preserve">79 [2004]); and </w:t>
      </w:r>
      <w:r w:rsidR="00BB74B8" w:rsidRPr="00F12C25">
        <w:rPr>
          <w:i/>
          <w:sz w:val="24"/>
        </w:rPr>
        <w:t xml:space="preserve">People v Reid </w:t>
      </w:r>
      <w:r w:rsidR="00BB74B8" w:rsidRPr="00F12C25">
        <w:rPr>
          <w:sz w:val="24"/>
        </w:rPr>
        <w:t>(19 NY3d 382 [2012]</w:t>
      </w:r>
      <w:r w:rsidR="004E6E05" w:rsidRPr="00F12C25">
        <w:rPr>
          <w:sz w:val="24"/>
        </w:rPr>
        <w:t>)</w:t>
      </w:r>
      <w:r w:rsidR="002F7614" w:rsidRPr="00F12C25">
        <w:rPr>
          <w:sz w:val="24"/>
        </w:rPr>
        <w:t xml:space="preserve">, </w:t>
      </w:r>
      <w:r w:rsidR="001C0518" w:rsidRPr="00F12C25">
        <w:rPr>
          <w:sz w:val="24"/>
        </w:rPr>
        <w:t xml:space="preserve">as </w:t>
      </w:r>
      <w:r w:rsidR="004C1632" w:rsidRPr="00F12C25">
        <w:rPr>
          <w:sz w:val="24"/>
        </w:rPr>
        <w:t xml:space="preserve">limited </w:t>
      </w:r>
      <w:r w:rsidR="00984B34" w:rsidRPr="00F12C25">
        <w:rPr>
          <w:sz w:val="24"/>
        </w:rPr>
        <w:t xml:space="preserve">by </w:t>
      </w:r>
      <w:bookmarkStart w:id="3" w:name="_Hlk93588556"/>
      <w:bookmarkStart w:id="4" w:name="_Hlk93591606"/>
      <w:r w:rsidR="00984B34" w:rsidRPr="00F12C25">
        <w:rPr>
          <w:i/>
          <w:iCs/>
          <w:sz w:val="24"/>
        </w:rPr>
        <w:t>Hemphill v New</w:t>
      </w:r>
      <w:r w:rsidR="00984B34" w:rsidRPr="00F12C25">
        <w:rPr>
          <w:sz w:val="24"/>
        </w:rPr>
        <w:t xml:space="preserve"> </w:t>
      </w:r>
      <w:r w:rsidR="00984B34" w:rsidRPr="00F12C25">
        <w:rPr>
          <w:i/>
          <w:iCs/>
          <w:sz w:val="24"/>
        </w:rPr>
        <w:t>York</w:t>
      </w:r>
      <w:bookmarkEnd w:id="3"/>
      <w:r w:rsidR="009652F4" w:rsidRPr="00F12C25">
        <w:rPr>
          <w:sz w:val="24"/>
        </w:rPr>
        <w:t xml:space="preserve"> </w:t>
      </w:r>
      <w:bookmarkStart w:id="5" w:name="_Hlk93931544"/>
      <w:r w:rsidR="009652F4" w:rsidRPr="00F12C25">
        <w:rPr>
          <w:sz w:val="24"/>
        </w:rPr>
        <w:t>(</w:t>
      </w:r>
      <w:r w:rsidR="00B77332" w:rsidRPr="00F12C25">
        <w:rPr>
          <w:sz w:val="24"/>
        </w:rPr>
        <w:t xml:space="preserve">595 US —, </w:t>
      </w:r>
      <w:r w:rsidR="00583013" w:rsidRPr="00F12C25">
        <w:rPr>
          <w:sz w:val="24"/>
        </w:rPr>
        <w:t xml:space="preserve">—, </w:t>
      </w:r>
      <w:r w:rsidR="00B77332" w:rsidRPr="00F12C25">
        <w:rPr>
          <w:sz w:val="24"/>
        </w:rPr>
        <w:t xml:space="preserve">142 S Ct 681, 694 </w:t>
      </w:r>
      <w:r w:rsidR="00B703EA" w:rsidRPr="00F12C25">
        <w:rPr>
          <w:sz w:val="24"/>
        </w:rPr>
        <w:t>[</w:t>
      </w:r>
      <w:r w:rsidR="00984B34" w:rsidRPr="00F12C25">
        <w:rPr>
          <w:sz w:val="24"/>
        </w:rPr>
        <w:t>202</w:t>
      </w:r>
      <w:r w:rsidR="00FB3E4B" w:rsidRPr="00F12C25">
        <w:rPr>
          <w:sz w:val="24"/>
        </w:rPr>
        <w:t>2</w:t>
      </w:r>
      <w:r w:rsidR="00B703EA" w:rsidRPr="00F12C25">
        <w:rPr>
          <w:sz w:val="24"/>
        </w:rPr>
        <w:t>]</w:t>
      </w:r>
      <w:r w:rsidR="009652F4" w:rsidRPr="00F12C25">
        <w:rPr>
          <w:sz w:val="24"/>
        </w:rPr>
        <w:t>)</w:t>
      </w:r>
      <w:r w:rsidR="000C2B19" w:rsidRPr="00F12C25">
        <w:rPr>
          <w:sz w:val="24"/>
        </w:rPr>
        <w:t>,</w:t>
      </w:r>
      <w:r w:rsidR="006A5381" w:rsidRPr="00F12C25">
        <w:rPr>
          <w:sz w:val="24"/>
        </w:rPr>
        <w:t xml:space="preserve"> </w:t>
      </w:r>
      <w:bookmarkEnd w:id="5"/>
      <w:r w:rsidR="00FB3E4B" w:rsidRPr="00F12C25">
        <w:rPr>
          <w:sz w:val="24"/>
        </w:rPr>
        <w:t>which</w:t>
      </w:r>
      <w:r w:rsidR="006A5381" w:rsidRPr="00F12C25">
        <w:rPr>
          <w:sz w:val="24"/>
        </w:rPr>
        <w:t xml:space="preserve"> bars the introduction </w:t>
      </w:r>
      <w:r w:rsidR="00750A36" w:rsidRPr="00F12C25">
        <w:rPr>
          <w:sz w:val="24"/>
        </w:rPr>
        <w:t>in</w:t>
      </w:r>
      <w:r w:rsidR="00971979" w:rsidRPr="00F12C25">
        <w:rPr>
          <w:sz w:val="24"/>
        </w:rPr>
        <w:t xml:space="preserve"> evidence </w:t>
      </w:r>
      <w:r w:rsidR="006A5381" w:rsidRPr="00F12C25">
        <w:rPr>
          <w:sz w:val="24"/>
        </w:rPr>
        <w:t>of “unconfronted testimonial hearsay” under the “open</w:t>
      </w:r>
      <w:r w:rsidR="00A569BA" w:rsidRPr="00F12C25">
        <w:rPr>
          <w:sz w:val="24"/>
        </w:rPr>
        <w:t>ing the</w:t>
      </w:r>
      <w:r w:rsidR="006A5381" w:rsidRPr="00F12C25">
        <w:rPr>
          <w:sz w:val="24"/>
        </w:rPr>
        <w:t xml:space="preserve"> door</w:t>
      </w:r>
      <w:r w:rsidR="001E26A0" w:rsidRPr="00F12C25">
        <w:rPr>
          <w:sz w:val="24"/>
        </w:rPr>
        <w:t xml:space="preserve"> to evidence</w:t>
      </w:r>
      <w:r w:rsidR="006A5381" w:rsidRPr="00F12C25">
        <w:rPr>
          <w:sz w:val="24"/>
        </w:rPr>
        <w:t xml:space="preserve">” </w:t>
      </w:r>
      <w:r w:rsidR="00A569BA" w:rsidRPr="00F12C25">
        <w:rPr>
          <w:sz w:val="24"/>
        </w:rPr>
        <w:t>principle</w:t>
      </w:r>
      <w:r w:rsidR="006A5381" w:rsidRPr="00F12C25">
        <w:rPr>
          <w:sz w:val="24"/>
        </w:rPr>
        <w:t>.</w:t>
      </w:r>
    </w:p>
    <w:bookmarkEnd w:id="4"/>
    <w:p w14:paraId="7A3DAA36" w14:textId="77777777" w:rsidR="00EC23D3" w:rsidRPr="00F12C25" w:rsidRDefault="00EC23D3" w:rsidP="002B3527">
      <w:pPr>
        <w:tabs>
          <w:tab w:val="left" w:pos="720"/>
        </w:tabs>
        <w:kinsoku w:val="0"/>
        <w:overflowPunct w:val="0"/>
        <w:autoSpaceDE/>
        <w:autoSpaceDN/>
        <w:adjustRightInd/>
        <w:jc w:val="both"/>
        <w:textAlignment w:val="baseline"/>
        <w:rPr>
          <w:sz w:val="24"/>
        </w:rPr>
      </w:pPr>
    </w:p>
    <w:p w14:paraId="206D3AC6" w14:textId="69429AAA" w:rsidR="00BB74B8" w:rsidRPr="00F12C25" w:rsidRDefault="00EC23D3" w:rsidP="002B3527">
      <w:pPr>
        <w:tabs>
          <w:tab w:val="left" w:pos="720"/>
        </w:tabs>
        <w:kinsoku w:val="0"/>
        <w:overflowPunct w:val="0"/>
        <w:autoSpaceDE/>
        <w:autoSpaceDN/>
        <w:adjustRightInd/>
        <w:jc w:val="both"/>
        <w:textAlignment w:val="baseline"/>
        <w:rPr>
          <w:sz w:val="24"/>
        </w:rPr>
      </w:pPr>
      <w:r w:rsidRPr="00F12C25">
        <w:rPr>
          <w:i/>
          <w:spacing w:val="-2"/>
          <w:sz w:val="24"/>
        </w:rPr>
        <w:tab/>
      </w:r>
      <w:r w:rsidR="00BB74B8" w:rsidRPr="00F12C25">
        <w:rPr>
          <w:i/>
          <w:spacing w:val="-2"/>
          <w:sz w:val="24"/>
        </w:rPr>
        <w:t xml:space="preserve">Melendez </w:t>
      </w:r>
      <w:r w:rsidR="00BB74B8" w:rsidRPr="00F12C25">
        <w:rPr>
          <w:spacing w:val="-2"/>
          <w:sz w:val="24"/>
        </w:rPr>
        <w:t xml:space="preserve">dealt with the issue of whether the defense had </w:t>
      </w:r>
      <w:r w:rsidR="00EE3D3C" w:rsidRPr="00F12C25">
        <w:rPr>
          <w:spacing w:val="-2"/>
          <w:sz w:val="24"/>
        </w:rPr>
        <w:t>“</w:t>
      </w:r>
      <w:r w:rsidR="00BB74B8" w:rsidRPr="00F12C25">
        <w:rPr>
          <w:spacing w:val="-2"/>
          <w:sz w:val="24"/>
        </w:rPr>
        <w:t>opened the door</w:t>
      </w:r>
      <w:r w:rsidR="00EE3D3C" w:rsidRPr="00F12C25">
        <w:rPr>
          <w:spacing w:val="-2"/>
          <w:sz w:val="24"/>
        </w:rPr>
        <w:t>”</w:t>
      </w:r>
      <w:r w:rsidR="00BB74B8" w:rsidRPr="00F12C25">
        <w:rPr>
          <w:spacing w:val="-2"/>
          <w:sz w:val="24"/>
        </w:rPr>
        <w:t xml:space="preserve"> </w:t>
      </w:r>
      <w:r w:rsidR="00BB74B8" w:rsidRPr="00F12C25">
        <w:rPr>
          <w:spacing w:val="-2"/>
          <w:sz w:val="24"/>
        </w:rPr>
        <w:lastRenderedPageBreak/>
        <w:t>to permit the prosecutor to explore an aspect of the investigation that would not otherwise have been admissible</w:t>
      </w:r>
      <w:r w:rsidR="0073722F" w:rsidRPr="00F12C25">
        <w:rPr>
          <w:spacing w:val="-2"/>
          <w:sz w:val="24"/>
        </w:rPr>
        <w:t xml:space="preserve">. </w:t>
      </w:r>
      <w:r w:rsidR="00BB74B8" w:rsidRPr="00F12C25">
        <w:rPr>
          <w:spacing w:val="-2"/>
          <w:sz w:val="24"/>
        </w:rPr>
        <w:t>The Court began by noting that</w:t>
      </w:r>
      <w:r w:rsidR="00A53549" w:rsidRPr="00F12C25">
        <w:rPr>
          <w:spacing w:val="-2"/>
          <w:sz w:val="24"/>
        </w:rPr>
        <w:t>,</w:t>
      </w:r>
      <w:r w:rsidR="00BB74B8" w:rsidRPr="00F12C25">
        <w:rPr>
          <w:spacing w:val="-2"/>
          <w:sz w:val="24"/>
        </w:rPr>
        <w:t xml:space="preserve"> when an </w:t>
      </w:r>
      <w:r w:rsidR="00C87E12" w:rsidRPr="00F12C25">
        <w:rPr>
          <w:spacing w:val="-2"/>
          <w:sz w:val="24"/>
        </w:rPr>
        <w:t>“</w:t>
      </w:r>
      <w:r w:rsidR="00BB74B8" w:rsidRPr="00F12C25">
        <w:rPr>
          <w:spacing w:val="-2"/>
          <w:sz w:val="24"/>
        </w:rPr>
        <w:t>opposing party ‘opens the door’ on cross-examination to matters not touched upon during the direct examination, a party has the right on redirect to explain, clarify and fully elicit [the] question only partially</w:t>
      </w:r>
      <w:r w:rsidR="00991333" w:rsidRPr="00F12C25">
        <w:rPr>
          <w:spacing w:val="-2"/>
          <w:sz w:val="24"/>
        </w:rPr>
        <w:t xml:space="preserve"> </w:t>
      </w:r>
      <w:r w:rsidR="00BB74B8" w:rsidRPr="00F12C25">
        <w:rPr>
          <w:sz w:val="24"/>
        </w:rPr>
        <w:t>examined on cross-examination.” (</w:t>
      </w:r>
      <w:r w:rsidR="00BB74B8" w:rsidRPr="00F12C25">
        <w:rPr>
          <w:i/>
          <w:sz w:val="24"/>
        </w:rPr>
        <w:t xml:space="preserve">Melendez </w:t>
      </w:r>
      <w:r w:rsidR="00BB74B8" w:rsidRPr="00F12C25">
        <w:rPr>
          <w:sz w:val="24"/>
        </w:rPr>
        <w:t>at 451 [</w:t>
      </w:r>
      <w:r w:rsidR="00562C5F" w:rsidRPr="00F12C25">
        <w:rPr>
          <w:sz w:val="24"/>
        </w:rPr>
        <w:t xml:space="preserve">internal </w:t>
      </w:r>
      <w:r w:rsidR="00BB74B8" w:rsidRPr="00F12C25">
        <w:rPr>
          <w:sz w:val="24"/>
        </w:rPr>
        <w:t>quotation marks and citation omitted]</w:t>
      </w:r>
      <w:r w:rsidR="00063BEA" w:rsidRPr="00F12C25">
        <w:rPr>
          <w:sz w:val="24"/>
        </w:rPr>
        <w:t>.</w:t>
      </w:r>
      <w:r w:rsidR="00BB74B8" w:rsidRPr="00F12C25">
        <w:rPr>
          <w:sz w:val="24"/>
        </w:rPr>
        <w:t>)</w:t>
      </w:r>
    </w:p>
    <w:p w14:paraId="2A2FA437" w14:textId="77777777" w:rsidR="00EC23D3" w:rsidRPr="00F12C25" w:rsidRDefault="00EC23D3" w:rsidP="002B3527">
      <w:pPr>
        <w:tabs>
          <w:tab w:val="left" w:pos="720"/>
        </w:tabs>
        <w:kinsoku w:val="0"/>
        <w:overflowPunct w:val="0"/>
        <w:autoSpaceDE/>
        <w:autoSpaceDN/>
        <w:adjustRightInd/>
        <w:jc w:val="both"/>
        <w:textAlignment w:val="baseline"/>
        <w:rPr>
          <w:sz w:val="24"/>
        </w:rPr>
      </w:pPr>
    </w:p>
    <w:p w14:paraId="229DC4F8" w14:textId="01F72614" w:rsidR="004E668E" w:rsidRPr="00F12C25" w:rsidRDefault="00EC23D3" w:rsidP="002B3527">
      <w:pPr>
        <w:tabs>
          <w:tab w:val="left" w:pos="720"/>
        </w:tabs>
        <w:kinsoku w:val="0"/>
        <w:overflowPunct w:val="0"/>
        <w:autoSpaceDE/>
        <w:autoSpaceDN/>
        <w:adjustRightInd/>
        <w:jc w:val="both"/>
        <w:textAlignment w:val="baseline"/>
        <w:rPr>
          <w:spacing w:val="-2"/>
          <w:sz w:val="24"/>
        </w:rPr>
      </w:pPr>
      <w:r w:rsidRPr="00F12C25">
        <w:rPr>
          <w:sz w:val="24"/>
        </w:rPr>
        <w:tab/>
      </w:r>
      <w:r w:rsidR="002644D9" w:rsidRPr="00F12C25">
        <w:rPr>
          <w:sz w:val="24"/>
        </w:rPr>
        <w:t>A</w:t>
      </w:r>
      <w:r w:rsidR="004E668E" w:rsidRPr="00F12C25">
        <w:rPr>
          <w:sz w:val="24"/>
        </w:rPr>
        <w:t>rgument to the jury or other presentation of evidence</w:t>
      </w:r>
      <w:r w:rsidR="00E741A6" w:rsidRPr="00F12C25">
        <w:rPr>
          <w:sz w:val="24"/>
        </w:rPr>
        <w:t xml:space="preserve"> also may </w:t>
      </w:r>
      <w:r w:rsidR="00BC47E7" w:rsidRPr="00F12C25">
        <w:rPr>
          <w:sz w:val="24"/>
        </w:rPr>
        <w:t>“</w:t>
      </w:r>
      <w:r w:rsidR="00E741A6" w:rsidRPr="00F12C25">
        <w:rPr>
          <w:sz w:val="24"/>
        </w:rPr>
        <w:t>open the door</w:t>
      </w:r>
      <w:r w:rsidR="00BC47E7" w:rsidRPr="00F12C25">
        <w:rPr>
          <w:sz w:val="24"/>
        </w:rPr>
        <w:t>”</w:t>
      </w:r>
      <w:r w:rsidR="00E741A6" w:rsidRPr="00F12C25">
        <w:rPr>
          <w:sz w:val="24"/>
        </w:rPr>
        <w:t xml:space="preserve"> to </w:t>
      </w:r>
      <w:r w:rsidR="00BD410D" w:rsidRPr="00F12C25">
        <w:rPr>
          <w:sz w:val="24"/>
        </w:rPr>
        <w:t xml:space="preserve">the </w:t>
      </w:r>
      <w:r w:rsidR="00E741A6" w:rsidRPr="00F12C25">
        <w:rPr>
          <w:sz w:val="24"/>
        </w:rPr>
        <w:t>admission of otherwise inadmissible evidence</w:t>
      </w:r>
      <w:r w:rsidR="0073722F" w:rsidRPr="00F12C25">
        <w:rPr>
          <w:sz w:val="24"/>
        </w:rPr>
        <w:t xml:space="preserve">. </w:t>
      </w:r>
      <w:r w:rsidR="00F42182" w:rsidRPr="00F12C25">
        <w:rPr>
          <w:sz w:val="24"/>
        </w:rPr>
        <w:t>(</w:t>
      </w:r>
      <w:r w:rsidR="00F533C4" w:rsidRPr="00F12C25">
        <w:rPr>
          <w:i/>
          <w:iCs/>
          <w:sz w:val="24"/>
        </w:rPr>
        <w:t>Rojas</w:t>
      </w:r>
      <w:r w:rsidR="008177F2" w:rsidRPr="00F12C25">
        <w:rPr>
          <w:sz w:val="24"/>
        </w:rPr>
        <w:t xml:space="preserve"> </w:t>
      </w:r>
      <w:r w:rsidR="00F533C4" w:rsidRPr="00F12C25">
        <w:rPr>
          <w:sz w:val="24"/>
        </w:rPr>
        <w:t xml:space="preserve">at 34 </w:t>
      </w:r>
      <w:r w:rsidR="00D5163D" w:rsidRPr="00F12C25">
        <w:rPr>
          <w:sz w:val="24"/>
        </w:rPr>
        <w:t>[“</w:t>
      </w:r>
      <w:r w:rsidR="00F533C4" w:rsidRPr="00F12C25">
        <w:rPr>
          <w:sz w:val="24"/>
        </w:rPr>
        <w:t>defendant opened the door</w:t>
      </w:r>
      <w:r w:rsidR="00D5163D" w:rsidRPr="00F12C25">
        <w:rPr>
          <w:sz w:val="24"/>
        </w:rPr>
        <w:t>”</w:t>
      </w:r>
      <w:r w:rsidR="00F533C4" w:rsidRPr="00F12C25">
        <w:rPr>
          <w:sz w:val="24"/>
        </w:rPr>
        <w:t xml:space="preserve"> based </w:t>
      </w:r>
      <w:r w:rsidR="00D5163D" w:rsidRPr="00F12C25">
        <w:rPr>
          <w:sz w:val="24"/>
        </w:rPr>
        <w:t>“</w:t>
      </w:r>
      <w:r w:rsidR="00F533C4" w:rsidRPr="00F12C25">
        <w:rPr>
          <w:sz w:val="24"/>
        </w:rPr>
        <w:t>on the combination of his opening statement and cross-examination of a prosecution witness</w:t>
      </w:r>
      <w:r w:rsidR="00D5163D" w:rsidRPr="00F12C25">
        <w:rPr>
          <w:sz w:val="24"/>
        </w:rPr>
        <w:t>”</w:t>
      </w:r>
      <w:r w:rsidR="00611CDF" w:rsidRPr="00F12C25">
        <w:rPr>
          <w:sz w:val="24"/>
        </w:rPr>
        <w:t>];</w:t>
      </w:r>
      <w:r w:rsidR="003E200C" w:rsidRPr="00F12C25">
        <w:rPr>
          <w:sz w:val="24"/>
        </w:rPr>
        <w:t xml:space="preserve"> </w:t>
      </w:r>
      <w:r w:rsidR="00611CDF" w:rsidRPr="00F12C25">
        <w:rPr>
          <w:i/>
          <w:spacing w:val="-2"/>
          <w:sz w:val="24"/>
        </w:rPr>
        <w:t xml:space="preserve">Massie </w:t>
      </w:r>
      <w:r w:rsidR="00611CDF" w:rsidRPr="00F12C25">
        <w:rPr>
          <w:spacing w:val="-2"/>
          <w:sz w:val="24"/>
        </w:rPr>
        <w:t xml:space="preserve">at </w:t>
      </w:r>
      <w:r w:rsidR="006E3AEF" w:rsidRPr="00F12C25">
        <w:rPr>
          <w:spacing w:val="-2"/>
          <w:sz w:val="24"/>
        </w:rPr>
        <w:t>184</w:t>
      </w:r>
      <w:r w:rsidR="003A7B8A" w:rsidRPr="00F12C25">
        <w:rPr>
          <w:spacing w:val="-2"/>
          <w:sz w:val="24"/>
        </w:rPr>
        <w:t xml:space="preserve"> [noting that a door may be opened by “evidence or argument”].</w:t>
      </w:r>
      <w:r w:rsidR="00F42182" w:rsidRPr="00F12C25">
        <w:rPr>
          <w:spacing w:val="-2"/>
          <w:sz w:val="24"/>
        </w:rPr>
        <w:t>)</w:t>
      </w:r>
    </w:p>
    <w:p w14:paraId="66733695" w14:textId="77777777" w:rsidR="00EC23D3" w:rsidRPr="00F12C25" w:rsidRDefault="00EC23D3" w:rsidP="002B3527">
      <w:pPr>
        <w:tabs>
          <w:tab w:val="left" w:pos="720"/>
        </w:tabs>
        <w:kinsoku w:val="0"/>
        <w:overflowPunct w:val="0"/>
        <w:autoSpaceDE/>
        <w:autoSpaceDN/>
        <w:adjustRightInd/>
        <w:jc w:val="both"/>
        <w:textAlignment w:val="baseline"/>
        <w:rPr>
          <w:spacing w:val="-2"/>
          <w:sz w:val="24"/>
        </w:rPr>
      </w:pPr>
    </w:p>
    <w:p w14:paraId="197473A8" w14:textId="1CFA310F" w:rsidR="00BB74B8" w:rsidRPr="00F12C25" w:rsidRDefault="00EC23D3" w:rsidP="002B3527">
      <w:pPr>
        <w:tabs>
          <w:tab w:val="left" w:pos="720"/>
        </w:tabs>
        <w:kinsoku w:val="0"/>
        <w:overflowPunct w:val="0"/>
        <w:autoSpaceDE/>
        <w:autoSpaceDN/>
        <w:adjustRightInd/>
        <w:jc w:val="both"/>
        <w:textAlignment w:val="baseline"/>
        <w:rPr>
          <w:spacing w:val="-2"/>
          <w:sz w:val="24"/>
        </w:rPr>
      </w:pPr>
      <w:r w:rsidRPr="00F12C25">
        <w:rPr>
          <w:spacing w:val="-2"/>
          <w:sz w:val="24"/>
        </w:rPr>
        <w:tab/>
      </w:r>
      <w:r w:rsidR="00BB74B8" w:rsidRPr="00F12C25">
        <w:rPr>
          <w:spacing w:val="-2"/>
          <w:sz w:val="24"/>
        </w:rPr>
        <w:t>The “open</w:t>
      </w:r>
      <w:r w:rsidR="00A569BA" w:rsidRPr="00F12C25">
        <w:rPr>
          <w:spacing w:val="-2"/>
          <w:sz w:val="24"/>
        </w:rPr>
        <w:t xml:space="preserve">ing the </w:t>
      </w:r>
      <w:r w:rsidR="00BB74B8" w:rsidRPr="00F12C25">
        <w:rPr>
          <w:spacing w:val="-2"/>
          <w:sz w:val="24"/>
        </w:rPr>
        <w:t>door</w:t>
      </w:r>
      <w:r w:rsidR="00F25E78" w:rsidRPr="00F12C25">
        <w:rPr>
          <w:spacing w:val="-2"/>
          <w:sz w:val="24"/>
        </w:rPr>
        <w:t xml:space="preserve"> to evidence</w:t>
      </w:r>
      <w:r w:rsidR="00BB74B8" w:rsidRPr="00F12C25">
        <w:rPr>
          <w:spacing w:val="-2"/>
          <w:sz w:val="24"/>
        </w:rPr>
        <w:t>” principle, however, “does have its limitations</w:t>
      </w:r>
      <w:r w:rsidR="0073722F" w:rsidRPr="00F12C25">
        <w:rPr>
          <w:spacing w:val="-2"/>
          <w:sz w:val="24"/>
        </w:rPr>
        <w:t xml:space="preserve">. </w:t>
      </w:r>
      <w:r w:rsidR="00BB74B8" w:rsidRPr="00F12C25">
        <w:rPr>
          <w:spacing w:val="-2"/>
          <w:sz w:val="24"/>
        </w:rPr>
        <w:t xml:space="preserve">By simply broaching a new issue on cross-examination, a party does not thereby run the risk that all evidence, no matter how remote or tangential to the subject matter opened up, will be brought out on redirect. . . . </w:t>
      </w:r>
      <w:r w:rsidR="0074305B" w:rsidRPr="00F12C25">
        <w:rPr>
          <w:spacing w:val="-2"/>
          <w:sz w:val="24"/>
        </w:rPr>
        <w:t>[T]</w:t>
      </w:r>
      <w:r w:rsidR="00BB74B8" w:rsidRPr="00F12C25">
        <w:rPr>
          <w:spacing w:val="-2"/>
          <w:sz w:val="24"/>
        </w:rPr>
        <w:t>he court should only allow so much additional evidence to be introduced on redirect as is necessary to meet what has been brought out in the meantime upon the cross-examination. . . .</w:t>
      </w:r>
      <w:r w:rsidR="000D20DD" w:rsidRPr="00F12C25">
        <w:rPr>
          <w:spacing w:val="-2"/>
          <w:sz w:val="24"/>
        </w:rPr>
        <w:t xml:space="preserve"> </w:t>
      </w:r>
      <w:r w:rsidR="00BB74B8" w:rsidRPr="00F12C25">
        <w:rPr>
          <w:spacing w:val="-2"/>
          <w:sz w:val="24"/>
        </w:rPr>
        <w:t>The principle merely allows a party to explain or clarify on redirect matters that have been put in issue for the first time on cross-examination, and the trial court should normally exclude all evidence which has not been made necessary by the opponent</w:t>
      </w:r>
      <w:r w:rsidR="00C87E12" w:rsidRPr="00F12C25">
        <w:rPr>
          <w:spacing w:val="-2"/>
          <w:sz w:val="24"/>
        </w:rPr>
        <w:t>’</w:t>
      </w:r>
      <w:r w:rsidR="00BB74B8" w:rsidRPr="00F12C25">
        <w:rPr>
          <w:spacing w:val="-2"/>
          <w:sz w:val="24"/>
        </w:rPr>
        <w:t>s case in reply.” (</w:t>
      </w:r>
      <w:r w:rsidR="003F60D7" w:rsidRPr="00F12C25">
        <w:rPr>
          <w:i/>
          <w:sz w:val="24"/>
        </w:rPr>
        <w:t>Melendez</w:t>
      </w:r>
      <w:r w:rsidR="00BB74B8" w:rsidRPr="00F12C25">
        <w:rPr>
          <w:i/>
          <w:spacing w:val="-2"/>
          <w:sz w:val="24"/>
        </w:rPr>
        <w:t xml:space="preserve"> </w:t>
      </w:r>
      <w:r w:rsidR="00BB74B8" w:rsidRPr="00F12C25">
        <w:rPr>
          <w:spacing w:val="-2"/>
          <w:sz w:val="24"/>
        </w:rPr>
        <w:t>at 452 [</w:t>
      </w:r>
      <w:r w:rsidR="000D0A3B" w:rsidRPr="00F12C25">
        <w:rPr>
          <w:spacing w:val="-2"/>
          <w:sz w:val="24"/>
        </w:rPr>
        <w:t xml:space="preserve">internal </w:t>
      </w:r>
      <w:r w:rsidR="00BB74B8" w:rsidRPr="00F12C25">
        <w:rPr>
          <w:spacing w:val="-2"/>
          <w:sz w:val="24"/>
        </w:rPr>
        <w:t xml:space="preserve">quotation marks, citations, and </w:t>
      </w:r>
      <w:r w:rsidR="00136B1C" w:rsidRPr="00F12C25">
        <w:rPr>
          <w:spacing w:val="-2"/>
          <w:sz w:val="24"/>
        </w:rPr>
        <w:t>emphasis</w:t>
      </w:r>
      <w:r w:rsidR="00BB74B8" w:rsidRPr="00F12C25">
        <w:rPr>
          <w:spacing w:val="-2"/>
          <w:sz w:val="24"/>
        </w:rPr>
        <w:t xml:space="preserve"> omitted]</w:t>
      </w:r>
      <w:r w:rsidR="00F7435F" w:rsidRPr="00F12C25">
        <w:rPr>
          <w:spacing w:val="-2"/>
          <w:sz w:val="24"/>
        </w:rPr>
        <w:t>.</w:t>
      </w:r>
      <w:r w:rsidR="00BB74B8" w:rsidRPr="00F12C25">
        <w:rPr>
          <w:spacing w:val="-2"/>
          <w:sz w:val="24"/>
        </w:rPr>
        <w:t>)</w:t>
      </w:r>
    </w:p>
    <w:p w14:paraId="1E6CF8B1" w14:textId="77777777" w:rsidR="00EC23D3" w:rsidRPr="00F12C25" w:rsidRDefault="00EC23D3" w:rsidP="002B3527">
      <w:pPr>
        <w:tabs>
          <w:tab w:val="left" w:pos="720"/>
        </w:tabs>
        <w:kinsoku w:val="0"/>
        <w:overflowPunct w:val="0"/>
        <w:autoSpaceDE/>
        <w:autoSpaceDN/>
        <w:adjustRightInd/>
        <w:jc w:val="both"/>
        <w:textAlignment w:val="baseline"/>
        <w:rPr>
          <w:spacing w:val="-2"/>
          <w:sz w:val="24"/>
        </w:rPr>
      </w:pPr>
    </w:p>
    <w:p w14:paraId="2385B093" w14:textId="5A00656F" w:rsidR="00BB74B8" w:rsidRPr="00F12C25" w:rsidRDefault="00EC23D3" w:rsidP="002B3527">
      <w:pPr>
        <w:tabs>
          <w:tab w:val="left" w:pos="720"/>
        </w:tabs>
        <w:kinsoku w:val="0"/>
        <w:overflowPunct w:val="0"/>
        <w:autoSpaceDE/>
        <w:autoSpaceDN/>
        <w:adjustRightInd/>
        <w:jc w:val="both"/>
        <w:textAlignment w:val="baseline"/>
        <w:rPr>
          <w:sz w:val="24"/>
        </w:rPr>
      </w:pPr>
      <w:r w:rsidRPr="00F12C25">
        <w:rPr>
          <w:sz w:val="24"/>
        </w:rPr>
        <w:tab/>
      </w:r>
      <w:r w:rsidR="00BB74B8" w:rsidRPr="00F12C25">
        <w:rPr>
          <w:sz w:val="24"/>
        </w:rPr>
        <w:t xml:space="preserve">On the facts of </w:t>
      </w:r>
      <w:r w:rsidR="00BB74B8" w:rsidRPr="00F12C25">
        <w:rPr>
          <w:i/>
          <w:sz w:val="24"/>
        </w:rPr>
        <w:t>Melendez</w:t>
      </w:r>
      <w:r w:rsidR="00BB74B8" w:rsidRPr="00F12C25">
        <w:rPr>
          <w:sz w:val="24"/>
        </w:rPr>
        <w:t>, the Court ruled that “although defense counsel may have partially ‘opened the door’</w:t>
      </w:r>
      <w:r w:rsidR="00F2036F" w:rsidRPr="00F12C25">
        <w:rPr>
          <w:sz w:val="24"/>
        </w:rPr>
        <w:t xml:space="preserve"> </w:t>
      </w:r>
      <w:r w:rsidR="00BB74B8" w:rsidRPr="00F12C25">
        <w:rPr>
          <w:sz w:val="24"/>
        </w:rPr>
        <w:t>by asking whether [one of the People’s witnesses] was a suspect, the passageway thus created was not so wide as to admit the hearsay testimony directly implicating the defendant in the crimes charged.” (</w:t>
      </w:r>
      <w:r w:rsidR="00BB74B8" w:rsidRPr="00F12C25">
        <w:rPr>
          <w:i/>
          <w:sz w:val="24"/>
        </w:rPr>
        <w:t xml:space="preserve">Id. </w:t>
      </w:r>
      <w:r w:rsidR="00BB74B8" w:rsidRPr="00F12C25">
        <w:rPr>
          <w:sz w:val="24"/>
        </w:rPr>
        <w:t>at 453</w:t>
      </w:r>
      <w:r w:rsidR="00BA6892" w:rsidRPr="00F12C25">
        <w:rPr>
          <w:sz w:val="24"/>
        </w:rPr>
        <w:t>.</w:t>
      </w:r>
      <w:r w:rsidR="00BB74B8" w:rsidRPr="00F12C25">
        <w:rPr>
          <w:sz w:val="24"/>
        </w:rPr>
        <w:t>)</w:t>
      </w:r>
    </w:p>
    <w:p w14:paraId="4E48B86F" w14:textId="77777777" w:rsidR="00EC23D3" w:rsidRPr="00F12C25" w:rsidRDefault="00EC23D3" w:rsidP="002B3527">
      <w:pPr>
        <w:tabs>
          <w:tab w:val="left" w:pos="720"/>
        </w:tabs>
        <w:kinsoku w:val="0"/>
        <w:overflowPunct w:val="0"/>
        <w:autoSpaceDE/>
        <w:autoSpaceDN/>
        <w:adjustRightInd/>
        <w:jc w:val="both"/>
        <w:textAlignment w:val="baseline"/>
        <w:rPr>
          <w:sz w:val="24"/>
        </w:rPr>
      </w:pPr>
    </w:p>
    <w:p w14:paraId="5AD3C840" w14:textId="3F0CFE30" w:rsidR="00BB74B8" w:rsidRPr="00F12C25" w:rsidRDefault="00EC23D3" w:rsidP="002B3527">
      <w:pPr>
        <w:tabs>
          <w:tab w:val="left" w:pos="720"/>
        </w:tabs>
        <w:kinsoku w:val="0"/>
        <w:overflowPunct w:val="0"/>
        <w:autoSpaceDE/>
        <w:autoSpaceDN/>
        <w:adjustRightInd/>
        <w:jc w:val="both"/>
        <w:textAlignment w:val="baseline"/>
        <w:rPr>
          <w:sz w:val="24"/>
        </w:rPr>
      </w:pPr>
      <w:r w:rsidRPr="00F12C25">
        <w:rPr>
          <w:i/>
          <w:sz w:val="24"/>
        </w:rPr>
        <w:tab/>
      </w:r>
      <w:r w:rsidR="00BB74B8" w:rsidRPr="00F12C25">
        <w:rPr>
          <w:i/>
          <w:sz w:val="24"/>
        </w:rPr>
        <w:t xml:space="preserve">Massie </w:t>
      </w:r>
      <w:r w:rsidR="00BB74B8" w:rsidRPr="00F12C25">
        <w:rPr>
          <w:sz w:val="24"/>
        </w:rPr>
        <w:t xml:space="preserve">recognized </w:t>
      </w:r>
      <w:r w:rsidR="00BB74B8" w:rsidRPr="00F12C25">
        <w:rPr>
          <w:i/>
          <w:sz w:val="24"/>
        </w:rPr>
        <w:t xml:space="preserve">Melendez </w:t>
      </w:r>
      <w:r w:rsidR="00BB74B8" w:rsidRPr="00F12C25">
        <w:rPr>
          <w:sz w:val="24"/>
        </w:rPr>
        <w:t>as the leading case on the subject, while noting that the application of the “open</w:t>
      </w:r>
      <w:r w:rsidR="00A569BA" w:rsidRPr="00F12C25">
        <w:rPr>
          <w:sz w:val="24"/>
        </w:rPr>
        <w:t>ing the</w:t>
      </w:r>
      <w:r w:rsidR="00BB74B8" w:rsidRPr="00F12C25">
        <w:rPr>
          <w:sz w:val="24"/>
        </w:rPr>
        <w:t xml:space="preserve"> door</w:t>
      </w:r>
      <w:r w:rsidR="001C43FB" w:rsidRPr="00F12C25">
        <w:rPr>
          <w:sz w:val="24"/>
        </w:rPr>
        <w:t xml:space="preserve"> to evidence</w:t>
      </w:r>
      <w:r w:rsidR="00BB74B8" w:rsidRPr="00F12C25">
        <w:rPr>
          <w:sz w:val="24"/>
        </w:rPr>
        <w:t>” principle was not limited to cross-examination questions.</w:t>
      </w:r>
      <w:r w:rsidR="00226067" w:rsidRPr="00F12C25">
        <w:rPr>
          <w:sz w:val="24"/>
        </w:rPr>
        <w:t xml:space="preserve"> </w:t>
      </w:r>
      <w:r w:rsidR="00623231" w:rsidRPr="00F12C25">
        <w:rPr>
          <w:i/>
          <w:iCs/>
          <w:sz w:val="24"/>
        </w:rPr>
        <w:t>Massie</w:t>
      </w:r>
      <w:r w:rsidR="00623231" w:rsidRPr="00F12C25">
        <w:rPr>
          <w:sz w:val="24"/>
        </w:rPr>
        <w:t xml:space="preserve"> </w:t>
      </w:r>
      <w:r w:rsidR="00BB74B8" w:rsidRPr="00F12C25">
        <w:rPr>
          <w:sz w:val="24"/>
        </w:rPr>
        <w:t>therefore set forth the guiding rule included in subdivision</w:t>
      </w:r>
      <w:r w:rsidR="000B5242" w:rsidRPr="00F12C25">
        <w:rPr>
          <w:sz w:val="24"/>
        </w:rPr>
        <w:t xml:space="preserve"> </w:t>
      </w:r>
      <w:r w:rsidR="00ED025E" w:rsidRPr="00F12C25">
        <w:rPr>
          <w:sz w:val="24"/>
        </w:rPr>
        <w:t xml:space="preserve">(2) </w:t>
      </w:r>
      <w:r w:rsidR="00BB74B8" w:rsidRPr="00F12C25">
        <w:rPr>
          <w:sz w:val="24"/>
        </w:rPr>
        <w:t>for dealing with any “open</w:t>
      </w:r>
      <w:r w:rsidR="00A569BA" w:rsidRPr="00F12C25">
        <w:rPr>
          <w:sz w:val="24"/>
        </w:rPr>
        <w:t>ing the</w:t>
      </w:r>
      <w:r w:rsidR="00BB74B8" w:rsidRPr="00F12C25">
        <w:rPr>
          <w:sz w:val="24"/>
        </w:rPr>
        <w:t xml:space="preserve"> door</w:t>
      </w:r>
      <w:r w:rsidR="001C43FB" w:rsidRPr="00F12C25">
        <w:rPr>
          <w:sz w:val="24"/>
        </w:rPr>
        <w:t xml:space="preserve"> to evidence</w:t>
      </w:r>
      <w:r w:rsidR="00BB74B8" w:rsidRPr="00F12C25">
        <w:rPr>
          <w:sz w:val="24"/>
        </w:rPr>
        <w:t>” issue in any circumstance</w:t>
      </w:r>
      <w:bookmarkStart w:id="6" w:name="_Hlk53838185"/>
      <w:r w:rsidR="0073722F" w:rsidRPr="00F12C25">
        <w:rPr>
          <w:sz w:val="24"/>
        </w:rPr>
        <w:t xml:space="preserve">. </w:t>
      </w:r>
      <w:r w:rsidR="00BB74B8" w:rsidRPr="00F12C25">
        <w:rPr>
          <w:sz w:val="24"/>
        </w:rPr>
        <w:t>(</w:t>
      </w:r>
      <w:r w:rsidR="00BB74B8" w:rsidRPr="00F12C25">
        <w:rPr>
          <w:i/>
          <w:sz w:val="24"/>
        </w:rPr>
        <w:t xml:space="preserve">Massie </w:t>
      </w:r>
      <w:r w:rsidR="00BB74B8" w:rsidRPr="00F12C25">
        <w:rPr>
          <w:sz w:val="24"/>
        </w:rPr>
        <w:t xml:space="preserve">at </w:t>
      </w:r>
      <w:r w:rsidR="0072198C" w:rsidRPr="00F12C25">
        <w:rPr>
          <w:sz w:val="24"/>
        </w:rPr>
        <w:t>184</w:t>
      </w:r>
      <w:r w:rsidR="00BB74B8" w:rsidRPr="00F12C25">
        <w:rPr>
          <w:sz w:val="24"/>
        </w:rPr>
        <w:t xml:space="preserve"> [“a trial court should decide ‘door-opening’ issues in its discretion, by considering whether, and to what extent, the evidence or argument said to open the door is incomplete and misleading, and what if any otherwise inadmissible evidence is reasonably necessary to correct the misleading impression”</w:t>
      </w:r>
      <w:bookmarkEnd w:id="6"/>
      <w:r w:rsidR="004D0C73" w:rsidRPr="00F12C25">
        <w:rPr>
          <w:sz w:val="24"/>
        </w:rPr>
        <w:t xml:space="preserve">]; </w:t>
      </w:r>
      <w:r w:rsidR="004D0C73" w:rsidRPr="00F12C25">
        <w:rPr>
          <w:i/>
          <w:sz w:val="24"/>
        </w:rPr>
        <w:t>s</w:t>
      </w:r>
      <w:r w:rsidR="00BB74B8" w:rsidRPr="00F12C25">
        <w:rPr>
          <w:i/>
          <w:sz w:val="24"/>
        </w:rPr>
        <w:t>ee e.g.</w:t>
      </w:r>
      <w:r w:rsidR="00BB74B8" w:rsidRPr="00F12C25">
        <w:rPr>
          <w:sz w:val="24"/>
        </w:rPr>
        <w:t xml:space="preserve"> Guide to NY Evid rule 4.03</w:t>
      </w:r>
      <w:r w:rsidR="00C20048" w:rsidRPr="00F12C25">
        <w:rPr>
          <w:sz w:val="24"/>
        </w:rPr>
        <w:t xml:space="preserve">, </w:t>
      </w:r>
      <w:r w:rsidR="00BB74B8" w:rsidRPr="00F12C25">
        <w:rPr>
          <w:sz w:val="24"/>
        </w:rPr>
        <w:t>Completing and Explaining Writing, Recording, Conversation or Transaction</w:t>
      </w:r>
      <w:r w:rsidR="00DE1362" w:rsidRPr="00F12C25">
        <w:rPr>
          <w:sz w:val="24"/>
        </w:rPr>
        <w:t>.</w:t>
      </w:r>
      <w:r w:rsidR="00BB74B8" w:rsidRPr="00F12C25">
        <w:rPr>
          <w:sz w:val="24"/>
        </w:rPr>
        <w:t>)</w:t>
      </w:r>
    </w:p>
    <w:p w14:paraId="4288D774" w14:textId="77777777" w:rsidR="00EC23D3" w:rsidRPr="00F12C25" w:rsidRDefault="00EC23D3" w:rsidP="002B3527">
      <w:pPr>
        <w:tabs>
          <w:tab w:val="left" w:pos="720"/>
        </w:tabs>
        <w:kinsoku w:val="0"/>
        <w:overflowPunct w:val="0"/>
        <w:autoSpaceDE/>
        <w:autoSpaceDN/>
        <w:adjustRightInd/>
        <w:jc w:val="both"/>
        <w:textAlignment w:val="baseline"/>
        <w:rPr>
          <w:sz w:val="24"/>
        </w:rPr>
      </w:pPr>
    </w:p>
    <w:p w14:paraId="5C58A31E" w14:textId="7AE1FF4B" w:rsidR="00FD1ED1" w:rsidRPr="00F12C25" w:rsidRDefault="00EC23D3" w:rsidP="002B3527">
      <w:pPr>
        <w:tabs>
          <w:tab w:val="left" w:pos="720"/>
        </w:tabs>
        <w:kinsoku w:val="0"/>
        <w:overflowPunct w:val="0"/>
        <w:autoSpaceDE/>
        <w:autoSpaceDN/>
        <w:adjustRightInd/>
        <w:jc w:val="both"/>
        <w:textAlignment w:val="baseline"/>
        <w:rPr>
          <w:bCs/>
          <w:sz w:val="24"/>
        </w:rPr>
      </w:pPr>
      <w:r w:rsidRPr="00F12C25">
        <w:rPr>
          <w:i/>
          <w:sz w:val="24"/>
        </w:rPr>
        <w:tab/>
      </w:r>
      <w:r w:rsidR="00BB74B8" w:rsidRPr="00F12C25">
        <w:rPr>
          <w:i/>
          <w:sz w:val="24"/>
        </w:rPr>
        <w:t xml:space="preserve">Reid </w:t>
      </w:r>
      <w:r w:rsidR="00BB74B8" w:rsidRPr="00F12C25">
        <w:rPr>
          <w:sz w:val="24"/>
        </w:rPr>
        <w:t>pointed out that the “open</w:t>
      </w:r>
      <w:r w:rsidR="00A569BA" w:rsidRPr="00F12C25">
        <w:rPr>
          <w:sz w:val="24"/>
        </w:rPr>
        <w:t>ing the</w:t>
      </w:r>
      <w:r w:rsidR="00BB74B8" w:rsidRPr="00F12C25">
        <w:rPr>
          <w:sz w:val="24"/>
        </w:rPr>
        <w:t xml:space="preserve"> door</w:t>
      </w:r>
      <w:r w:rsidR="000028D5" w:rsidRPr="00F12C25">
        <w:rPr>
          <w:sz w:val="24"/>
        </w:rPr>
        <w:t xml:space="preserve"> to evidence</w:t>
      </w:r>
      <w:r w:rsidR="00BB74B8" w:rsidRPr="00F12C25">
        <w:rPr>
          <w:sz w:val="24"/>
        </w:rPr>
        <w:t>” principle exists to “avoid . . . unfairness and to preserve the truth-seeking goals of our courts.”</w:t>
      </w:r>
      <w:r w:rsidR="00EA7FF9" w:rsidRPr="00F12C25">
        <w:rPr>
          <w:sz w:val="24"/>
        </w:rPr>
        <w:t xml:space="preserve"> (</w:t>
      </w:r>
      <w:r w:rsidR="00EA7FF9" w:rsidRPr="00F12C25">
        <w:rPr>
          <w:i/>
          <w:iCs/>
          <w:sz w:val="24"/>
        </w:rPr>
        <w:t>Reid</w:t>
      </w:r>
      <w:r w:rsidR="00EA7FF9" w:rsidRPr="00F12C25">
        <w:rPr>
          <w:sz w:val="24"/>
        </w:rPr>
        <w:t xml:space="preserve"> at 388.)</w:t>
      </w:r>
      <w:r w:rsidR="00BD4BB5" w:rsidRPr="00F12C25">
        <w:rPr>
          <w:sz w:val="24"/>
        </w:rPr>
        <w:t xml:space="preserve"> </w:t>
      </w:r>
      <w:r w:rsidR="008F77D2" w:rsidRPr="00F12C25">
        <w:rPr>
          <w:sz w:val="24"/>
        </w:rPr>
        <w:t xml:space="preserve">Notwithstanding that goal, </w:t>
      </w:r>
      <w:r w:rsidR="00F12DA7" w:rsidRPr="00F12C25">
        <w:rPr>
          <w:i/>
          <w:iCs/>
          <w:sz w:val="24"/>
        </w:rPr>
        <w:t xml:space="preserve">Hemphill </w:t>
      </w:r>
      <w:r w:rsidR="00446BB5" w:rsidRPr="00F12C25">
        <w:rPr>
          <w:sz w:val="24"/>
        </w:rPr>
        <w:t>held</w:t>
      </w:r>
      <w:r w:rsidR="008F77D2" w:rsidRPr="00F12C25">
        <w:rPr>
          <w:sz w:val="24"/>
        </w:rPr>
        <w:t xml:space="preserve"> that the </w:t>
      </w:r>
      <w:r w:rsidR="004E5F9B" w:rsidRPr="00F12C25">
        <w:rPr>
          <w:sz w:val="24"/>
        </w:rPr>
        <w:t>“open</w:t>
      </w:r>
      <w:r w:rsidR="00A569BA" w:rsidRPr="00F12C25">
        <w:rPr>
          <w:sz w:val="24"/>
        </w:rPr>
        <w:t>ing the</w:t>
      </w:r>
      <w:r w:rsidR="004E5F9B" w:rsidRPr="00F12C25">
        <w:rPr>
          <w:sz w:val="24"/>
        </w:rPr>
        <w:t xml:space="preserve"> door</w:t>
      </w:r>
      <w:r w:rsidR="0073722F" w:rsidRPr="00F12C25">
        <w:rPr>
          <w:sz w:val="24"/>
        </w:rPr>
        <w:t xml:space="preserve"> to evidence</w:t>
      </w:r>
      <w:r w:rsidR="004E5F9B" w:rsidRPr="00F12C25">
        <w:rPr>
          <w:sz w:val="24"/>
        </w:rPr>
        <w:t xml:space="preserve">” </w:t>
      </w:r>
      <w:r w:rsidR="00A569BA" w:rsidRPr="00F12C25">
        <w:rPr>
          <w:sz w:val="24"/>
        </w:rPr>
        <w:t>principle</w:t>
      </w:r>
      <w:r w:rsidR="004E5F9B" w:rsidRPr="00F12C25">
        <w:rPr>
          <w:sz w:val="24"/>
        </w:rPr>
        <w:t xml:space="preserve"> must not permit the introduction of evidence </w:t>
      </w:r>
      <w:r w:rsidR="00B02E5E" w:rsidRPr="00F12C25">
        <w:rPr>
          <w:sz w:val="24"/>
        </w:rPr>
        <w:t xml:space="preserve">in violation of the </w:t>
      </w:r>
      <w:r w:rsidR="00B02E5E" w:rsidRPr="00F12C25">
        <w:rPr>
          <w:sz w:val="24"/>
        </w:rPr>
        <w:lastRenderedPageBreak/>
        <w:t xml:space="preserve">Sixth Amendment’s </w:t>
      </w:r>
      <w:r w:rsidR="00D805CB" w:rsidRPr="00F12C25">
        <w:rPr>
          <w:sz w:val="24"/>
        </w:rPr>
        <w:t>Confrontation Clause</w:t>
      </w:r>
      <w:r w:rsidR="00E16FF9" w:rsidRPr="00F12C25">
        <w:rPr>
          <w:sz w:val="24"/>
        </w:rPr>
        <w:t>.</w:t>
      </w:r>
      <w:r w:rsidR="00394279" w:rsidRPr="00F12C25">
        <w:rPr>
          <w:sz w:val="24"/>
        </w:rPr>
        <w:t xml:space="preserve"> </w:t>
      </w:r>
      <w:r w:rsidR="00734E67" w:rsidRPr="00F12C25">
        <w:rPr>
          <w:sz w:val="24"/>
        </w:rPr>
        <w:t>I</w:t>
      </w:r>
      <w:r w:rsidR="00E16FF9" w:rsidRPr="00F12C25">
        <w:rPr>
          <w:sz w:val="24"/>
        </w:rPr>
        <w:t xml:space="preserve">n </w:t>
      </w:r>
      <w:r w:rsidR="00E16FF9" w:rsidRPr="00F12C25">
        <w:rPr>
          <w:i/>
          <w:iCs/>
          <w:sz w:val="24"/>
        </w:rPr>
        <w:t>Hemphill</w:t>
      </w:r>
      <w:r w:rsidR="00E16FF9" w:rsidRPr="00F12C25">
        <w:rPr>
          <w:sz w:val="24"/>
        </w:rPr>
        <w:t>,</w:t>
      </w:r>
      <w:r w:rsidR="00734E67" w:rsidRPr="00F12C25">
        <w:rPr>
          <w:i/>
          <w:iCs/>
          <w:sz w:val="24"/>
        </w:rPr>
        <w:t xml:space="preserve"> </w:t>
      </w:r>
      <w:r w:rsidR="002A6B07" w:rsidRPr="00F12C25">
        <w:rPr>
          <w:sz w:val="24"/>
        </w:rPr>
        <w:t xml:space="preserve">the defense to a murder </w:t>
      </w:r>
      <w:r w:rsidR="00734E67" w:rsidRPr="00F12C25">
        <w:rPr>
          <w:sz w:val="24"/>
        </w:rPr>
        <w:t xml:space="preserve">indictment </w:t>
      </w:r>
      <w:r w:rsidR="00740152" w:rsidRPr="00F12C25">
        <w:rPr>
          <w:sz w:val="24"/>
        </w:rPr>
        <w:t xml:space="preserve">rested </w:t>
      </w:r>
      <w:r w:rsidR="00304497" w:rsidRPr="00F12C25">
        <w:rPr>
          <w:sz w:val="24"/>
        </w:rPr>
        <w:t>upon</w:t>
      </w:r>
      <w:r w:rsidR="00740152" w:rsidRPr="00F12C25">
        <w:rPr>
          <w:sz w:val="24"/>
        </w:rPr>
        <w:t xml:space="preserve"> </w:t>
      </w:r>
      <w:r w:rsidR="005B4DF1" w:rsidRPr="00F12C25">
        <w:rPr>
          <w:sz w:val="24"/>
        </w:rPr>
        <w:t xml:space="preserve">a claimed </w:t>
      </w:r>
      <w:r w:rsidR="00740152" w:rsidRPr="00F12C25">
        <w:rPr>
          <w:sz w:val="24"/>
        </w:rPr>
        <w:t>third</w:t>
      </w:r>
      <w:r w:rsidR="00C87B29" w:rsidRPr="00F12C25">
        <w:rPr>
          <w:sz w:val="24"/>
        </w:rPr>
        <w:t xml:space="preserve"> </w:t>
      </w:r>
      <w:r w:rsidR="00740152" w:rsidRPr="00F12C25">
        <w:rPr>
          <w:sz w:val="24"/>
        </w:rPr>
        <w:t>party</w:t>
      </w:r>
      <w:r w:rsidR="001E7B4D" w:rsidRPr="00F12C25">
        <w:rPr>
          <w:sz w:val="24"/>
        </w:rPr>
        <w:t>’s</w:t>
      </w:r>
      <w:r w:rsidR="00740152" w:rsidRPr="00F12C25">
        <w:rPr>
          <w:sz w:val="24"/>
        </w:rPr>
        <w:t xml:space="preserve"> culpability</w:t>
      </w:r>
      <w:r w:rsidR="003F0D6C" w:rsidRPr="00F12C25">
        <w:rPr>
          <w:sz w:val="24"/>
        </w:rPr>
        <w:t xml:space="preserve">; </w:t>
      </w:r>
      <w:r w:rsidR="00FA36C4" w:rsidRPr="00F12C25">
        <w:rPr>
          <w:sz w:val="24"/>
        </w:rPr>
        <w:t>in accord with New York’s then</w:t>
      </w:r>
      <w:r w:rsidR="000C3546" w:rsidRPr="00F12C25">
        <w:rPr>
          <w:sz w:val="24"/>
        </w:rPr>
        <w:t xml:space="preserve"> “open</w:t>
      </w:r>
      <w:r w:rsidR="00A569BA" w:rsidRPr="00F12C25">
        <w:rPr>
          <w:sz w:val="24"/>
        </w:rPr>
        <w:t>ing the</w:t>
      </w:r>
      <w:r w:rsidR="000C3546" w:rsidRPr="00F12C25">
        <w:rPr>
          <w:sz w:val="24"/>
        </w:rPr>
        <w:t xml:space="preserve"> door</w:t>
      </w:r>
      <w:r w:rsidR="00402820" w:rsidRPr="00F12C25">
        <w:rPr>
          <w:sz w:val="24"/>
        </w:rPr>
        <w:t xml:space="preserve"> to evidence</w:t>
      </w:r>
      <w:r w:rsidR="000C3546" w:rsidRPr="00F12C25">
        <w:rPr>
          <w:sz w:val="24"/>
        </w:rPr>
        <w:t>”</w:t>
      </w:r>
      <w:r w:rsidR="008155E8" w:rsidRPr="00F12C25">
        <w:rPr>
          <w:sz w:val="24"/>
        </w:rPr>
        <w:t xml:space="preserve"> </w:t>
      </w:r>
      <w:r w:rsidR="00A569BA" w:rsidRPr="00F12C25">
        <w:rPr>
          <w:sz w:val="24"/>
        </w:rPr>
        <w:t>principle</w:t>
      </w:r>
      <w:r w:rsidR="00555953" w:rsidRPr="00F12C25">
        <w:rPr>
          <w:sz w:val="24"/>
        </w:rPr>
        <w:t>, the trial court</w:t>
      </w:r>
      <w:r w:rsidR="00A32FC2" w:rsidRPr="00F12C25">
        <w:rPr>
          <w:sz w:val="24"/>
        </w:rPr>
        <w:t xml:space="preserve"> allow</w:t>
      </w:r>
      <w:r w:rsidR="00C87B29" w:rsidRPr="00F12C25">
        <w:rPr>
          <w:sz w:val="24"/>
        </w:rPr>
        <w:t>ed</w:t>
      </w:r>
      <w:r w:rsidR="008155E8" w:rsidRPr="00F12C25">
        <w:rPr>
          <w:sz w:val="24"/>
        </w:rPr>
        <w:t xml:space="preserve"> </w:t>
      </w:r>
      <w:r w:rsidR="002A6B07" w:rsidRPr="00F12C25">
        <w:rPr>
          <w:sz w:val="24"/>
        </w:rPr>
        <w:t xml:space="preserve">the introduction of </w:t>
      </w:r>
      <w:r w:rsidR="00740152" w:rsidRPr="00F12C25">
        <w:rPr>
          <w:sz w:val="24"/>
        </w:rPr>
        <w:t>the third</w:t>
      </w:r>
      <w:r w:rsidR="00C87B29" w:rsidRPr="00F12C25">
        <w:rPr>
          <w:sz w:val="24"/>
        </w:rPr>
        <w:t xml:space="preserve"> </w:t>
      </w:r>
      <w:r w:rsidR="00740152" w:rsidRPr="00F12C25">
        <w:rPr>
          <w:sz w:val="24"/>
        </w:rPr>
        <w:t xml:space="preserve">party’s </w:t>
      </w:r>
      <w:r w:rsidR="000C3546" w:rsidRPr="00F12C25">
        <w:rPr>
          <w:sz w:val="24"/>
        </w:rPr>
        <w:t>guilty plea</w:t>
      </w:r>
      <w:r w:rsidR="007A6551" w:rsidRPr="00F12C25">
        <w:rPr>
          <w:sz w:val="24"/>
        </w:rPr>
        <w:t xml:space="preserve"> </w:t>
      </w:r>
      <w:r w:rsidR="006D2BEF" w:rsidRPr="00F12C25">
        <w:rPr>
          <w:sz w:val="24"/>
        </w:rPr>
        <w:t>when the third party was unavailable to testify.</w:t>
      </w:r>
      <w:r w:rsidR="00394279" w:rsidRPr="00F12C25">
        <w:rPr>
          <w:sz w:val="24"/>
        </w:rPr>
        <w:t xml:space="preserve"> </w:t>
      </w:r>
      <w:r w:rsidR="00FB3E4B" w:rsidRPr="00F12C25">
        <w:rPr>
          <w:sz w:val="24"/>
        </w:rPr>
        <w:t>The</w:t>
      </w:r>
      <w:r w:rsidR="006D2BEF" w:rsidRPr="00F12C25">
        <w:rPr>
          <w:sz w:val="24"/>
        </w:rPr>
        <w:t xml:space="preserve"> parties</w:t>
      </w:r>
      <w:r w:rsidR="00A32FC2" w:rsidRPr="00F12C25">
        <w:rPr>
          <w:sz w:val="24"/>
        </w:rPr>
        <w:t xml:space="preserve"> </w:t>
      </w:r>
      <w:r w:rsidR="005E6B9A" w:rsidRPr="00F12C25">
        <w:rPr>
          <w:sz w:val="24"/>
        </w:rPr>
        <w:t xml:space="preserve">did not dispute that </w:t>
      </w:r>
      <w:r w:rsidR="006D2BEF" w:rsidRPr="00F12C25">
        <w:rPr>
          <w:sz w:val="24"/>
        </w:rPr>
        <w:t xml:space="preserve">the third party’s guilty plea was </w:t>
      </w:r>
      <w:r w:rsidR="00F202A7" w:rsidRPr="00F12C25">
        <w:rPr>
          <w:sz w:val="24"/>
        </w:rPr>
        <w:t>“testimonial</w:t>
      </w:r>
      <w:r w:rsidR="000A0E6C" w:rsidRPr="00F12C25">
        <w:rPr>
          <w:sz w:val="24"/>
        </w:rPr>
        <w:t>” hearsay</w:t>
      </w:r>
      <w:r w:rsidR="00FD6940" w:rsidRPr="00F12C25">
        <w:rPr>
          <w:sz w:val="24"/>
        </w:rPr>
        <w:t xml:space="preserve">, </w:t>
      </w:r>
      <w:r w:rsidR="00CA5E83" w:rsidRPr="00F12C25">
        <w:rPr>
          <w:sz w:val="24"/>
        </w:rPr>
        <w:t xml:space="preserve">and the </w:t>
      </w:r>
      <w:r w:rsidR="00261C26" w:rsidRPr="00F12C25">
        <w:rPr>
          <w:sz w:val="24"/>
        </w:rPr>
        <w:t xml:space="preserve">Supreme </w:t>
      </w:r>
      <w:r w:rsidR="00CA5E83" w:rsidRPr="00F12C25">
        <w:rPr>
          <w:sz w:val="24"/>
        </w:rPr>
        <w:t xml:space="preserve">Court then </w:t>
      </w:r>
      <w:r w:rsidR="00FD6940" w:rsidRPr="00F12C25">
        <w:rPr>
          <w:sz w:val="24"/>
        </w:rPr>
        <w:t xml:space="preserve">held </w:t>
      </w:r>
      <w:r w:rsidR="001C456C" w:rsidRPr="00F12C25">
        <w:rPr>
          <w:sz w:val="24"/>
        </w:rPr>
        <w:t>its admission to be in violation of the Confrontation Clause</w:t>
      </w:r>
      <w:r w:rsidR="00814BB4" w:rsidRPr="00F12C25">
        <w:rPr>
          <w:sz w:val="24"/>
        </w:rPr>
        <w:t>.</w:t>
      </w:r>
      <w:r w:rsidR="005E543E" w:rsidRPr="00F12C25">
        <w:rPr>
          <w:sz w:val="24"/>
        </w:rPr>
        <w:t xml:space="preserve"> </w:t>
      </w:r>
      <w:r w:rsidR="00100F03" w:rsidRPr="00F12C25">
        <w:rPr>
          <w:bCs/>
          <w:sz w:val="24"/>
        </w:rPr>
        <w:t xml:space="preserve">Thus, </w:t>
      </w:r>
      <w:r w:rsidR="00206664" w:rsidRPr="00F12C25">
        <w:rPr>
          <w:sz w:val="24"/>
        </w:rPr>
        <w:t xml:space="preserve">even if </w:t>
      </w:r>
      <w:r w:rsidR="00081EB8" w:rsidRPr="00F12C25">
        <w:rPr>
          <w:sz w:val="24"/>
        </w:rPr>
        <w:t xml:space="preserve">it may be argued that </w:t>
      </w:r>
      <w:r w:rsidR="00206664" w:rsidRPr="00F12C25">
        <w:rPr>
          <w:sz w:val="24"/>
        </w:rPr>
        <w:t>“</w:t>
      </w:r>
      <w:r w:rsidR="007721E8" w:rsidRPr="00F12C25">
        <w:rPr>
          <w:sz w:val="24"/>
          <w:lang w:val="x-none"/>
        </w:rPr>
        <w:t>unconfronted</w:t>
      </w:r>
      <w:r w:rsidR="0017397A" w:rsidRPr="00F12C25">
        <w:rPr>
          <w:sz w:val="24"/>
        </w:rPr>
        <w:t xml:space="preserve"> </w:t>
      </w:r>
      <w:r w:rsidR="007721E8" w:rsidRPr="00F12C25">
        <w:rPr>
          <w:sz w:val="24"/>
          <w:lang w:val="x-none"/>
        </w:rPr>
        <w:t>testimonial hearsay</w:t>
      </w:r>
      <w:r w:rsidR="00206664" w:rsidRPr="00F12C25">
        <w:rPr>
          <w:sz w:val="24"/>
        </w:rPr>
        <w:t xml:space="preserve">” would respond </w:t>
      </w:r>
      <w:r w:rsidR="00FB148A" w:rsidRPr="00F12C25">
        <w:rPr>
          <w:sz w:val="24"/>
        </w:rPr>
        <w:t xml:space="preserve">to a party’s </w:t>
      </w:r>
      <w:r w:rsidR="00FB148A" w:rsidRPr="00F12C25">
        <w:rPr>
          <w:bCs/>
          <w:sz w:val="24"/>
        </w:rPr>
        <w:t>misleading impression on an issue</w:t>
      </w:r>
      <w:r w:rsidR="00381462" w:rsidRPr="00F12C25">
        <w:rPr>
          <w:bCs/>
          <w:sz w:val="24"/>
        </w:rPr>
        <w:t>, it is not admissible</w:t>
      </w:r>
      <w:r w:rsidR="00457ADA" w:rsidRPr="00F12C25">
        <w:rPr>
          <w:bCs/>
          <w:sz w:val="24"/>
        </w:rPr>
        <w:t xml:space="preserve">: </w:t>
      </w:r>
      <w:r w:rsidR="00FD1ED1" w:rsidRPr="00F12C25">
        <w:rPr>
          <w:bCs/>
          <w:sz w:val="24"/>
        </w:rPr>
        <w:t xml:space="preserve">“[The Confrontation Clause] </w:t>
      </w:r>
      <w:r w:rsidR="00FD1ED1" w:rsidRPr="00F12C25">
        <w:rPr>
          <w:bCs/>
          <w:sz w:val="24"/>
          <w:lang w:val="x-none"/>
        </w:rPr>
        <w:t>admits no exception for cases in which the trial judge believes unconfronted testimonial hearsay might be reasonably necessary to correct a misleading impression.</w:t>
      </w:r>
      <w:r w:rsidR="00EE2632" w:rsidRPr="00F12C25">
        <w:rPr>
          <w:bCs/>
          <w:sz w:val="24"/>
        </w:rPr>
        <w:t xml:space="preserve"> </w:t>
      </w:r>
      <w:r w:rsidR="00FD1ED1" w:rsidRPr="00F12C25">
        <w:rPr>
          <w:bCs/>
          <w:sz w:val="24"/>
          <w:lang w:val="x-none"/>
        </w:rPr>
        <w:t>Courts may not overlook its command, no matter how noble the motive</w:t>
      </w:r>
      <w:r w:rsidR="000D513F" w:rsidRPr="00F12C25">
        <w:rPr>
          <w:bCs/>
          <w:sz w:val="24"/>
        </w:rPr>
        <w:t>.</w:t>
      </w:r>
      <w:r w:rsidR="00FD1ED1" w:rsidRPr="00F12C25">
        <w:rPr>
          <w:bCs/>
          <w:sz w:val="24"/>
        </w:rPr>
        <w:t>”</w:t>
      </w:r>
      <w:r w:rsidR="00C87B29" w:rsidRPr="00F12C25">
        <w:rPr>
          <w:bCs/>
          <w:sz w:val="24"/>
        </w:rPr>
        <w:t xml:space="preserve"> </w:t>
      </w:r>
      <w:bookmarkStart w:id="7" w:name="_Hlk93931709"/>
      <w:r w:rsidR="00C87B29" w:rsidRPr="00F12C25">
        <w:rPr>
          <w:bCs/>
          <w:sz w:val="24"/>
        </w:rPr>
        <w:t>(</w:t>
      </w:r>
      <w:bookmarkEnd w:id="7"/>
      <w:r w:rsidR="00B77332" w:rsidRPr="00F12C25">
        <w:rPr>
          <w:bCs/>
          <w:sz w:val="24"/>
        </w:rPr>
        <w:t xml:space="preserve">595 US —, </w:t>
      </w:r>
      <w:r w:rsidR="000D513F" w:rsidRPr="00F12C25">
        <w:rPr>
          <w:bCs/>
          <w:sz w:val="24"/>
        </w:rPr>
        <w:t xml:space="preserve">—, </w:t>
      </w:r>
      <w:r w:rsidR="00B77332" w:rsidRPr="00F12C25">
        <w:rPr>
          <w:bCs/>
          <w:sz w:val="24"/>
        </w:rPr>
        <w:t>142 S Ct 681, 69</w:t>
      </w:r>
      <w:r w:rsidR="00122F05" w:rsidRPr="00F12C25">
        <w:rPr>
          <w:bCs/>
          <w:sz w:val="24"/>
        </w:rPr>
        <w:t>3</w:t>
      </w:r>
      <w:r w:rsidR="00B77332" w:rsidRPr="00F12C25">
        <w:rPr>
          <w:bCs/>
          <w:sz w:val="24"/>
        </w:rPr>
        <w:t xml:space="preserve"> [2022].</w:t>
      </w:r>
      <w:r w:rsidR="000D513F" w:rsidRPr="00F12C25">
        <w:rPr>
          <w:bCs/>
          <w:sz w:val="24"/>
        </w:rPr>
        <w:t>)</w:t>
      </w:r>
    </w:p>
    <w:p w14:paraId="01255E44" w14:textId="119DFAAC" w:rsidR="003217A3" w:rsidRPr="00F12C25" w:rsidRDefault="003217A3" w:rsidP="002B3527">
      <w:pPr>
        <w:tabs>
          <w:tab w:val="left" w:pos="720"/>
        </w:tabs>
        <w:kinsoku w:val="0"/>
        <w:overflowPunct w:val="0"/>
        <w:autoSpaceDE/>
        <w:autoSpaceDN/>
        <w:adjustRightInd/>
        <w:jc w:val="both"/>
        <w:textAlignment w:val="baseline"/>
        <w:rPr>
          <w:bCs/>
          <w:sz w:val="24"/>
        </w:rPr>
      </w:pPr>
    </w:p>
    <w:p w14:paraId="5FC69A7A" w14:textId="69939E1F" w:rsidR="003217A3" w:rsidRPr="00F12C25" w:rsidRDefault="007000CA" w:rsidP="007000CA">
      <w:pPr>
        <w:widowControl/>
        <w:tabs>
          <w:tab w:val="left" w:pos="720"/>
        </w:tabs>
        <w:overflowPunct w:val="0"/>
        <w:autoSpaceDE/>
        <w:adjustRightInd/>
        <w:jc w:val="both"/>
        <w:textAlignment w:val="baseline"/>
        <w:rPr>
          <w:rFonts w:ascii="Calibri" w:eastAsia="Calibri" w:hAnsi="Calibri" w:cs="Calibri"/>
          <w:sz w:val="24"/>
        </w:rPr>
      </w:pPr>
      <w:r w:rsidRPr="00F12C25">
        <w:rPr>
          <w:rFonts w:eastAsia="Calibri"/>
          <w:sz w:val="24"/>
        </w:rPr>
        <w:tab/>
      </w:r>
      <w:r w:rsidR="003217A3" w:rsidRPr="00F12C25">
        <w:rPr>
          <w:rFonts w:eastAsia="Calibri"/>
          <w:sz w:val="24"/>
        </w:rPr>
        <w:t>The Supreme Court, however, made a point of stating that “the Court does not decide today the validity of the common-law rule of completeness as applied to testimonial hearsay. Under that rule, a party against whom a part of an utterance has been put in, may in his turn complement it by putting in the remainder. The parties agree that the rule of completeness does not apply to the facts of this case, as Morris’ plea allocution was not part of any statement that Hemphill introduced. Whether and under what circumstances that rule might allow the admission of testimonial hearsay against a criminal defendant presents different issues that are not before this Court</w:t>
      </w:r>
      <w:r w:rsidR="00950307" w:rsidRPr="00F12C25">
        <w:rPr>
          <w:rFonts w:eastAsia="Calibri"/>
          <w:sz w:val="24"/>
        </w:rPr>
        <w:t>.</w:t>
      </w:r>
      <w:r w:rsidR="003217A3" w:rsidRPr="00F12C25">
        <w:rPr>
          <w:rFonts w:eastAsia="Calibri"/>
          <w:sz w:val="24"/>
        </w:rPr>
        <w:t xml:space="preserve">” </w:t>
      </w:r>
      <w:r w:rsidR="00C87B29" w:rsidRPr="00F12C25">
        <w:rPr>
          <w:rFonts w:eastAsia="Calibri"/>
          <w:sz w:val="24"/>
        </w:rPr>
        <w:t>(</w:t>
      </w:r>
      <w:r w:rsidR="00B3767F" w:rsidRPr="00F12C25">
        <w:rPr>
          <w:rFonts w:eastAsia="Calibri"/>
          <w:sz w:val="24"/>
        </w:rPr>
        <w:t xml:space="preserve">595 US —, </w:t>
      </w:r>
      <w:r w:rsidR="00950307" w:rsidRPr="00F12C25">
        <w:rPr>
          <w:rFonts w:eastAsia="Calibri"/>
          <w:sz w:val="24"/>
        </w:rPr>
        <w:t xml:space="preserve">—, </w:t>
      </w:r>
      <w:r w:rsidR="00B3767F" w:rsidRPr="00F12C25">
        <w:rPr>
          <w:rFonts w:eastAsia="Calibri"/>
          <w:sz w:val="24"/>
        </w:rPr>
        <w:t>142 S Ct 681, 69</w:t>
      </w:r>
      <w:r w:rsidR="00A54BE7" w:rsidRPr="00F12C25">
        <w:rPr>
          <w:rFonts w:eastAsia="Calibri"/>
          <w:sz w:val="24"/>
        </w:rPr>
        <w:t>3</w:t>
      </w:r>
      <w:r w:rsidR="00B3767F" w:rsidRPr="00F12C25">
        <w:rPr>
          <w:rFonts w:eastAsia="Calibri"/>
          <w:sz w:val="24"/>
        </w:rPr>
        <w:t xml:space="preserve"> [2022]</w:t>
      </w:r>
      <w:r w:rsidR="00C87B29" w:rsidRPr="00F12C25">
        <w:rPr>
          <w:rFonts w:eastAsia="Calibri"/>
          <w:sz w:val="24"/>
        </w:rPr>
        <w:t xml:space="preserve"> [</w:t>
      </w:r>
      <w:r w:rsidR="003217A3" w:rsidRPr="00F12C25">
        <w:rPr>
          <w:rFonts w:eastAsia="Calibri"/>
          <w:sz w:val="24"/>
        </w:rPr>
        <w:t>internal quotation marks and citations omitted</w:t>
      </w:r>
      <w:r w:rsidR="00C87B29" w:rsidRPr="00F12C25">
        <w:rPr>
          <w:rFonts w:eastAsia="Calibri"/>
          <w:sz w:val="24"/>
        </w:rPr>
        <w:t xml:space="preserve">]; </w:t>
      </w:r>
      <w:r w:rsidR="00C87B29" w:rsidRPr="00F12C25">
        <w:rPr>
          <w:rFonts w:eastAsia="Calibri"/>
          <w:i/>
          <w:iCs/>
          <w:sz w:val="24"/>
        </w:rPr>
        <w:t>s</w:t>
      </w:r>
      <w:r w:rsidR="003217A3" w:rsidRPr="00F12C25">
        <w:rPr>
          <w:rFonts w:eastAsia="Calibri"/>
          <w:i/>
          <w:iCs/>
          <w:sz w:val="24"/>
        </w:rPr>
        <w:t xml:space="preserve">ee </w:t>
      </w:r>
      <w:r w:rsidR="003217A3" w:rsidRPr="00F12C25">
        <w:rPr>
          <w:rFonts w:eastAsia="Calibri"/>
          <w:sz w:val="24"/>
        </w:rPr>
        <w:t xml:space="preserve">Guide to NY Evid </w:t>
      </w:r>
      <w:r w:rsidR="00C87B29" w:rsidRPr="00F12C25">
        <w:rPr>
          <w:rFonts w:eastAsia="Calibri"/>
          <w:sz w:val="24"/>
        </w:rPr>
        <w:t>r</w:t>
      </w:r>
      <w:r w:rsidR="003217A3" w:rsidRPr="00F12C25">
        <w:rPr>
          <w:rFonts w:eastAsia="Calibri"/>
          <w:sz w:val="24"/>
        </w:rPr>
        <w:t>ule 4.03</w:t>
      </w:r>
      <w:r w:rsidR="00950307" w:rsidRPr="00F12C25">
        <w:rPr>
          <w:rFonts w:eastAsia="Calibri"/>
          <w:sz w:val="24"/>
        </w:rPr>
        <w:t>.</w:t>
      </w:r>
      <w:r w:rsidR="00CC7850" w:rsidRPr="00F12C25">
        <w:rPr>
          <w:rFonts w:eastAsia="Calibri"/>
          <w:sz w:val="24"/>
        </w:rPr>
        <w:t>)</w:t>
      </w:r>
    </w:p>
    <w:p w14:paraId="63E8E756" w14:textId="77777777" w:rsidR="00F12DA7" w:rsidRPr="00F12C25" w:rsidRDefault="00F12DA7" w:rsidP="002B3527">
      <w:pPr>
        <w:tabs>
          <w:tab w:val="left" w:pos="720"/>
        </w:tabs>
        <w:kinsoku w:val="0"/>
        <w:overflowPunct w:val="0"/>
        <w:autoSpaceDE/>
        <w:autoSpaceDN/>
        <w:adjustRightInd/>
        <w:jc w:val="both"/>
        <w:textAlignment w:val="baseline"/>
        <w:rPr>
          <w:sz w:val="24"/>
        </w:rPr>
      </w:pPr>
    </w:p>
    <w:p w14:paraId="204CE76A" w14:textId="0B2E31C7" w:rsidR="001C0396" w:rsidRPr="00F12C25" w:rsidRDefault="00EC23D3" w:rsidP="002B3527">
      <w:pPr>
        <w:tabs>
          <w:tab w:val="left" w:pos="720"/>
        </w:tabs>
        <w:kinsoku w:val="0"/>
        <w:overflowPunct w:val="0"/>
        <w:autoSpaceDE/>
        <w:autoSpaceDN/>
        <w:adjustRightInd/>
        <w:jc w:val="both"/>
        <w:textAlignment w:val="baseline"/>
        <w:rPr>
          <w:sz w:val="24"/>
        </w:rPr>
      </w:pPr>
      <w:r w:rsidRPr="00F12C25">
        <w:rPr>
          <w:sz w:val="24"/>
        </w:rPr>
        <w:tab/>
      </w:r>
      <w:r w:rsidR="00BB74B8" w:rsidRPr="00F12C25">
        <w:rPr>
          <w:sz w:val="24"/>
        </w:rPr>
        <w:t>Other examples of situations where a party “open[s] the door” to otherwise inadmissible evidence include:</w:t>
      </w:r>
      <w:r w:rsidR="0031645D" w:rsidRPr="00F12C25">
        <w:rPr>
          <w:sz w:val="24"/>
        </w:rPr>
        <w:t xml:space="preserve"> </w:t>
      </w:r>
    </w:p>
    <w:p w14:paraId="06386787" w14:textId="77777777" w:rsidR="00EC23D3" w:rsidRPr="00F12C25" w:rsidRDefault="00EC23D3" w:rsidP="002B3527">
      <w:pPr>
        <w:tabs>
          <w:tab w:val="left" w:pos="720"/>
        </w:tabs>
        <w:kinsoku w:val="0"/>
        <w:overflowPunct w:val="0"/>
        <w:autoSpaceDE/>
        <w:autoSpaceDN/>
        <w:adjustRightInd/>
        <w:jc w:val="both"/>
        <w:textAlignment w:val="baseline"/>
        <w:rPr>
          <w:sz w:val="24"/>
        </w:rPr>
      </w:pPr>
    </w:p>
    <w:p w14:paraId="1000C4EB" w14:textId="484C09D0" w:rsidR="00BB74B8" w:rsidRPr="00F12C25" w:rsidRDefault="00BB74B8" w:rsidP="002B3527">
      <w:pPr>
        <w:pStyle w:val="ListParagraph"/>
        <w:numPr>
          <w:ilvl w:val="0"/>
          <w:numId w:val="2"/>
        </w:numPr>
        <w:kinsoku w:val="0"/>
        <w:overflowPunct w:val="0"/>
        <w:autoSpaceDE/>
        <w:autoSpaceDN/>
        <w:adjustRightInd/>
        <w:ind w:left="1080"/>
        <w:jc w:val="both"/>
        <w:textAlignment w:val="baseline"/>
        <w:rPr>
          <w:sz w:val="24"/>
        </w:rPr>
      </w:pPr>
      <w:r w:rsidRPr="00F12C25">
        <w:rPr>
          <w:sz w:val="24"/>
        </w:rPr>
        <w:t>“apparent inconsistencies or contradictions in a witness</w:t>
      </w:r>
      <w:r w:rsidR="00C87E12" w:rsidRPr="00F12C25">
        <w:rPr>
          <w:sz w:val="24"/>
        </w:rPr>
        <w:t>’</w:t>
      </w:r>
      <w:r w:rsidRPr="00F12C25">
        <w:rPr>
          <w:sz w:val="24"/>
        </w:rPr>
        <w:t xml:space="preserve"> statements</w:t>
      </w:r>
      <w:r w:rsidR="0031645D" w:rsidRPr="00F12C25">
        <w:rPr>
          <w:sz w:val="24"/>
        </w:rPr>
        <w:t xml:space="preserve"> </w:t>
      </w:r>
      <w:r w:rsidRPr="00F12C25">
        <w:rPr>
          <w:sz w:val="24"/>
        </w:rPr>
        <w:t>or acts brought out on cross-examination to discredit his testimony</w:t>
      </w:r>
      <w:r w:rsidR="0031645D" w:rsidRPr="00F12C25">
        <w:rPr>
          <w:sz w:val="24"/>
        </w:rPr>
        <w:t xml:space="preserve"> </w:t>
      </w:r>
      <w:r w:rsidRPr="00F12C25">
        <w:rPr>
          <w:sz w:val="24"/>
        </w:rPr>
        <w:t>[which] may be reconciled on redirect by relating to the jury the relevant surrounding circumstances.” (</w:t>
      </w:r>
      <w:r w:rsidRPr="00F12C25">
        <w:rPr>
          <w:i/>
          <w:sz w:val="24"/>
        </w:rPr>
        <w:t xml:space="preserve">Melendez </w:t>
      </w:r>
      <w:r w:rsidRPr="00F12C25">
        <w:rPr>
          <w:sz w:val="24"/>
        </w:rPr>
        <w:t>at 451</w:t>
      </w:r>
      <w:r w:rsidR="004C2BF2" w:rsidRPr="00F12C25">
        <w:rPr>
          <w:sz w:val="24"/>
        </w:rPr>
        <w:t>.</w:t>
      </w:r>
      <w:r w:rsidRPr="00F12C25">
        <w:rPr>
          <w:sz w:val="24"/>
        </w:rPr>
        <w:t>)</w:t>
      </w:r>
    </w:p>
    <w:p w14:paraId="7651B488" w14:textId="77777777" w:rsidR="005226EF" w:rsidRPr="00F12C25" w:rsidRDefault="005226EF" w:rsidP="002B3527">
      <w:pPr>
        <w:kinsoku w:val="0"/>
        <w:overflowPunct w:val="0"/>
        <w:autoSpaceDE/>
        <w:autoSpaceDN/>
        <w:adjustRightInd/>
        <w:jc w:val="both"/>
        <w:textAlignment w:val="baseline"/>
        <w:rPr>
          <w:spacing w:val="-2"/>
          <w:sz w:val="24"/>
        </w:rPr>
      </w:pPr>
    </w:p>
    <w:p w14:paraId="088F2A77" w14:textId="595E3105" w:rsidR="00BB74B8" w:rsidRPr="00F12C25" w:rsidRDefault="00BB74B8" w:rsidP="002B3527">
      <w:pPr>
        <w:numPr>
          <w:ilvl w:val="0"/>
          <w:numId w:val="2"/>
        </w:numPr>
        <w:kinsoku w:val="0"/>
        <w:overflowPunct w:val="0"/>
        <w:autoSpaceDE/>
        <w:autoSpaceDN/>
        <w:adjustRightInd/>
        <w:ind w:left="1080"/>
        <w:jc w:val="both"/>
        <w:textAlignment w:val="baseline"/>
        <w:rPr>
          <w:spacing w:val="-2"/>
          <w:sz w:val="24"/>
        </w:rPr>
      </w:pPr>
      <w:r w:rsidRPr="00F12C25">
        <w:rPr>
          <w:spacing w:val="-2"/>
          <w:sz w:val="24"/>
        </w:rPr>
        <w:t>“where cross-examination raises the inference that the witness</w:t>
      </w:r>
      <w:r w:rsidR="00C87E12" w:rsidRPr="00F12C25">
        <w:rPr>
          <w:spacing w:val="-2"/>
          <w:sz w:val="24"/>
        </w:rPr>
        <w:t>’</w:t>
      </w:r>
      <w:r w:rsidRPr="00F12C25">
        <w:rPr>
          <w:spacing w:val="-2"/>
          <w:sz w:val="24"/>
        </w:rPr>
        <w:t xml:space="preserve"> testimony was the product of a recent fabrication, a party on redirect can refute this allegation either by introducing consistent statements made by the witness at a time when there was no motive to lie or by having the witness explain why the information was not disclosed earlier.” (</w:t>
      </w:r>
      <w:r w:rsidRPr="00F12C25">
        <w:rPr>
          <w:i/>
          <w:spacing w:val="-2"/>
          <w:sz w:val="24"/>
        </w:rPr>
        <w:t>Id.</w:t>
      </w:r>
      <w:r w:rsidRPr="00F12C25">
        <w:rPr>
          <w:spacing w:val="-2"/>
          <w:sz w:val="24"/>
        </w:rPr>
        <w:t>)</w:t>
      </w:r>
    </w:p>
    <w:p w14:paraId="6B7EA867" w14:textId="77777777" w:rsidR="005226EF" w:rsidRPr="00F12C25" w:rsidRDefault="005226EF" w:rsidP="002B3527">
      <w:pPr>
        <w:kinsoku w:val="0"/>
        <w:overflowPunct w:val="0"/>
        <w:autoSpaceDE/>
        <w:autoSpaceDN/>
        <w:adjustRightInd/>
        <w:jc w:val="both"/>
        <w:textAlignment w:val="baseline"/>
        <w:rPr>
          <w:spacing w:val="-2"/>
          <w:sz w:val="24"/>
        </w:rPr>
      </w:pPr>
    </w:p>
    <w:p w14:paraId="775CC875" w14:textId="6CCEC78B" w:rsidR="00BB74B8" w:rsidRPr="00F12C25" w:rsidRDefault="00BB74B8" w:rsidP="002B3527">
      <w:pPr>
        <w:numPr>
          <w:ilvl w:val="0"/>
          <w:numId w:val="2"/>
        </w:numPr>
        <w:kinsoku w:val="0"/>
        <w:overflowPunct w:val="0"/>
        <w:autoSpaceDE/>
        <w:autoSpaceDN/>
        <w:adjustRightInd/>
        <w:ind w:left="1080"/>
        <w:jc w:val="both"/>
        <w:textAlignment w:val="baseline"/>
        <w:rPr>
          <w:sz w:val="24"/>
        </w:rPr>
      </w:pPr>
      <w:r w:rsidRPr="00F12C25">
        <w:rPr>
          <w:sz w:val="24"/>
        </w:rPr>
        <w:t>“where only a part of a statement has been brought out on cross-examination, the other parts may be introduced on redirect examination for the purpose of explaining or clarifying the statement.” (</w:t>
      </w:r>
      <w:r w:rsidRPr="00F12C25">
        <w:rPr>
          <w:i/>
          <w:sz w:val="24"/>
        </w:rPr>
        <w:t xml:space="preserve">Id. </w:t>
      </w:r>
      <w:r w:rsidRPr="00F12C25">
        <w:rPr>
          <w:sz w:val="24"/>
        </w:rPr>
        <w:t>at 451-</w:t>
      </w:r>
      <w:r w:rsidR="00D646C9" w:rsidRPr="00F12C25">
        <w:rPr>
          <w:sz w:val="24"/>
        </w:rPr>
        <w:t>452</w:t>
      </w:r>
      <w:r w:rsidR="00927FAB" w:rsidRPr="00F12C25">
        <w:rPr>
          <w:sz w:val="24"/>
        </w:rPr>
        <w:t>;</w:t>
      </w:r>
      <w:r w:rsidRPr="00F12C25">
        <w:rPr>
          <w:sz w:val="24"/>
        </w:rPr>
        <w:t xml:space="preserve"> </w:t>
      </w:r>
      <w:r w:rsidR="00927FAB" w:rsidRPr="00F12C25">
        <w:rPr>
          <w:i/>
          <w:sz w:val="24"/>
        </w:rPr>
        <w:t>s</w:t>
      </w:r>
      <w:r w:rsidRPr="00F12C25">
        <w:rPr>
          <w:i/>
          <w:sz w:val="24"/>
        </w:rPr>
        <w:t xml:space="preserve">ee </w:t>
      </w:r>
      <w:r w:rsidRPr="00F12C25">
        <w:rPr>
          <w:sz w:val="24"/>
        </w:rPr>
        <w:t>Guide to NY Evid rule 4.03</w:t>
      </w:r>
      <w:r w:rsidR="00EE689B" w:rsidRPr="00F12C25">
        <w:rPr>
          <w:sz w:val="24"/>
        </w:rPr>
        <w:t xml:space="preserve">, </w:t>
      </w:r>
      <w:r w:rsidRPr="00F12C25">
        <w:rPr>
          <w:sz w:val="24"/>
        </w:rPr>
        <w:t>Completing and Explaining Writing, Recording, Conversation or Transaction</w:t>
      </w:r>
      <w:r w:rsidR="00EE689B" w:rsidRPr="00F12C25">
        <w:rPr>
          <w:sz w:val="24"/>
        </w:rPr>
        <w:t>.</w:t>
      </w:r>
      <w:r w:rsidRPr="00F12C25">
        <w:rPr>
          <w:sz w:val="24"/>
        </w:rPr>
        <w:t>)</w:t>
      </w:r>
    </w:p>
    <w:p w14:paraId="53CA1BCD" w14:textId="77777777" w:rsidR="005226EF" w:rsidRPr="00F12C25" w:rsidRDefault="005226EF" w:rsidP="002B3527">
      <w:pPr>
        <w:kinsoku w:val="0"/>
        <w:overflowPunct w:val="0"/>
        <w:autoSpaceDE/>
        <w:autoSpaceDN/>
        <w:adjustRightInd/>
        <w:jc w:val="both"/>
        <w:textAlignment w:val="baseline"/>
        <w:rPr>
          <w:sz w:val="24"/>
        </w:rPr>
      </w:pPr>
    </w:p>
    <w:p w14:paraId="3D83174E" w14:textId="7AEEBB59" w:rsidR="00BB74B8" w:rsidRPr="00F12C25" w:rsidRDefault="00BB74B8" w:rsidP="002B3527">
      <w:pPr>
        <w:numPr>
          <w:ilvl w:val="0"/>
          <w:numId w:val="2"/>
        </w:numPr>
        <w:kinsoku w:val="0"/>
        <w:overflowPunct w:val="0"/>
        <w:autoSpaceDE/>
        <w:autoSpaceDN/>
        <w:adjustRightInd/>
        <w:ind w:left="1080"/>
        <w:jc w:val="both"/>
        <w:textAlignment w:val="baseline"/>
        <w:rPr>
          <w:spacing w:val="-2"/>
          <w:sz w:val="24"/>
        </w:rPr>
      </w:pPr>
      <w:r w:rsidRPr="00F12C25">
        <w:rPr>
          <w:spacing w:val="-2"/>
          <w:sz w:val="24"/>
        </w:rPr>
        <w:t xml:space="preserve">Defense counsel’s question to a police officer witness for the People </w:t>
      </w:r>
      <w:r w:rsidRPr="00F12C25">
        <w:rPr>
          <w:spacing w:val="-2"/>
          <w:sz w:val="24"/>
        </w:rPr>
        <w:lastRenderedPageBreak/>
        <w:t>about whether there ever came a time when defendant “denied his involvement in this” opened the door to redirect examination about the defendant’s exact words, namely, “</w:t>
      </w:r>
      <w:r w:rsidR="00B63F07" w:rsidRPr="00F12C25">
        <w:rPr>
          <w:spacing w:val="-2"/>
          <w:sz w:val="24"/>
        </w:rPr>
        <w:t xml:space="preserve"> </w:t>
      </w:r>
      <w:r w:rsidRPr="00F12C25">
        <w:rPr>
          <w:spacing w:val="-2"/>
          <w:sz w:val="24"/>
        </w:rPr>
        <w:t>‘that he was there, but he didn</w:t>
      </w:r>
      <w:r w:rsidR="00C87E12" w:rsidRPr="00F12C25">
        <w:rPr>
          <w:spacing w:val="-2"/>
          <w:sz w:val="24"/>
        </w:rPr>
        <w:t>’</w:t>
      </w:r>
      <w:r w:rsidRPr="00F12C25">
        <w:rPr>
          <w:spacing w:val="-2"/>
          <w:sz w:val="24"/>
        </w:rPr>
        <w:t>t rob the old lady.’</w:t>
      </w:r>
      <w:r w:rsidR="007A5795" w:rsidRPr="00F12C25">
        <w:rPr>
          <w:spacing w:val="-2"/>
          <w:sz w:val="24"/>
        </w:rPr>
        <w:t xml:space="preserve"> </w:t>
      </w:r>
      <w:r w:rsidRPr="00F12C25">
        <w:rPr>
          <w:spacing w:val="-2"/>
          <w:sz w:val="24"/>
        </w:rPr>
        <w:t>” (</w:t>
      </w:r>
      <w:r w:rsidRPr="00F12C25">
        <w:rPr>
          <w:i/>
          <w:spacing w:val="-2"/>
          <w:sz w:val="24"/>
        </w:rPr>
        <w:t>People v Goodson</w:t>
      </w:r>
      <w:r w:rsidRPr="00F12C25">
        <w:rPr>
          <w:spacing w:val="-2"/>
          <w:sz w:val="24"/>
        </w:rPr>
        <w:t xml:space="preserve">, 57 NY2d 828, </w:t>
      </w:r>
      <w:r w:rsidR="00F70A19" w:rsidRPr="00F12C25">
        <w:rPr>
          <w:spacing w:val="-2"/>
          <w:sz w:val="24"/>
        </w:rPr>
        <w:t>829-</w:t>
      </w:r>
      <w:r w:rsidRPr="00F12C25">
        <w:rPr>
          <w:spacing w:val="-2"/>
          <w:sz w:val="24"/>
        </w:rPr>
        <w:t>830 [1982]</w:t>
      </w:r>
      <w:r w:rsidR="00474B64" w:rsidRPr="00F12C25">
        <w:rPr>
          <w:spacing w:val="-2"/>
          <w:sz w:val="24"/>
        </w:rPr>
        <w:t>.</w:t>
      </w:r>
      <w:r w:rsidRPr="00F12C25">
        <w:rPr>
          <w:spacing w:val="-2"/>
          <w:sz w:val="24"/>
        </w:rPr>
        <w:t>)</w:t>
      </w:r>
    </w:p>
    <w:p w14:paraId="2932D172" w14:textId="77777777" w:rsidR="005226EF" w:rsidRPr="00F12C25" w:rsidRDefault="005226EF" w:rsidP="002B3527">
      <w:pPr>
        <w:kinsoku w:val="0"/>
        <w:overflowPunct w:val="0"/>
        <w:autoSpaceDE/>
        <w:autoSpaceDN/>
        <w:adjustRightInd/>
        <w:jc w:val="both"/>
        <w:textAlignment w:val="baseline"/>
        <w:rPr>
          <w:spacing w:val="-2"/>
          <w:sz w:val="24"/>
        </w:rPr>
      </w:pPr>
    </w:p>
    <w:p w14:paraId="6921ED44" w14:textId="5F260611" w:rsidR="00BB74B8" w:rsidRPr="00F12C25" w:rsidRDefault="00BB74B8" w:rsidP="002B3527">
      <w:pPr>
        <w:numPr>
          <w:ilvl w:val="0"/>
          <w:numId w:val="2"/>
        </w:numPr>
        <w:kinsoku w:val="0"/>
        <w:overflowPunct w:val="0"/>
        <w:autoSpaceDE/>
        <w:autoSpaceDN/>
        <w:adjustRightInd/>
        <w:ind w:left="1080"/>
        <w:jc w:val="both"/>
        <w:textAlignment w:val="baseline"/>
        <w:rPr>
          <w:spacing w:val="-3"/>
          <w:sz w:val="24"/>
        </w:rPr>
      </w:pPr>
      <w:r w:rsidRPr="00F12C25">
        <w:rPr>
          <w:spacing w:val="-3"/>
          <w:sz w:val="24"/>
        </w:rPr>
        <w:t xml:space="preserve">“evidence of a prior conviction </w:t>
      </w:r>
      <w:r w:rsidR="00495EFD" w:rsidRPr="00F12C25">
        <w:rPr>
          <w:spacing w:val="-3"/>
          <w:sz w:val="24"/>
        </w:rPr>
        <w:t>[</w:t>
      </w:r>
      <w:r w:rsidRPr="00F12C25">
        <w:rPr>
          <w:spacing w:val="-3"/>
          <w:sz w:val="24"/>
        </w:rPr>
        <w:t>for robbery</w:t>
      </w:r>
      <w:r w:rsidR="00495EFD" w:rsidRPr="00F12C25">
        <w:rPr>
          <w:spacing w:val="-3"/>
          <w:sz w:val="24"/>
        </w:rPr>
        <w:t>]</w:t>
      </w:r>
      <w:r w:rsidRPr="00F12C25">
        <w:rPr>
          <w:spacing w:val="-3"/>
          <w:sz w:val="24"/>
        </w:rPr>
        <w:t xml:space="preserve"> that had been precluded by a pretrial </w:t>
      </w:r>
      <w:r w:rsidR="00AB77F9" w:rsidRPr="00F12C25">
        <w:rPr>
          <w:spacing w:val="-3"/>
          <w:sz w:val="24"/>
        </w:rPr>
        <w:t>[</w:t>
      </w:r>
      <w:r w:rsidRPr="00F12C25">
        <w:rPr>
          <w:i/>
          <w:spacing w:val="-3"/>
          <w:sz w:val="24"/>
        </w:rPr>
        <w:t>Sandoval</w:t>
      </w:r>
      <w:r w:rsidR="00AB77F9" w:rsidRPr="00F12C25">
        <w:rPr>
          <w:spacing w:val="-3"/>
          <w:sz w:val="24"/>
        </w:rPr>
        <w:t>]</w:t>
      </w:r>
      <w:r w:rsidRPr="00F12C25">
        <w:rPr>
          <w:i/>
          <w:spacing w:val="-3"/>
          <w:sz w:val="24"/>
        </w:rPr>
        <w:t xml:space="preserve"> </w:t>
      </w:r>
      <w:r w:rsidRPr="00F12C25">
        <w:rPr>
          <w:spacing w:val="-3"/>
          <w:sz w:val="24"/>
        </w:rPr>
        <w:t xml:space="preserve">ruling </w:t>
      </w:r>
      <w:r w:rsidR="00A1237F" w:rsidRPr="00F12C25">
        <w:rPr>
          <w:spacing w:val="-3"/>
          <w:sz w:val="24"/>
        </w:rPr>
        <w:t xml:space="preserve">. . . </w:t>
      </w:r>
      <w:r w:rsidRPr="00F12C25">
        <w:rPr>
          <w:spacing w:val="-3"/>
          <w:sz w:val="24"/>
        </w:rPr>
        <w:t>was nonetheless properly used by the prosecution on cross-examination to impeach</w:t>
      </w:r>
      <w:r w:rsidR="00A44F0C" w:rsidRPr="00F12C25">
        <w:rPr>
          <w:spacing w:val="-3"/>
          <w:sz w:val="24"/>
        </w:rPr>
        <w:t>”</w:t>
      </w:r>
      <w:r w:rsidRPr="00F12C25">
        <w:rPr>
          <w:spacing w:val="-3"/>
          <w:sz w:val="24"/>
        </w:rPr>
        <w:t xml:space="preserve"> the testimony</w:t>
      </w:r>
      <w:r w:rsidR="00A44F0C" w:rsidRPr="00F12C25">
        <w:rPr>
          <w:spacing w:val="-3"/>
          <w:sz w:val="24"/>
        </w:rPr>
        <w:t xml:space="preserve"> </w:t>
      </w:r>
      <w:r w:rsidRPr="00F12C25">
        <w:rPr>
          <w:spacing w:val="-3"/>
          <w:sz w:val="24"/>
        </w:rPr>
        <w:t>of defendant</w:t>
      </w:r>
      <w:r w:rsidR="00C87E12" w:rsidRPr="00F12C25">
        <w:rPr>
          <w:spacing w:val="-3"/>
          <w:sz w:val="24"/>
        </w:rPr>
        <w:t>’</w:t>
      </w:r>
      <w:r w:rsidRPr="00F12C25">
        <w:rPr>
          <w:spacing w:val="-3"/>
          <w:sz w:val="24"/>
        </w:rPr>
        <w:t>s witness, a psychologist, who asserted that defendant had been nonviolent throughout his life</w:t>
      </w:r>
      <w:r w:rsidR="0073722F" w:rsidRPr="00F12C25">
        <w:rPr>
          <w:spacing w:val="-3"/>
          <w:sz w:val="24"/>
        </w:rPr>
        <w:t xml:space="preserve">. </w:t>
      </w:r>
      <w:r w:rsidRPr="00F12C25">
        <w:rPr>
          <w:spacing w:val="-3"/>
          <w:sz w:val="24"/>
        </w:rPr>
        <w:t>(</w:t>
      </w:r>
      <w:r w:rsidRPr="00F12C25">
        <w:rPr>
          <w:i/>
          <w:spacing w:val="-3"/>
          <w:sz w:val="24"/>
        </w:rPr>
        <w:t>People v Fardan</w:t>
      </w:r>
      <w:r w:rsidRPr="00F12C25">
        <w:rPr>
          <w:spacing w:val="-3"/>
          <w:sz w:val="24"/>
        </w:rPr>
        <w:t>, 82 NY2d 638</w:t>
      </w:r>
      <w:r w:rsidR="00E149EA" w:rsidRPr="00F12C25">
        <w:rPr>
          <w:spacing w:val="-3"/>
          <w:sz w:val="24"/>
        </w:rPr>
        <w:t>, 641</w:t>
      </w:r>
      <w:r w:rsidRPr="00F12C25">
        <w:rPr>
          <w:spacing w:val="-3"/>
          <w:sz w:val="24"/>
        </w:rPr>
        <w:t xml:space="preserve"> [1993]</w:t>
      </w:r>
      <w:r w:rsidR="008467B7" w:rsidRPr="00F12C25">
        <w:rPr>
          <w:spacing w:val="-3"/>
          <w:sz w:val="24"/>
        </w:rPr>
        <w:t>.</w:t>
      </w:r>
      <w:r w:rsidRPr="00F12C25">
        <w:rPr>
          <w:spacing w:val="-3"/>
          <w:sz w:val="24"/>
        </w:rPr>
        <w:t>)</w:t>
      </w:r>
    </w:p>
    <w:p w14:paraId="2DDF5567" w14:textId="77777777" w:rsidR="005226EF" w:rsidRPr="00F12C25" w:rsidRDefault="005226EF" w:rsidP="002B3527">
      <w:pPr>
        <w:kinsoku w:val="0"/>
        <w:overflowPunct w:val="0"/>
        <w:autoSpaceDE/>
        <w:autoSpaceDN/>
        <w:adjustRightInd/>
        <w:jc w:val="both"/>
        <w:textAlignment w:val="baseline"/>
        <w:rPr>
          <w:spacing w:val="-3"/>
          <w:sz w:val="24"/>
        </w:rPr>
      </w:pPr>
    </w:p>
    <w:p w14:paraId="5598330D" w14:textId="14080CB3" w:rsidR="00BB74B8" w:rsidRPr="00F12C25" w:rsidRDefault="00BB74B8" w:rsidP="002B3527">
      <w:pPr>
        <w:numPr>
          <w:ilvl w:val="0"/>
          <w:numId w:val="2"/>
        </w:numPr>
        <w:kinsoku w:val="0"/>
        <w:overflowPunct w:val="0"/>
        <w:autoSpaceDE/>
        <w:autoSpaceDN/>
        <w:adjustRightInd/>
        <w:ind w:left="1080"/>
        <w:jc w:val="both"/>
        <w:textAlignment w:val="baseline"/>
        <w:rPr>
          <w:spacing w:val="-1"/>
          <w:sz w:val="24"/>
        </w:rPr>
      </w:pPr>
      <w:r w:rsidRPr="00F12C25">
        <w:rPr>
          <w:spacing w:val="-1"/>
          <w:sz w:val="24"/>
        </w:rPr>
        <w:t>“Defendant</w:t>
      </w:r>
      <w:r w:rsidR="00C87E12" w:rsidRPr="00F12C25">
        <w:rPr>
          <w:spacing w:val="-1"/>
          <w:sz w:val="24"/>
        </w:rPr>
        <w:t>’</w:t>
      </w:r>
      <w:r w:rsidRPr="00F12C25">
        <w:rPr>
          <w:spacing w:val="-1"/>
          <w:sz w:val="24"/>
        </w:rPr>
        <w:t>s claim that he had never seen or known [the codefendant] before his arrest on November 4, 1992 . . . opened the door to evidence . . . regarding [his] subsequent arrest with [the codefendant] on November 16, 1992 relevant for ‘contradiction and response’ with respect to the November 4, 1992 existence of their relationship and not simply to impeach his general credibility.</w:t>
      </w:r>
      <w:r w:rsidR="00070E31" w:rsidRPr="00F12C25">
        <w:rPr>
          <w:spacing w:val="-1"/>
          <w:sz w:val="24"/>
        </w:rPr>
        <w:t>”</w:t>
      </w:r>
      <w:r w:rsidR="00D36D44" w:rsidRPr="00F12C25">
        <w:rPr>
          <w:spacing w:val="-1"/>
          <w:sz w:val="24"/>
        </w:rPr>
        <w:t xml:space="preserve"> </w:t>
      </w:r>
      <w:r w:rsidRPr="00F12C25">
        <w:rPr>
          <w:spacing w:val="-1"/>
          <w:sz w:val="24"/>
        </w:rPr>
        <w:t>(</w:t>
      </w:r>
      <w:r w:rsidRPr="00F12C25">
        <w:rPr>
          <w:i/>
          <w:spacing w:val="-1"/>
          <w:sz w:val="24"/>
        </w:rPr>
        <w:t>People v Blakeney</w:t>
      </w:r>
      <w:r w:rsidRPr="00F12C25">
        <w:rPr>
          <w:iCs/>
          <w:spacing w:val="-1"/>
          <w:sz w:val="24"/>
        </w:rPr>
        <w:t xml:space="preserve">, </w:t>
      </w:r>
      <w:r w:rsidRPr="00F12C25">
        <w:rPr>
          <w:spacing w:val="-1"/>
          <w:sz w:val="24"/>
        </w:rPr>
        <w:t>88 NY2d 1011, 1012 [1996]</w:t>
      </w:r>
      <w:r w:rsidR="00EB156B" w:rsidRPr="00F12C25">
        <w:rPr>
          <w:spacing w:val="-1"/>
          <w:sz w:val="24"/>
        </w:rPr>
        <w:t>.</w:t>
      </w:r>
      <w:r w:rsidRPr="00F12C25">
        <w:rPr>
          <w:spacing w:val="-1"/>
          <w:sz w:val="24"/>
        </w:rPr>
        <w:t>)</w:t>
      </w:r>
    </w:p>
    <w:p w14:paraId="0DADA599" w14:textId="77777777" w:rsidR="005226EF" w:rsidRPr="00F12C25" w:rsidRDefault="005226EF" w:rsidP="002B3527">
      <w:pPr>
        <w:kinsoku w:val="0"/>
        <w:overflowPunct w:val="0"/>
        <w:autoSpaceDE/>
        <w:autoSpaceDN/>
        <w:adjustRightInd/>
        <w:jc w:val="both"/>
        <w:textAlignment w:val="baseline"/>
        <w:rPr>
          <w:spacing w:val="-1"/>
          <w:sz w:val="24"/>
        </w:rPr>
      </w:pPr>
    </w:p>
    <w:p w14:paraId="5CF5784F" w14:textId="77E0D0A5" w:rsidR="00BB74B8" w:rsidRPr="00F12C25" w:rsidRDefault="00A73ED6" w:rsidP="002B3527">
      <w:pPr>
        <w:numPr>
          <w:ilvl w:val="0"/>
          <w:numId w:val="2"/>
        </w:numPr>
        <w:kinsoku w:val="0"/>
        <w:overflowPunct w:val="0"/>
        <w:autoSpaceDE/>
        <w:autoSpaceDN/>
        <w:adjustRightInd/>
        <w:ind w:left="1080"/>
        <w:jc w:val="both"/>
        <w:textAlignment w:val="baseline"/>
        <w:rPr>
          <w:spacing w:val="-2"/>
          <w:sz w:val="24"/>
        </w:rPr>
      </w:pPr>
      <w:r w:rsidRPr="00F12C25">
        <w:rPr>
          <w:spacing w:val="-2"/>
          <w:sz w:val="24"/>
        </w:rPr>
        <w:t>The “</w:t>
      </w:r>
      <w:r w:rsidR="00116E06" w:rsidRPr="00F12C25">
        <w:rPr>
          <w:spacing w:val="-2"/>
          <w:sz w:val="24"/>
        </w:rPr>
        <w:t>[</w:t>
      </w:r>
      <w:r w:rsidRPr="00F12C25">
        <w:rPr>
          <w:spacing w:val="-2"/>
          <w:sz w:val="24"/>
        </w:rPr>
        <w:t>d</w:t>
      </w:r>
      <w:r w:rsidR="00116E06" w:rsidRPr="00F12C25">
        <w:rPr>
          <w:spacing w:val="-2"/>
          <w:sz w:val="24"/>
        </w:rPr>
        <w:t>]</w:t>
      </w:r>
      <w:r w:rsidR="00BB74B8" w:rsidRPr="00F12C25">
        <w:rPr>
          <w:spacing w:val="-2"/>
          <w:sz w:val="24"/>
        </w:rPr>
        <w:t>efendant opened the door to cross-examination regarding his motivation for prior guilty pleas and was subject to impeachment by the People</w:t>
      </w:r>
      <w:r w:rsidR="001F0AD7" w:rsidRPr="00F12C25">
        <w:rPr>
          <w:spacing w:val="-2"/>
          <w:sz w:val="24"/>
        </w:rPr>
        <w:t>’</w:t>
      </w:r>
      <w:r w:rsidR="00BB74B8" w:rsidRPr="00F12C25">
        <w:rPr>
          <w:spacing w:val="-2"/>
          <w:sz w:val="24"/>
        </w:rPr>
        <w:t>s use of the otherwise precluded evidence</w:t>
      </w:r>
      <w:r w:rsidR="0088750B" w:rsidRPr="00F12C25">
        <w:rPr>
          <w:spacing w:val="-2"/>
          <w:sz w:val="24"/>
        </w:rPr>
        <w:t xml:space="preserve"> . . .</w:t>
      </w:r>
      <w:r w:rsidR="004B0AD0" w:rsidRPr="00F12C25">
        <w:rPr>
          <w:spacing w:val="-2"/>
          <w:sz w:val="24"/>
        </w:rPr>
        <w:t xml:space="preserve"> </w:t>
      </w:r>
      <w:r w:rsidR="00BB74B8" w:rsidRPr="00F12C25">
        <w:rPr>
          <w:spacing w:val="-2"/>
          <w:sz w:val="24"/>
        </w:rPr>
        <w:t>where</w:t>
      </w:r>
      <w:r w:rsidR="004B0AD0" w:rsidRPr="00F12C25">
        <w:rPr>
          <w:spacing w:val="-2"/>
          <w:sz w:val="24"/>
        </w:rPr>
        <w:t xml:space="preserve"> . . .</w:t>
      </w:r>
      <w:r w:rsidR="00BB74B8" w:rsidRPr="00F12C25">
        <w:rPr>
          <w:spacing w:val="-2"/>
          <w:sz w:val="24"/>
        </w:rPr>
        <w:t xml:space="preserve"> defendant</w:t>
      </w:r>
      <w:r w:rsidR="001F0AD7" w:rsidRPr="00F12C25">
        <w:rPr>
          <w:spacing w:val="-2"/>
          <w:sz w:val="24"/>
        </w:rPr>
        <w:t>’</w:t>
      </w:r>
      <w:r w:rsidR="00BB74B8" w:rsidRPr="00F12C25">
        <w:rPr>
          <w:spacing w:val="-2"/>
          <w:sz w:val="24"/>
        </w:rPr>
        <w:t>s testimony was meant to elicit an incorrect jury inference that he had pleaded guilty and served prison terms in prior cases, but that he would not plead guilty in this case because he was in fact innocent.</w:t>
      </w:r>
      <w:r w:rsidR="00F05CBB" w:rsidRPr="00F12C25">
        <w:rPr>
          <w:spacing w:val="-2"/>
          <w:sz w:val="24"/>
        </w:rPr>
        <w:t>”</w:t>
      </w:r>
      <w:r w:rsidR="00BB74B8" w:rsidRPr="00F12C25">
        <w:rPr>
          <w:spacing w:val="-2"/>
          <w:sz w:val="24"/>
        </w:rPr>
        <w:t xml:space="preserve"> (</w:t>
      </w:r>
      <w:r w:rsidR="00BB74B8" w:rsidRPr="00F12C25">
        <w:rPr>
          <w:i/>
          <w:spacing w:val="-2"/>
          <w:sz w:val="24"/>
        </w:rPr>
        <w:t>People v Cooper</w:t>
      </w:r>
      <w:r w:rsidR="00BB74B8" w:rsidRPr="00F12C25">
        <w:rPr>
          <w:spacing w:val="-2"/>
          <w:sz w:val="24"/>
        </w:rPr>
        <w:t>, 92 NY2d 968, 96</w:t>
      </w:r>
      <w:r w:rsidR="00600115" w:rsidRPr="00F12C25">
        <w:rPr>
          <w:spacing w:val="-2"/>
          <w:sz w:val="24"/>
        </w:rPr>
        <w:t>9</w:t>
      </w:r>
      <w:r w:rsidR="00BB74B8" w:rsidRPr="00F12C25">
        <w:rPr>
          <w:spacing w:val="-2"/>
          <w:sz w:val="24"/>
        </w:rPr>
        <w:t xml:space="preserve"> [1998] [citations omitted]</w:t>
      </w:r>
      <w:r w:rsidR="006E15C0" w:rsidRPr="00F12C25">
        <w:rPr>
          <w:spacing w:val="-2"/>
          <w:sz w:val="24"/>
        </w:rPr>
        <w:t>.</w:t>
      </w:r>
      <w:r w:rsidR="00BB74B8" w:rsidRPr="00F12C25">
        <w:rPr>
          <w:spacing w:val="-2"/>
          <w:sz w:val="24"/>
        </w:rPr>
        <w:t>)</w:t>
      </w:r>
    </w:p>
    <w:p w14:paraId="71371F09" w14:textId="77777777" w:rsidR="005226EF" w:rsidRPr="00F12C25" w:rsidRDefault="005226EF" w:rsidP="002B3527">
      <w:pPr>
        <w:kinsoku w:val="0"/>
        <w:overflowPunct w:val="0"/>
        <w:autoSpaceDE/>
        <w:autoSpaceDN/>
        <w:adjustRightInd/>
        <w:jc w:val="both"/>
        <w:textAlignment w:val="baseline"/>
        <w:rPr>
          <w:spacing w:val="-2"/>
          <w:sz w:val="24"/>
        </w:rPr>
      </w:pPr>
    </w:p>
    <w:p w14:paraId="52C4658F" w14:textId="50C3AF37" w:rsidR="00BB74B8" w:rsidRPr="00F12C25" w:rsidRDefault="00BB74B8" w:rsidP="002B3527">
      <w:pPr>
        <w:pStyle w:val="ListParagraph"/>
        <w:numPr>
          <w:ilvl w:val="0"/>
          <w:numId w:val="5"/>
        </w:numPr>
        <w:kinsoku w:val="0"/>
        <w:overflowPunct w:val="0"/>
        <w:autoSpaceDE/>
        <w:autoSpaceDN/>
        <w:adjustRightInd/>
        <w:ind w:left="1080"/>
        <w:jc w:val="both"/>
        <w:textAlignment w:val="baseline"/>
        <w:rPr>
          <w:sz w:val="24"/>
        </w:rPr>
      </w:pPr>
      <w:r w:rsidRPr="00F12C25">
        <w:rPr>
          <w:sz w:val="24"/>
        </w:rPr>
        <w:t xml:space="preserve">When </w:t>
      </w:r>
      <w:r w:rsidR="00552330" w:rsidRPr="00F12C25">
        <w:rPr>
          <w:sz w:val="24"/>
        </w:rPr>
        <w:t xml:space="preserve">the </w:t>
      </w:r>
      <w:r w:rsidRPr="00F12C25">
        <w:rPr>
          <w:sz w:val="24"/>
        </w:rPr>
        <w:t>People’s witnesses testified that the defendant “never denied”</w:t>
      </w:r>
      <w:r w:rsidR="0031645D" w:rsidRPr="00F12C25">
        <w:rPr>
          <w:sz w:val="24"/>
        </w:rPr>
        <w:t xml:space="preserve"> </w:t>
      </w:r>
      <w:r w:rsidRPr="00F12C25">
        <w:rPr>
          <w:sz w:val="24"/>
        </w:rPr>
        <w:t>committing the crime, the trial court should have permitted the defense to introduce a taped telephone conversation between the defendant and the complainant prior to the defendant’s arrest, in which the defendant denied the allegations</w:t>
      </w:r>
      <w:r w:rsidR="0073722F" w:rsidRPr="00F12C25">
        <w:rPr>
          <w:sz w:val="24"/>
        </w:rPr>
        <w:t xml:space="preserve">. </w:t>
      </w:r>
      <w:r w:rsidRPr="00F12C25">
        <w:rPr>
          <w:sz w:val="24"/>
        </w:rPr>
        <w:t>(</w:t>
      </w:r>
      <w:r w:rsidRPr="00F12C25">
        <w:rPr>
          <w:i/>
          <w:sz w:val="24"/>
        </w:rPr>
        <w:t>People v Carroll</w:t>
      </w:r>
      <w:r w:rsidRPr="00F12C25">
        <w:rPr>
          <w:sz w:val="24"/>
        </w:rPr>
        <w:t>, 95 NY2d 375</w:t>
      </w:r>
      <w:r w:rsidR="00552330" w:rsidRPr="00F12C25">
        <w:rPr>
          <w:sz w:val="24"/>
        </w:rPr>
        <w:t>, 386</w:t>
      </w:r>
      <w:r w:rsidRPr="00F12C25">
        <w:rPr>
          <w:sz w:val="24"/>
        </w:rPr>
        <w:t xml:space="preserve"> [2000]</w:t>
      </w:r>
      <w:r w:rsidR="00646DAA" w:rsidRPr="00F12C25">
        <w:rPr>
          <w:sz w:val="24"/>
        </w:rPr>
        <w:t>.</w:t>
      </w:r>
      <w:r w:rsidRPr="00F12C25">
        <w:rPr>
          <w:sz w:val="24"/>
        </w:rPr>
        <w:t>)</w:t>
      </w:r>
    </w:p>
    <w:p w14:paraId="5F4D85F5" w14:textId="77777777" w:rsidR="00AE4956" w:rsidRPr="00F12C25" w:rsidRDefault="00AE4956" w:rsidP="002B3527">
      <w:pPr>
        <w:kinsoku w:val="0"/>
        <w:overflowPunct w:val="0"/>
        <w:autoSpaceDE/>
        <w:autoSpaceDN/>
        <w:adjustRightInd/>
        <w:jc w:val="both"/>
        <w:textAlignment w:val="baseline"/>
        <w:rPr>
          <w:b/>
          <w:sz w:val="24"/>
        </w:rPr>
      </w:pPr>
    </w:p>
    <w:p w14:paraId="49B0635B" w14:textId="7E25A02D" w:rsidR="005014F6" w:rsidRPr="00F12C25" w:rsidRDefault="00AE4956" w:rsidP="002B3527">
      <w:pPr>
        <w:tabs>
          <w:tab w:val="left" w:pos="720"/>
        </w:tabs>
        <w:kinsoku w:val="0"/>
        <w:overflowPunct w:val="0"/>
        <w:autoSpaceDE/>
        <w:autoSpaceDN/>
        <w:adjustRightInd/>
        <w:jc w:val="both"/>
        <w:textAlignment w:val="baseline"/>
        <w:rPr>
          <w:sz w:val="24"/>
        </w:rPr>
      </w:pPr>
      <w:r w:rsidRPr="00F12C25">
        <w:rPr>
          <w:b/>
          <w:sz w:val="24"/>
        </w:rPr>
        <w:tab/>
      </w:r>
      <w:r w:rsidR="00BB74B8" w:rsidRPr="00F12C25">
        <w:rPr>
          <w:b/>
          <w:sz w:val="24"/>
        </w:rPr>
        <w:t xml:space="preserve">Subdivision (3) </w:t>
      </w:r>
      <w:r w:rsidR="00BB74B8" w:rsidRPr="00F12C25">
        <w:rPr>
          <w:sz w:val="24"/>
        </w:rPr>
        <w:t xml:space="preserve">follows logically on the need for the trial court to make a ruling on whether </w:t>
      </w:r>
      <w:r w:rsidR="00B81F1C" w:rsidRPr="00F12C25">
        <w:rPr>
          <w:sz w:val="24"/>
        </w:rPr>
        <w:t xml:space="preserve">the door has </w:t>
      </w:r>
      <w:r w:rsidR="00BE09BE" w:rsidRPr="00F12C25">
        <w:rPr>
          <w:sz w:val="24"/>
        </w:rPr>
        <w:t>been opened</w:t>
      </w:r>
      <w:r w:rsidR="00BE09BE" w:rsidRPr="00F12C25">
        <w:rPr>
          <w:b/>
          <w:bCs/>
          <w:sz w:val="24"/>
        </w:rPr>
        <w:t xml:space="preserve"> </w:t>
      </w:r>
      <w:r w:rsidR="00BB74B8" w:rsidRPr="00F12C25">
        <w:rPr>
          <w:sz w:val="24"/>
        </w:rPr>
        <w:t>before otherwise inadmissible evidence that may warrant a mistrial is admitted.</w:t>
      </w:r>
      <w:r w:rsidR="003217A3" w:rsidRPr="00F12C25">
        <w:rPr>
          <w:sz w:val="24"/>
        </w:rPr>
        <w:t xml:space="preserve"> </w:t>
      </w:r>
      <w:r w:rsidR="00EA3D2E" w:rsidRPr="00F12C25">
        <w:rPr>
          <w:sz w:val="24"/>
        </w:rPr>
        <w:t>(</w:t>
      </w:r>
      <w:r w:rsidR="001C0396" w:rsidRPr="00F12C25">
        <w:rPr>
          <w:i/>
          <w:iCs/>
          <w:sz w:val="24"/>
        </w:rPr>
        <w:t>See People v Rojas</w:t>
      </w:r>
      <w:r w:rsidR="001C0396" w:rsidRPr="00F12C25">
        <w:rPr>
          <w:sz w:val="24"/>
        </w:rPr>
        <w:t>, 97 NY2d 32</w:t>
      </w:r>
      <w:r w:rsidR="00706B1B" w:rsidRPr="00F12C25">
        <w:rPr>
          <w:sz w:val="24"/>
        </w:rPr>
        <w:t>, 40</w:t>
      </w:r>
      <w:r w:rsidR="001C0396" w:rsidRPr="00F12C25">
        <w:rPr>
          <w:sz w:val="24"/>
        </w:rPr>
        <w:t xml:space="preserve"> [2001] </w:t>
      </w:r>
      <w:r w:rsidR="00B16DCA" w:rsidRPr="00F12C25">
        <w:rPr>
          <w:sz w:val="24"/>
        </w:rPr>
        <w:t>[</w:t>
      </w:r>
      <w:r w:rsidR="001C0396" w:rsidRPr="00F12C25">
        <w:rPr>
          <w:sz w:val="24"/>
        </w:rPr>
        <w:t>the “better practice” would have been for the People to ask for a “conference” to have the court decide whether the door had been opened to a question the prosecutor asked a witness</w:t>
      </w:r>
      <w:r w:rsidR="00B16DCA" w:rsidRPr="00F12C25">
        <w:rPr>
          <w:sz w:val="24"/>
        </w:rPr>
        <w:t>]</w:t>
      </w:r>
      <w:r w:rsidR="006B2CC1" w:rsidRPr="00F12C25">
        <w:rPr>
          <w:sz w:val="24"/>
        </w:rPr>
        <w:t xml:space="preserve">; </w:t>
      </w:r>
      <w:r w:rsidR="006B2CC1" w:rsidRPr="00F12C25">
        <w:rPr>
          <w:i/>
          <w:sz w:val="24"/>
        </w:rPr>
        <w:t>s</w:t>
      </w:r>
      <w:r w:rsidR="00BB74B8" w:rsidRPr="00F12C25">
        <w:rPr>
          <w:i/>
          <w:iCs/>
          <w:sz w:val="24"/>
        </w:rPr>
        <w:t>ee</w:t>
      </w:r>
      <w:r w:rsidR="001C0396" w:rsidRPr="00F12C25">
        <w:rPr>
          <w:i/>
          <w:iCs/>
          <w:sz w:val="24"/>
        </w:rPr>
        <w:t xml:space="preserve"> also</w:t>
      </w:r>
      <w:r w:rsidR="00BB74B8" w:rsidRPr="00F12C25">
        <w:rPr>
          <w:sz w:val="24"/>
        </w:rPr>
        <w:t xml:space="preserve"> Guide to NY Evid rule 1.07</w:t>
      </w:r>
      <w:r w:rsidR="00697FBF" w:rsidRPr="00F12C25">
        <w:rPr>
          <w:sz w:val="24"/>
        </w:rPr>
        <w:t xml:space="preserve">, </w:t>
      </w:r>
      <w:r w:rsidR="00BB74B8" w:rsidRPr="00F12C25">
        <w:rPr>
          <w:sz w:val="24"/>
        </w:rPr>
        <w:t>Court Control Over Presentation of Evidenc</w:t>
      </w:r>
      <w:r w:rsidR="00E875B1" w:rsidRPr="00F12C25">
        <w:rPr>
          <w:sz w:val="24"/>
        </w:rPr>
        <w:t xml:space="preserve">e; </w:t>
      </w:r>
      <w:r w:rsidR="00BB74B8" w:rsidRPr="00F12C25">
        <w:rPr>
          <w:sz w:val="24"/>
        </w:rPr>
        <w:t>rule 1.</w:t>
      </w:r>
      <w:r w:rsidR="000A6938" w:rsidRPr="00F12C25">
        <w:rPr>
          <w:sz w:val="24"/>
        </w:rPr>
        <w:t>09</w:t>
      </w:r>
      <w:r w:rsidR="00842CB8" w:rsidRPr="00F12C25">
        <w:rPr>
          <w:sz w:val="24"/>
        </w:rPr>
        <w:t xml:space="preserve">, </w:t>
      </w:r>
      <w:r w:rsidR="00BB74B8" w:rsidRPr="00F12C25">
        <w:rPr>
          <w:sz w:val="24"/>
        </w:rPr>
        <w:t>Court Determination of Preliminary Questions.</w:t>
      </w:r>
      <w:r w:rsidR="00EA3D2E" w:rsidRPr="00F12C25">
        <w:rPr>
          <w:sz w:val="24"/>
        </w:rPr>
        <w:t>)</w:t>
      </w:r>
    </w:p>
    <w:p w14:paraId="0EFA7ABA" w14:textId="77777777" w:rsidR="00843070" w:rsidRDefault="00843070" w:rsidP="002B3527">
      <w:pPr>
        <w:tabs>
          <w:tab w:val="left" w:pos="720"/>
        </w:tabs>
        <w:kinsoku w:val="0"/>
        <w:overflowPunct w:val="0"/>
        <w:autoSpaceDE/>
        <w:autoSpaceDN/>
        <w:adjustRightInd/>
        <w:jc w:val="both"/>
        <w:textAlignment w:val="baseline"/>
        <w:rPr>
          <w:b/>
          <w:sz w:val="24"/>
        </w:rPr>
      </w:pPr>
    </w:p>
    <w:p w14:paraId="01692F6E" w14:textId="77777777" w:rsidR="00EA2251" w:rsidRDefault="00EA2251" w:rsidP="002B3527">
      <w:pPr>
        <w:tabs>
          <w:tab w:val="left" w:pos="720"/>
        </w:tabs>
        <w:kinsoku w:val="0"/>
        <w:overflowPunct w:val="0"/>
        <w:autoSpaceDE/>
        <w:autoSpaceDN/>
        <w:adjustRightInd/>
        <w:jc w:val="both"/>
        <w:textAlignment w:val="baseline"/>
        <w:rPr>
          <w:b/>
          <w:sz w:val="24"/>
        </w:rPr>
      </w:pPr>
    </w:p>
    <w:p w14:paraId="1AC75939" w14:textId="77777777" w:rsidR="00EA2251" w:rsidRPr="00F12C25" w:rsidRDefault="00EA2251" w:rsidP="002B3527">
      <w:pPr>
        <w:tabs>
          <w:tab w:val="left" w:pos="720"/>
        </w:tabs>
        <w:kinsoku w:val="0"/>
        <w:overflowPunct w:val="0"/>
        <w:autoSpaceDE/>
        <w:autoSpaceDN/>
        <w:adjustRightInd/>
        <w:jc w:val="both"/>
        <w:textAlignment w:val="baseline"/>
        <w:rPr>
          <w:b/>
          <w:sz w:val="24"/>
        </w:rPr>
      </w:pPr>
    </w:p>
    <w:sectPr w:rsidR="00EA2251" w:rsidRPr="00F12C25" w:rsidSect="002B3527">
      <w:footerReference w:type="default" r:id="rId8"/>
      <w:endnotePr>
        <w:numFmt w:val="decimal"/>
      </w:endnotePr>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F868" w14:textId="77777777" w:rsidR="00BD1877" w:rsidRDefault="00BD1877" w:rsidP="0031645D">
      <w:r>
        <w:separator/>
      </w:r>
    </w:p>
  </w:endnote>
  <w:endnote w:type="continuationSeparator" w:id="0">
    <w:p w14:paraId="33573729" w14:textId="77777777" w:rsidR="00BD1877" w:rsidRDefault="00BD1877" w:rsidP="0031645D">
      <w:r>
        <w:continuationSeparator/>
      </w:r>
    </w:p>
  </w:endnote>
  <w:endnote w:id="1">
    <w:p w14:paraId="4DC1C008" w14:textId="1CAD7EDF" w:rsidR="00084406" w:rsidRPr="00F12C25" w:rsidRDefault="00084406" w:rsidP="00B77332">
      <w:pPr>
        <w:widowControl/>
        <w:snapToGrid w:val="0"/>
        <w:jc w:val="both"/>
        <w:rPr>
          <w:rFonts w:ascii="CenturySchoolbook" w:hAnsi="CenturySchoolbook" w:cs="CenturySchoolbook"/>
          <w:sz w:val="22"/>
          <w:szCs w:val="22"/>
          <w:lang w:val="x-none"/>
        </w:rPr>
      </w:pPr>
      <w:r w:rsidRPr="008916C0">
        <w:rPr>
          <w:rStyle w:val="EndnoteReference"/>
          <w:sz w:val="22"/>
          <w:szCs w:val="22"/>
        </w:rPr>
        <w:endnoteRef/>
      </w:r>
      <w:r w:rsidRPr="008916C0">
        <w:rPr>
          <w:sz w:val="22"/>
          <w:szCs w:val="22"/>
        </w:rPr>
        <w:t xml:space="preserve"> </w:t>
      </w:r>
      <w:r w:rsidR="000678B9" w:rsidRPr="00F12C25">
        <w:rPr>
          <w:sz w:val="22"/>
          <w:szCs w:val="22"/>
        </w:rPr>
        <w:t xml:space="preserve">In January 2022, </w:t>
      </w:r>
      <w:r w:rsidR="003B3BF1" w:rsidRPr="00F12C25">
        <w:rPr>
          <w:sz w:val="22"/>
          <w:szCs w:val="22"/>
        </w:rPr>
        <w:t xml:space="preserve">subdivision (1) of </w:t>
      </w:r>
      <w:r w:rsidR="000678B9" w:rsidRPr="00F12C25">
        <w:rPr>
          <w:sz w:val="22"/>
          <w:szCs w:val="22"/>
        </w:rPr>
        <w:t>this rule was amend</w:t>
      </w:r>
      <w:r w:rsidR="000A6938" w:rsidRPr="00F12C25">
        <w:rPr>
          <w:sz w:val="22"/>
          <w:szCs w:val="22"/>
        </w:rPr>
        <w:t>ed</w:t>
      </w:r>
      <w:r w:rsidR="000678B9" w:rsidRPr="00F12C25">
        <w:rPr>
          <w:sz w:val="22"/>
          <w:szCs w:val="22"/>
        </w:rPr>
        <w:t xml:space="preserve"> to accord with the </w:t>
      </w:r>
      <w:r w:rsidR="006A5381" w:rsidRPr="00F12C25">
        <w:rPr>
          <w:sz w:val="22"/>
          <w:szCs w:val="22"/>
        </w:rPr>
        <w:t>holding</w:t>
      </w:r>
      <w:r w:rsidR="000678B9" w:rsidRPr="00F12C25">
        <w:rPr>
          <w:sz w:val="22"/>
          <w:szCs w:val="22"/>
        </w:rPr>
        <w:t xml:space="preserve"> </w:t>
      </w:r>
      <w:r w:rsidR="003B3BF1" w:rsidRPr="00F12C25">
        <w:rPr>
          <w:sz w:val="22"/>
          <w:szCs w:val="22"/>
        </w:rPr>
        <w:t>of</w:t>
      </w:r>
      <w:r w:rsidR="000678B9" w:rsidRPr="00F12C25">
        <w:rPr>
          <w:sz w:val="22"/>
          <w:szCs w:val="22"/>
        </w:rPr>
        <w:t xml:space="preserve"> </w:t>
      </w:r>
      <w:r w:rsidR="000678B9" w:rsidRPr="00F12C25">
        <w:rPr>
          <w:i/>
          <w:iCs/>
          <w:sz w:val="22"/>
          <w:szCs w:val="22"/>
        </w:rPr>
        <w:t>Hemphill v New</w:t>
      </w:r>
      <w:r w:rsidR="000678B9" w:rsidRPr="00F12C25">
        <w:rPr>
          <w:sz w:val="22"/>
          <w:szCs w:val="22"/>
        </w:rPr>
        <w:t xml:space="preserve"> </w:t>
      </w:r>
      <w:r w:rsidR="000678B9" w:rsidRPr="00F12C25">
        <w:rPr>
          <w:i/>
          <w:iCs/>
          <w:sz w:val="22"/>
          <w:szCs w:val="22"/>
        </w:rPr>
        <w:t>York</w:t>
      </w:r>
      <w:bookmarkStart w:id="0" w:name="_Hlk93591805"/>
      <w:bookmarkStart w:id="1" w:name="_Hlk93591806"/>
      <w:r w:rsidR="00CC7850" w:rsidRPr="00F12C25">
        <w:rPr>
          <w:sz w:val="22"/>
          <w:szCs w:val="22"/>
        </w:rPr>
        <w:t xml:space="preserve"> (595 US —, </w:t>
      </w:r>
      <w:r w:rsidR="000A6938" w:rsidRPr="00F12C25">
        <w:rPr>
          <w:sz w:val="22"/>
          <w:szCs w:val="22"/>
        </w:rPr>
        <w:t xml:space="preserve">—, </w:t>
      </w:r>
      <w:r w:rsidR="00B77332" w:rsidRPr="00F12C25">
        <w:rPr>
          <w:sz w:val="22"/>
          <w:szCs w:val="22"/>
        </w:rPr>
        <w:t>142 S Ct 681, 694 [2022]</w:t>
      </w:r>
      <w:r w:rsidR="00CC7850" w:rsidRPr="00F12C25">
        <w:rPr>
          <w:sz w:val="22"/>
          <w:szCs w:val="22"/>
        </w:rPr>
        <w:t>)</w:t>
      </w:r>
      <w:r w:rsidR="000615AD" w:rsidRPr="00F12C25">
        <w:rPr>
          <w:sz w:val="22"/>
          <w:szCs w:val="22"/>
        </w:rPr>
        <w:t>,</w:t>
      </w:r>
      <w:r w:rsidR="00CC7850" w:rsidRPr="00F12C25">
        <w:rPr>
          <w:sz w:val="22"/>
          <w:szCs w:val="22"/>
        </w:rPr>
        <w:t xml:space="preserve"> </w:t>
      </w:r>
      <w:r w:rsidR="006A5381" w:rsidRPr="00F12C25">
        <w:rPr>
          <w:sz w:val="22"/>
          <w:szCs w:val="22"/>
        </w:rPr>
        <w:t>precluding the introduction of “unconfronted testimonial hearsay” under the “open</w:t>
      </w:r>
      <w:r w:rsidR="00CC7850" w:rsidRPr="00F12C25">
        <w:rPr>
          <w:sz w:val="22"/>
          <w:szCs w:val="22"/>
        </w:rPr>
        <w:t>ing</w:t>
      </w:r>
      <w:r w:rsidR="006A5381" w:rsidRPr="00F12C25">
        <w:rPr>
          <w:sz w:val="22"/>
          <w:szCs w:val="22"/>
        </w:rPr>
        <w:t xml:space="preserve"> </w:t>
      </w:r>
      <w:r w:rsidR="000D2FA9" w:rsidRPr="00F12C25">
        <w:rPr>
          <w:sz w:val="22"/>
          <w:szCs w:val="22"/>
        </w:rPr>
        <w:t xml:space="preserve">the </w:t>
      </w:r>
      <w:r w:rsidR="006A5381" w:rsidRPr="00F12C25">
        <w:rPr>
          <w:sz w:val="22"/>
          <w:szCs w:val="22"/>
        </w:rPr>
        <w:t>door</w:t>
      </w:r>
      <w:r w:rsidR="00251662" w:rsidRPr="00F12C25">
        <w:rPr>
          <w:sz w:val="22"/>
          <w:szCs w:val="22"/>
        </w:rPr>
        <w:t xml:space="preserve"> to evidence</w:t>
      </w:r>
      <w:r w:rsidR="006A5381" w:rsidRPr="00F12C25">
        <w:rPr>
          <w:sz w:val="22"/>
          <w:szCs w:val="22"/>
        </w:rPr>
        <w:t xml:space="preserve">” </w:t>
      </w:r>
      <w:r w:rsidR="000D2FA9" w:rsidRPr="00F12C25">
        <w:rPr>
          <w:sz w:val="22"/>
          <w:szCs w:val="22"/>
        </w:rPr>
        <w:t>principle</w:t>
      </w:r>
      <w:r w:rsidR="006A5381" w:rsidRPr="00F12C25">
        <w:rPr>
          <w:sz w:val="22"/>
          <w:szCs w:val="22"/>
        </w:rPr>
        <w:t>.</w:t>
      </w:r>
      <w:bookmarkEnd w:id="0"/>
      <w:bookmarkEnd w:id="1"/>
      <w:r w:rsidR="00A54BE7" w:rsidRPr="00F12C25">
        <w:rPr>
          <w:sz w:val="22"/>
          <w:szCs w:val="22"/>
        </w:rPr>
        <w:t xml:space="preserve"> </w:t>
      </w:r>
      <w:r w:rsidR="00090E38" w:rsidRPr="00F12C25">
        <w:rPr>
          <w:sz w:val="22"/>
          <w:szCs w:val="22"/>
        </w:rPr>
        <w:t xml:space="preserve">And in December 2022, subdivision (1) was further amended to </w:t>
      </w:r>
      <w:r w:rsidR="00373C06" w:rsidRPr="00F12C25">
        <w:rPr>
          <w:sz w:val="22"/>
          <w:szCs w:val="22"/>
        </w:rPr>
        <w:t xml:space="preserve">note that </w:t>
      </w:r>
      <w:r w:rsidR="00373C06" w:rsidRPr="00F12C25">
        <w:rPr>
          <w:i/>
          <w:iCs/>
          <w:sz w:val="22"/>
          <w:szCs w:val="22"/>
        </w:rPr>
        <w:t>Hemphill</w:t>
      </w:r>
      <w:r w:rsidR="00373C06" w:rsidRPr="00F12C25">
        <w:rPr>
          <w:sz w:val="22"/>
          <w:szCs w:val="22"/>
        </w:rPr>
        <w:t xml:space="preserve"> applied </w:t>
      </w:r>
      <w:r w:rsidR="00770A0A" w:rsidRPr="00F12C25">
        <w:rPr>
          <w:sz w:val="22"/>
          <w:szCs w:val="22"/>
        </w:rPr>
        <w:t>only in</w:t>
      </w:r>
      <w:r w:rsidR="00373C06" w:rsidRPr="00F12C25">
        <w:rPr>
          <w:sz w:val="22"/>
          <w:szCs w:val="22"/>
        </w:rPr>
        <w:t xml:space="preserve"> criminal </w:t>
      </w:r>
      <w:r w:rsidR="00770A0A" w:rsidRPr="00F12C25">
        <w:rPr>
          <w:sz w:val="22"/>
          <w:szCs w:val="22"/>
        </w:rPr>
        <w:t>proceedings.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20266"/>
      <w:docPartObj>
        <w:docPartGallery w:val="Page Numbers (Bottom of Page)"/>
        <w:docPartUnique/>
      </w:docPartObj>
    </w:sdtPr>
    <w:sdtEndPr>
      <w:rPr>
        <w:noProof/>
      </w:rPr>
    </w:sdtEndPr>
    <w:sdtContent>
      <w:p w14:paraId="45FC9682" w14:textId="01CDD58D" w:rsidR="007000CA" w:rsidRDefault="007000CA" w:rsidP="00700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8FC6" w14:textId="77777777" w:rsidR="00BD1877" w:rsidRDefault="00BD1877" w:rsidP="0031645D">
      <w:r>
        <w:separator/>
      </w:r>
    </w:p>
  </w:footnote>
  <w:footnote w:type="continuationSeparator" w:id="0">
    <w:p w14:paraId="41ED1DDA" w14:textId="77777777" w:rsidR="00BD1877" w:rsidRDefault="00BD1877" w:rsidP="0031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A540"/>
    <w:multiLevelType w:val="singleLevel"/>
    <w:tmpl w:val="3D16EDCC"/>
    <w:lvl w:ilvl="0">
      <w:start w:val="2"/>
      <w:numFmt w:val="decimal"/>
      <w:lvlText w:val="(%1)"/>
      <w:lvlJc w:val="left"/>
      <w:pPr>
        <w:tabs>
          <w:tab w:val="num" w:pos="1080"/>
        </w:tabs>
        <w:ind w:left="1080" w:hanging="360"/>
      </w:pPr>
      <w:rPr>
        <w:b/>
        <w:snapToGrid/>
        <w:sz w:val="28"/>
      </w:rPr>
    </w:lvl>
  </w:abstractNum>
  <w:abstractNum w:abstractNumId="1" w15:restartNumberingAfterBreak="0">
    <w:nsid w:val="07D9CF7D"/>
    <w:multiLevelType w:val="singleLevel"/>
    <w:tmpl w:val="36C4164D"/>
    <w:lvl w:ilvl="0">
      <w:numFmt w:val="bullet"/>
      <w:lvlText w:val="·"/>
      <w:lvlJc w:val="left"/>
      <w:pPr>
        <w:ind w:left="720" w:hanging="360"/>
      </w:pPr>
      <w:rPr>
        <w:rFonts w:ascii="Symbol" w:hAnsi="Symbol"/>
        <w:snapToGrid/>
        <w:spacing w:val="-2"/>
        <w:sz w:val="24"/>
      </w:rPr>
    </w:lvl>
  </w:abstractNum>
  <w:abstractNum w:abstractNumId="2" w15:restartNumberingAfterBreak="0">
    <w:nsid w:val="0A77196B"/>
    <w:multiLevelType w:val="hybridMultilevel"/>
    <w:tmpl w:val="ADE8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32589"/>
    <w:multiLevelType w:val="multilevel"/>
    <w:tmpl w:val="63F4DEA2"/>
    <w:lvl w:ilvl="0">
      <w:start w:val="4"/>
      <w:numFmt w:val="decimal"/>
      <w:lvlText w:val="%1"/>
      <w:lvlJc w:val="left"/>
      <w:pPr>
        <w:ind w:left="525" w:hanging="525"/>
      </w:pPr>
      <w:rPr>
        <w:rFonts w:hint="default"/>
      </w:rPr>
    </w:lvl>
    <w:lvl w:ilvl="1">
      <w:start w:val="8"/>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90206B"/>
    <w:multiLevelType w:val="hybridMultilevel"/>
    <w:tmpl w:val="A960709A"/>
    <w:lvl w:ilvl="0" w:tplc="04090001">
      <w:start w:val="1"/>
      <w:numFmt w:val="bullet"/>
      <w:lvlText w:val=""/>
      <w:lvlJc w:val="left"/>
      <w:pPr>
        <w:ind w:left="57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4E6B13CB"/>
    <w:multiLevelType w:val="hybridMultilevel"/>
    <w:tmpl w:val="71D2ED52"/>
    <w:lvl w:ilvl="0" w:tplc="5BDC5F9C">
      <w:numFmt w:val="bullet"/>
      <w:lvlText w:val=""/>
      <w:lvlJc w:val="left"/>
      <w:pPr>
        <w:ind w:left="767" w:hanging="407"/>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482"/>
    <w:multiLevelType w:val="hybridMultilevel"/>
    <w:tmpl w:val="CCB01344"/>
    <w:lvl w:ilvl="0" w:tplc="E8C0AAE6">
      <w:start w:val="1"/>
      <w:numFmt w:val="decimal"/>
      <w:lvlText w:val="(%1)"/>
      <w:lvlJc w:val="left"/>
      <w:pPr>
        <w:ind w:left="1107" w:hanging="3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2921186">
    <w:abstractNumId w:val="0"/>
  </w:num>
  <w:num w:numId="2" w16cid:durableId="1389643630">
    <w:abstractNumId w:val="1"/>
  </w:num>
  <w:num w:numId="3" w16cid:durableId="1559634832">
    <w:abstractNumId w:val="2"/>
  </w:num>
  <w:num w:numId="4" w16cid:durableId="566576088">
    <w:abstractNumId w:val="5"/>
  </w:num>
  <w:num w:numId="5" w16cid:durableId="1035547012">
    <w:abstractNumId w:val="4"/>
  </w:num>
  <w:num w:numId="6" w16cid:durableId="875890370">
    <w:abstractNumId w:val="6"/>
  </w:num>
  <w:num w:numId="7" w16cid:durableId="1299409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wNDY3Nzc0tTQ1MjRT0lEKTi0uzszPAykwqgUA02o1vSwAAAA="/>
  </w:docVars>
  <w:rsids>
    <w:rsidRoot w:val="00BB74B8"/>
    <w:rsid w:val="000028D5"/>
    <w:rsid w:val="00003927"/>
    <w:rsid w:val="00005CB1"/>
    <w:rsid w:val="000113A8"/>
    <w:rsid w:val="00016F0D"/>
    <w:rsid w:val="000312B1"/>
    <w:rsid w:val="00031303"/>
    <w:rsid w:val="0003233A"/>
    <w:rsid w:val="0003288C"/>
    <w:rsid w:val="00032DF5"/>
    <w:rsid w:val="00051415"/>
    <w:rsid w:val="000615AD"/>
    <w:rsid w:val="00063BEA"/>
    <w:rsid w:val="000678B9"/>
    <w:rsid w:val="00070E31"/>
    <w:rsid w:val="00075B50"/>
    <w:rsid w:val="00081EB8"/>
    <w:rsid w:val="00084406"/>
    <w:rsid w:val="00090E38"/>
    <w:rsid w:val="000A0E6C"/>
    <w:rsid w:val="000A3219"/>
    <w:rsid w:val="000A51DC"/>
    <w:rsid w:val="000A575B"/>
    <w:rsid w:val="000A6938"/>
    <w:rsid w:val="000B1D7A"/>
    <w:rsid w:val="000B4DB6"/>
    <w:rsid w:val="000B5242"/>
    <w:rsid w:val="000B6823"/>
    <w:rsid w:val="000C2692"/>
    <w:rsid w:val="000C2B19"/>
    <w:rsid w:val="000C3546"/>
    <w:rsid w:val="000D0A3B"/>
    <w:rsid w:val="000D20DD"/>
    <w:rsid w:val="000D2FA9"/>
    <w:rsid w:val="000D513F"/>
    <w:rsid w:val="000E37FA"/>
    <w:rsid w:val="000E522B"/>
    <w:rsid w:val="000E6716"/>
    <w:rsid w:val="000F5790"/>
    <w:rsid w:val="00100DE0"/>
    <w:rsid w:val="00100F03"/>
    <w:rsid w:val="00103395"/>
    <w:rsid w:val="00103AAC"/>
    <w:rsid w:val="00110687"/>
    <w:rsid w:val="00116E06"/>
    <w:rsid w:val="00122F05"/>
    <w:rsid w:val="0012460A"/>
    <w:rsid w:val="00136B1C"/>
    <w:rsid w:val="0014458A"/>
    <w:rsid w:val="001471C4"/>
    <w:rsid w:val="0017397A"/>
    <w:rsid w:val="001A518F"/>
    <w:rsid w:val="001A57A3"/>
    <w:rsid w:val="001A7157"/>
    <w:rsid w:val="001A76E6"/>
    <w:rsid w:val="001A7E8B"/>
    <w:rsid w:val="001B460A"/>
    <w:rsid w:val="001B5BBB"/>
    <w:rsid w:val="001B62FD"/>
    <w:rsid w:val="001C0396"/>
    <w:rsid w:val="001C0518"/>
    <w:rsid w:val="001C43FB"/>
    <w:rsid w:val="001C456C"/>
    <w:rsid w:val="001D07A0"/>
    <w:rsid w:val="001E26A0"/>
    <w:rsid w:val="001E7B4D"/>
    <w:rsid w:val="001F0AD7"/>
    <w:rsid w:val="001F2CDF"/>
    <w:rsid w:val="00206664"/>
    <w:rsid w:val="002132AD"/>
    <w:rsid w:val="002151AC"/>
    <w:rsid w:val="002212F2"/>
    <w:rsid w:val="00222860"/>
    <w:rsid w:val="00226067"/>
    <w:rsid w:val="00231020"/>
    <w:rsid w:val="00231675"/>
    <w:rsid w:val="00231D52"/>
    <w:rsid w:val="00236DE7"/>
    <w:rsid w:val="002417B6"/>
    <w:rsid w:val="00251662"/>
    <w:rsid w:val="00252769"/>
    <w:rsid w:val="00261C26"/>
    <w:rsid w:val="002644D9"/>
    <w:rsid w:val="00270731"/>
    <w:rsid w:val="002746E9"/>
    <w:rsid w:val="0027521C"/>
    <w:rsid w:val="00276202"/>
    <w:rsid w:val="0027786E"/>
    <w:rsid w:val="00290F37"/>
    <w:rsid w:val="00291C5E"/>
    <w:rsid w:val="00297BE5"/>
    <w:rsid w:val="002A16A0"/>
    <w:rsid w:val="002A6B07"/>
    <w:rsid w:val="002B3527"/>
    <w:rsid w:val="002C3F1C"/>
    <w:rsid w:val="002D3C41"/>
    <w:rsid w:val="002E2770"/>
    <w:rsid w:val="002F7614"/>
    <w:rsid w:val="00302956"/>
    <w:rsid w:val="00304497"/>
    <w:rsid w:val="0031645D"/>
    <w:rsid w:val="003217A3"/>
    <w:rsid w:val="00335DB4"/>
    <w:rsid w:val="00337BE9"/>
    <w:rsid w:val="00341544"/>
    <w:rsid w:val="0034318A"/>
    <w:rsid w:val="00361DE8"/>
    <w:rsid w:val="00370191"/>
    <w:rsid w:val="00373C06"/>
    <w:rsid w:val="00381462"/>
    <w:rsid w:val="0038465C"/>
    <w:rsid w:val="00385EEB"/>
    <w:rsid w:val="003925E4"/>
    <w:rsid w:val="00394279"/>
    <w:rsid w:val="003A7B8A"/>
    <w:rsid w:val="003B3539"/>
    <w:rsid w:val="003B3BF1"/>
    <w:rsid w:val="003C50A9"/>
    <w:rsid w:val="003D63F3"/>
    <w:rsid w:val="003E14D2"/>
    <w:rsid w:val="003E200C"/>
    <w:rsid w:val="003E44F6"/>
    <w:rsid w:val="003F0D6C"/>
    <w:rsid w:val="003F5EC8"/>
    <w:rsid w:val="003F60D7"/>
    <w:rsid w:val="00402820"/>
    <w:rsid w:val="00403028"/>
    <w:rsid w:val="00415819"/>
    <w:rsid w:val="00421673"/>
    <w:rsid w:val="004255C5"/>
    <w:rsid w:val="00427DF1"/>
    <w:rsid w:val="00446BB5"/>
    <w:rsid w:val="00457ADA"/>
    <w:rsid w:val="004613CD"/>
    <w:rsid w:val="00462836"/>
    <w:rsid w:val="00466E14"/>
    <w:rsid w:val="004749BA"/>
    <w:rsid w:val="00474B64"/>
    <w:rsid w:val="00483453"/>
    <w:rsid w:val="00485529"/>
    <w:rsid w:val="00495EFD"/>
    <w:rsid w:val="004A4849"/>
    <w:rsid w:val="004B0AD0"/>
    <w:rsid w:val="004B6148"/>
    <w:rsid w:val="004B6C64"/>
    <w:rsid w:val="004C1632"/>
    <w:rsid w:val="004C2BF2"/>
    <w:rsid w:val="004D0C73"/>
    <w:rsid w:val="004E5F9B"/>
    <w:rsid w:val="004E668E"/>
    <w:rsid w:val="004E6E05"/>
    <w:rsid w:val="004F5228"/>
    <w:rsid w:val="004F5723"/>
    <w:rsid w:val="005014F6"/>
    <w:rsid w:val="005015E7"/>
    <w:rsid w:val="0050692B"/>
    <w:rsid w:val="00507417"/>
    <w:rsid w:val="005226EF"/>
    <w:rsid w:val="0052514E"/>
    <w:rsid w:val="00527F6E"/>
    <w:rsid w:val="005340FF"/>
    <w:rsid w:val="0053635E"/>
    <w:rsid w:val="00545CF7"/>
    <w:rsid w:val="00552330"/>
    <w:rsid w:val="00555953"/>
    <w:rsid w:val="00562C5F"/>
    <w:rsid w:val="00565087"/>
    <w:rsid w:val="00570289"/>
    <w:rsid w:val="00575476"/>
    <w:rsid w:val="00583013"/>
    <w:rsid w:val="00584A21"/>
    <w:rsid w:val="00590E6B"/>
    <w:rsid w:val="005A7886"/>
    <w:rsid w:val="005B2F09"/>
    <w:rsid w:val="005B4099"/>
    <w:rsid w:val="005B4DF1"/>
    <w:rsid w:val="005C3C71"/>
    <w:rsid w:val="005C4375"/>
    <w:rsid w:val="005D0C0A"/>
    <w:rsid w:val="005E3F71"/>
    <w:rsid w:val="005E543E"/>
    <w:rsid w:val="005E6B9A"/>
    <w:rsid w:val="005E7788"/>
    <w:rsid w:val="005F0F9F"/>
    <w:rsid w:val="005F126D"/>
    <w:rsid w:val="00600115"/>
    <w:rsid w:val="006029DD"/>
    <w:rsid w:val="00603B07"/>
    <w:rsid w:val="00604D26"/>
    <w:rsid w:val="00611CDF"/>
    <w:rsid w:val="006130EC"/>
    <w:rsid w:val="00615E03"/>
    <w:rsid w:val="00621C3B"/>
    <w:rsid w:val="00623231"/>
    <w:rsid w:val="00623670"/>
    <w:rsid w:val="006341E5"/>
    <w:rsid w:val="0063734C"/>
    <w:rsid w:val="00646DAA"/>
    <w:rsid w:val="00664FB5"/>
    <w:rsid w:val="00665A34"/>
    <w:rsid w:val="00673FDA"/>
    <w:rsid w:val="00681904"/>
    <w:rsid w:val="00683306"/>
    <w:rsid w:val="00686495"/>
    <w:rsid w:val="00692C75"/>
    <w:rsid w:val="00697FBF"/>
    <w:rsid w:val="006A2C69"/>
    <w:rsid w:val="006A5381"/>
    <w:rsid w:val="006B0702"/>
    <w:rsid w:val="006B2CC1"/>
    <w:rsid w:val="006C54DB"/>
    <w:rsid w:val="006D2BEF"/>
    <w:rsid w:val="006D5AFF"/>
    <w:rsid w:val="006D5E9D"/>
    <w:rsid w:val="006E15C0"/>
    <w:rsid w:val="006E3AEF"/>
    <w:rsid w:val="006E53F9"/>
    <w:rsid w:val="007000CA"/>
    <w:rsid w:val="00700684"/>
    <w:rsid w:val="00704233"/>
    <w:rsid w:val="00706B1B"/>
    <w:rsid w:val="0070736B"/>
    <w:rsid w:val="007146A3"/>
    <w:rsid w:val="0072198C"/>
    <w:rsid w:val="00721B2D"/>
    <w:rsid w:val="00734DF2"/>
    <w:rsid w:val="00734E67"/>
    <w:rsid w:val="0073722F"/>
    <w:rsid w:val="00740152"/>
    <w:rsid w:val="0074305B"/>
    <w:rsid w:val="007430B1"/>
    <w:rsid w:val="00747921"/>
    <w:rsid w:val="00750A36"/>
    <w:rsid w:val="00757D7F"/>
    <w:rsid w:val="00761C53"/>
    <w:rsid w:val="00770A0A"/>
    <w:rsid w:val="007721E8"/>
    <w:rsid w:val="00776BC1"/>
    <w:rsid w:val="0078649E"/>
    <w:rsid w:val="0079065D"/>
    <w:rsid w:val="007A4D5F"/>
    <w:rsid w:val="007A5795"/>
    <w:rsid w:val="007A5C78"/>
    <w:rsid w:val="007A6551"/>
    <w:rsid w:val="007B0004"/>
    <w:rsid w:val="007B0BEF"/>
    <w:rsid w:val="007D5C20"/>
    <w:rsid w:val="007D69C5"/>
    <w:rsid w:val="007F54B8"/>
    <w:rsid w:val="007F6AE3"/>
    <w:rsid w:val="00814BB4"/>
    <w:rsid w:val="008155E8"/>
    <w:rsid w:val="008177F2"/>
    <w:rsid w:val="0082161A"/>
    <w:rsid w:val="0084290B"/>
    <w:rsid w:val="00842CB8"/>
    <w:rsid w:val="00843070"/>
    <w:rsid w:val="008467B7"/>
    <w:rsid w:val="008564B2"/>
    <w:rsid w:val="00861DB6"/>
    <w:rsid w:val="00866C3A"/>
    <w:rsid w:val="00876396"/>
    <w:rsid w:val="008824AE"/>
    <w:rsid w:val="0088750B"/>
    <w:rsid w:val="008916C0"/>
    <w:rsid w:val="008A2A8E"/>
    <w:rsid w:val="008A6BE7"/>
    <w:rsid w:val="008B1441"/>
    <w:rsid w:val="008B6AF4"/>
    <w:rsid w:val="008D54D8"/>
    <w:rsid w:val="008D6722"/>
    <w:rsid w:val="008E3D28"/>
    <w:rsid w:val="008E6D79"/>
    <w:rsid w:val="008F77D2"/>
    <w:rsid w:val="0090574B"/>
    <w:rsid w:val="00922E46"/>
    <w:rsid w:val="00927FAB"/>
    <w:rsid w:val="009362CF"/>
    <w:rsid w:val="00940276"/>
    <w:rsid w:val="00950307"/>
    <w:rsid w:val="00953BFD"/>
    <w:rsid w:val="00956118"/>
    <w:rsid w:val="0095654F"/>
    <w:rsid w:val="0096030A"/>
    <w:rsid w:val="009652F4"/>
    <w:rsid w:val="00971979"/>
    <w:rsid w:val="00974001"/>
    <w:rsid w:val="00984B34"/>
    <w:rsid w:val="00991333"/>
    <w:rsid w:val="0099259D"/>
    <w:rsid w:val="009C00C0"/>
    <w:rsid w:val="009C37E9"/>
    <w:rsid w:val="009C3E4B"/>
    <w:rsid w:val="009C56B8"/>
    <w:rsid w:val="009E3977"/>
    <w:rsid w:val="009F2DD2"/>
    <w:rsid w:val="00A1237F"/>
    <w:rsid w:val="00A2154A"/>
    <w:rsid w:val="00A254DE"/>
    <w:rsid w:val="00A31421"/>
    <w:rsid w:val="00A31F97"/>
    <w:rsid w:val="00A32222"/>
    <w:rsid w:val="00A32FC2"/>
    <w:rsid w:val="00A339F7"/>
    <w:rsid w:val="00A35C48"/>
    <w:rsid w:val="00A41600"/>
    <w:rsid w:val="00A44F0C"/>
    <w:rsid w:val="00A45FF9"/>
    <w:rsid w:val="00A53549"/>
    <w:rsid w:val="00A54BE7"/>
    <w:rsid w:val="00A569BA"/>
    <w:rsid w:val="00A718A8"/>
    <w:rsid w:val="00A73ED6"/>
    <w:rsid w:val="00A74039"/>
    <w:rsid w:val="00A74364"/>
    <w:rsid w:val="00A83CE2"/>
    <w:rsid w:val="00A9398A"/>
    <w:rsid w:val="00AA49E8"/>
    <w:rsid w:val="00AA4F85"/>
    <w:rsid w:val="00AB77F9"/>
    <w:rsid w:val="00AB7CCC"/>
    <w:rsid w:val="00AD15DB"/>
    <w:rsid w:val="00AE07C7"/>
    <w:rsid w:val="00AE3549"/>
    <w:rsid w:val="00AE4956"/>
    <w:rsid w:val="00AF2D0D"/>
    <w:rsid w:val="00B02E5E"/>
    <w:rsid w:val="00B05104"/>
    <w:rsid w:val="00B109DC"/>
    <w:rsid w:val="00B13055"/>
    <w:rsid w:val="00B14689"/>
    <w:rsid w:val="00B14CE1"/>
    <w:rsid w:val="00B16DCA"/>
    <w:rsid w:val="00B3767F"/>
    <w:rsid w:val="00B53EC3"/>
    <w:rsid w:val="00B63B88"/>
    <w:rsid w:val="00B63F07"/>
    <w:rsid w:val="00B647E0"/>
    <w:rsid w:val="00B65A36"/>
    <w:rsid w:val="00B703EA"/>
    <w:rsid w:val="00B72C68"/>
    <w:rsid w:val="00B75CC7"/>
    <w:rsid w:val="00B77332"/>
    <w:rsid w:val="00B81F1C"/>
    <w:rsid w:val="00B844AC"/>
    <w:rsid w:val="00B85E57"/>
    <w:rsid w:val="00B94ADC"/>
    <w:rsid w:val="00BA2656"/>
    <w:rsid w:val="00BA6892"/>
    <w:rsid w:val="00BB74B8"/>
    <w:rsid w:val="00BB792A"/>
    <w:rsid w:val="00BC0B4B"/>
    <w:rsid w:val="00BC2A82"/>
    <w:rsid w:val="00BC47E7"/>
    <w:rsid w:val="00BD1877"/>
    <w:rsid w:val="00BD410D"/>
    <w:rsid w:val="00BD4BB5"/>
    <w:rsid w:val="00BD6527"/>
    <w:rsid w:val="00BE09BE"/>
    <w:rsid w:val="00BE1404"/>
    <w:rsid w:val="00BE2947"/>
    <w:rsid w:val="00BF35A0"/>
    <w:rsid w:val="00BF729C"/>
    <w:rsid w:val="00C04A86"/>
    <w:rsid w:val="00C058A5"/>
    <w:rsid w:val="00C079BE"/>
    <w:rsid w:val="00C1128A"/>
    <w:rsid w:val="00C175E4"/>
    <w:rsid w:val="00C20048"/>
    <w:rsid w:val="00C25890"/>
    <w:rsid w:val="00C334F8"/>
    <w:rsid w:val="00C34EE9"/>
    <w:rsid w:val="00C40150"/>
    <w:rsid w:val="00C42860"/>
    <w:rsid w:val="00C42EAC"/>
    <w:rsid w:val="00C46FEA"/>
    <w:rsid w:val="00C70291"/>
    <w:rsid w:val="00C87B29"/>
    <w:rsid w:val="00C87E12"/>
    <w:rsid w:val="00CA5E83"/>
    <w:rsid w:val="00CA7832"/>
    <w:rsid w:val="00CB5B08"/>
    <w:rsid w:val="00CC296A"/>
    <w:rsid w:val="00CC7850"/>
    <w:rsid w:val="00CD3259"/>
    <w:rsid w:val="00CE2F0D"/>
    <w:rsid w:val="00CE3368"/>
    <w:rsid w:val="00CE4D72"/>
    <w:rsid w:val="00CF2F0D"/>
    <w:rsid w:val="00CF43D2"/>
    <w:rsid w:val="00CF5032"/>
    <w:rsid w:val="00D06A46"/>
    <w:rsid w:val="00D16091"/>
    <w:rsid w:val="00D16D6E"/>
    <w:rsid w:val="00D173ED"/>
    <w:rsid w:val="00D2017D"/>
    <w:rsid w:val="00D20FE3"/>
    <w:rsid w:val="00D228FC"/>
    <w:rsid w:val="00D26C9C"/>
    <w:rsid w:val="00D34B19"/>
    <w:rsid w:val="00D36D44"/>
    <w:rsid w:val="00D45DE7"/>
    <w:rsid w:val="00D47B9F"/>
    <w:rsid w:val="00D5163D"/>
    <w:rsid w:val="00D60CC1"/>
    <w:rsid w:val="00D646C9"/>
    <w:rsid w:val="00D745D4"/>
    <w:rsid w:val="00D805CB"/>
    <w:rsid w:val="00D83AD4"/>
    <w:rsid w:val="00D84748"/>
    <w:rsid w:val="00D86159"/>
    <w:rsid w:val="00D87556"/>
    <w:rsid w:val="00D9663E"/>
    <w:rsid w:val="00DA076F"/>
    <w:rsid w:val="00DA1B5D"/>
    <w:rsid w:val="00DA4EAC"/>
    <w:rsid w:val="00DA5BBE"/>
    <w:rsid w:val="00DB3DC4"/>
    <w:rsid w:val="00DC531E"/>
    <w:rsid w:val="00DD6F8E"/>
    <w:rsid w:val="00DE1362"/>
    <w:rsid w:val="00E149EA"/>
    <w:rsid w:val="00E16FF9"/>
    <w:rsid w:val="00E66F5E"/>
    <w:rsid w:val="00E67F25"/>
    <w:rsid w:val="00E741A6"/>
    <w:rsid w:val="00E80007"/>
    <w:rsid w:val="00E875B1"/>
    <w:rsid w:val="00E93EF4"/>
    <w:rsid w:val="00E96071"/>
    <w:rsid w:val="00EA2251"/>
    <w:rsid w:val="00EA3D2E"/>
    <w:rsid w:val="00EA567A"/>
    <w:rsid w:val="00EA7FF9"/>
    <w:rsid w:val="00EB156B"/>
    <w:rsid w:val="00EC1EDC"/>
    <w:rsid w:val="00EC23D3"/>
    <w:rsid w:val="00EC3522"/>
    <w:rsid w:val="00ED025E"/>
    <w:rsid w:val="00ED48DB"/>
    <w:rsid w:val="00ED659E"/>
    <w:rsid w:val="00EE021D"/>
    <w:rsid w:val="00EE2632"/>
    <w:rsid w:val="00EE3D3C"/>
    <w:rsid w:val="00EE689B"/>
    <w:rsid w:val="00EF1760"/>
    <w:rsid w:val="00EF4B54"/>
    <w:rsid w:val="00F05CBB"/>
    <w:rsid w:val="00F07B86"/>
    <w:rsid w:val="00F12C25"/>
    <w:rsid w:val="00F12DA7"/>
    <w:rsid w:val="00F202A7"/>
    <w:rsid w:val="00F2036F"/>
    <w:rsid w:val="00F25E78"/>
    <w:rsid w:val="00F30B01"/>
    <w:rsid w:val="00F42182"/>
    <w:rsid w:val="00F533C4"/>
    <w:rsid w:val="00F56141"/>
    <w:rsid w:val="00F628F7"/>
    <w:rsid w:val="00F705E9"/>
    <w:rsid w:val="00F70A19"/>
    <w:rsid w:val="00F73308"/>
    <w:rsid w:val="00F7435F"/>
    <w:rsid w:val="00FA36C4"/>
    <w:rsid w:val="00FA3D29"/>
    <w:rsid w:val="00FB148A"/>
    <w:rsid w:val="00FB208F"/>
    <w:rsid w:val="00FB3716"/>
    <w:rsid w:val="00FB3E4B"/>
    <w:rsid w:val="00FB790B"/>
    <w:rsid w:val="00FD1ED1"/>
    <w:rsid w:val="00FD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E15"/>
  <w15:chartTrackingRefBased/>
  <w15:docId w15:val="{58333384-59D5-4CD7-B560-A63342CF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B74B8"/>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45D"/>
    <w:pPr>
      <w:tabs>
        <w:tab w:val="center" w:pos="4680"/>
        <w:tab w:val="right" w:pos="9360"/>
      </w:tabs>
    </w:pPr>
  </w:style>
  <w:style w:type="character" w:customStyle="1" w:styleId="HeaderChar">
    <w:name w:val="Header Char"/>
    <w:basedOn w:val="DefaultParagraphFont"/>
    <w:link w:val="Header"/>
    <w:uiPriority w:val="99"/>
    <w:rsid w:val="0031645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1645D"/>
    <w:pPr>
      <w:tabs>
        <w:tab w:val="center" w:pos="4680"/>
        <w:tab w:val="right" w:pos="9360"/>
      </w:tabs>
    </w:pPr>
  </w:style>
  <w:style w:type="character" w:customStyle="1" w:styleId="FooterChar">
    <w:name w:val="Footer Char"/>
    <w:basedOn w:val="DefaultParagraphFont"/>
    <w:link w:val="Footer"/>
    <w:uiPriority w:val="99"/>
    <w:rsid w:val="0031645D"/>
    <w:rPr>
      <w:rFonts w:ascii="Times New Roman" w:eastAsia="Times New Roman" w:hAnsi="Times New Roman" w:cs="Times New Roman"/>
      <w:sz w:val="20"/>
      <w:szCs w:val="24"/>
    </w:rPr>
  </w:style>
  <w:style w:type="paragraph" w:styleId="ListParagraph">
    <w:name w:val="List Paragraph"/>
    <w:basedOn w:val="Normal"/>
    <w:uiPriority w:val="34"/>
    <w:qFormat/>
    <w:rsid w:val="0031645D"/>
    <w:pPr>
      <w:ind w:left="720"/>
      <w:contextualSpacing/>
    </w:pPr>
  </w:style>
  <w:style w:type="paragraph" w:styleId="BalloonText">
    <w:name w:val="Balloon Text"/>
    <w:basedOn w:val="Normal"/>
    <w:link w:val="BalloonTextChar"/>
    <w:uiPriority w:val="99"/>
    <w:semiHidden/>
    <w:unhideWhenUsed/>
    <w:rsid w:val="00F07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1D52"/>
    <w:rPr>
      <w:sz w:val="16"/>
      <w:szCs w:val="16"/>
    </w:rPr>
  </w:style>
  <w:style w:type="paragraph" w:styleId="CommentText">
    <w:name w:val="annotation text"/>
    <w:basedOn w:val="Normal"/>
    <w:link w:val="CommentTextChar"/>
    <w:uiPriority w:val="99"/>
    <w:semiHidden/>
    <w:unhideWhenUsed/>
    <w:rsid w:val="00231D52"/>
    <w:rPr>
      <w:szCs w:val="20"/>
    </w:rPr>
  </w:style>
  <w:style w:type="character" w:customStyle="1" w:styleId="CommentTextChar">
    <w:name w:val="Comment Text Char"/>
    <w:basedOn w:val="DefaultParagraphFont"/>
    <w:link w:val="CommentText"/>
    <w:uiPriority w:val="99"/>
    <w:semiHidden/>
    <w:rsid w:val="00231D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D52"/>
    <w:rPr>
      <w:b/>
      <w:bCs/>
    </w:rPr>
  </w:style>
  <w:style w:type="character" w:customStyle="1" w:styleId="CommentSubjectChar">
    <w:name w:val="Comment Subject Char"/>
    <w:basedOn w:val="CommentTextChar"/>
    <w:link w:val="CommentSubject"/>
    <w:uiPriority w:val="99"/>
    <w:semiHidden/>
    <w:rsid w:val="00231D5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084406"/>
    <w:rPr>
      <w:szCs w:val="20"/>
    </w:rPr>
  </w:style>
  <w:style w:type="character" w:customStyle="1" w:styleId="EndnoteTextChar">
    <w:name w:val="Endnote Text Char"/>
    <w:basedOn w:val="DefaultParagraphFont"/>
    <w:link w:val="EndnoteText"/>
    <w:uiPriority w:val="99"/>
    <w:semiHidden/>
    <w:rsid w:val="000844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84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4625">
      <w:bodyDiv w:val="1"/>
      <w:marLeft w:val="0"/>
      <w:marRight w:val="0"/>
      <w:marTop w:val="0"/>
      <w:marBottom w:val="0"/>
      <w:divBdr>
        <w:top w:val="none" w:sz="0" w:space="0" w:color="auto"/>
        <w:left w:val="none" w:sz="0" w:space="0" w:color="auto"/>
        <w:bottom w:val="none" w:sz="0" w:space="0" w:color="auto"/>
        <w:right w:val="none" w:sz="0" w:space="0" w:color="auto"/>
      </w:divBdr>
      <w:divsChild>
        <w:div w:id="1289358604">
          <w:marLeft w:val="0"/>
          <w:marRight w:val="0"/>
          <w:marTop w:val="0"/>
          <w:marBottom w:val="0"/>
          <w:divBdr>
            <w:top w:val="none" w:sz="0" w:space="0" w:color="auto"/>
            <w:left w:val="none" w:sz="0" w:space="0" w:color="auto"/>
            <w:bottom w:val="none" w:sz="0" w:space="0" w:color="auto"/>
            <w:right w:val="none" w:sz="0" w:space="0" w:color="auto"/>
          </w:divBdr>
          <w:divsChild>
            <w:div w:id="939873581">
              <w:marLeft w:val="0"/>
              <w:marRight w:val="0"/>
              <w:marTop w:val="0"/>
              <w:marBottom w:val="0"/>
              <w:divBdr>
                <w:top w:val="none" w:sz="0" w:space="0" w:color="auto"/>
                <w:left w:val="none" w:sz="0" w:space="0" w:color="auto"/>
                <w:bottom w:val="none" w:sz="0" w:space="0" w:color="auto"/>
                <w:right w:val="none" w:sz="0" w:space="0" w:color="auto"/>
              </w:divBdr>
              <w:divsChild>
                <w:div w:id="997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9887">
      <w:bodyDiv w:val="1"/>
      <w:marLeft w:val="0"/>
      <w:marRight w:val="0"/>
      <w:marTop w:val="0"/>
      <w:marBottom w:val="0"/>
      <w:divBdr>
        <w:top w:val="none" w:sz="0" w:space="0" w:color="auto"/>
        <w:left w:val="none" w:sz="0" w:space="0" w:color="auto"/>
        <w:bottom w:val="none" w:sz="0" w:space="0" w:color="auto"/>
        <w:right w:val="none" w:sz="0" w:space="0" w:color="auto"/>
      </w:divBdr>
      <w:divsChild>
        <w:div w:id="1306472712">
          <w:marLeft w:val="0"/>
          <w:marRight w:val="0"/>
          <w:marTop w:val="0"/>
          <w:marBottom w:val="0"/>
          <w:divBdr>
            <w:top w:val="none" w:sz="0" w:space="0" w:color="auto"/>
            <w:left w:val="none" w:sz="0" w:space="0" w:color="auto"/>
            <w:bottom w:val="none" w:sz="0" w:space="0" w:color="auto"/>
            <w:right w:val="none" w:sz="0" w:space="0" w:color="auto"/>
          </w:divBdr>
          <w:divsChild>
            <w:div w:id="1618029576">
              <w:marLeft w:val="0"/>
              <w:marRight w:val="0"/>
              <w:marTop w:val="0"/>
              <w:marBottom w:val="0"/>
              <w:divBdr>
                <w:top w:val="none" w:sz="0" w:space="0" w:color="auto"/>
                <w:left w:val="none" w:sz="0" w:space="0" w:color="auto"/>
                <w:bottom w:val="none" w:sz="0" w:space="0" w:color="auto"/>
                <w:right w:val="none" w:sz="0" w:space="0" w:color="auto"/>
              </w:divBdr>
              <w:divsChild>
                <w:div w:id="21164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0638">
      <w:bodyDiv w:val="1"/>
      <w:marLeft w:val="0"/>
      <w:marRight w:val="0"/>
      <w:marTop w:val="0"/>
      <w:marBottom w:val="0"/>
      <w:divBdr>
        <w:top w:val="none" w:sz="0" w:space="0" w:color="auto"/>
        <w:left w:val="none" w:sz="0" w:space="0" w:color="auto"/>
        <w:bottom w:val="none" w:sz="0" w:space="0" w:color="auto"/>
        <w:right w:val="none" w:sz="0" w:space="0" w:color="auto"/>
      </w:divBdr>
      <w:divsChild>
        <w:div w:id="849879825">
          <w:marLeft w:val="0"/>
          <w:marRight w:val="0"/>
          <w:marTop w:val="0"/>
          <w:marBottom w:val="0"/>
          <w:divBdr>
            <w:top w:val="none" w:sz="0" w:space="0" w:color="auto"/>
            <w:left w:val="none" w:sz="0" w:space="0" w:color="auto"/>
            <w:bottom w:val="none" w:sz="0" w:space="0" w:color="auto"/>
            <w:right w:val="none" w:sz="0" w:space="0" w:color="auto"/>
          </w:divBdr>
          <w:divsChild>
            <w:div w:id="1931425810">
              <w:marLeft w:val="0"/>
              <w:marRight w:val="0"/>
              <w:marTop w:val="0"/>
              <w:marBottom w:val="0"/>
              <w:divBdr>
                <w:top w:val="none" w:sz="0" w:space="0" w:color="auto"/>
                <w:left w:val="none" w:sz="0" w:space="0" w:color="auto"/>
                <w:bottom w:val="none" w:sz="0" w:space="0" w:color="auto"/>
                <w:right w:val="none" w:sz="0" w:space="0" w:color="auto"/>
              </w:divBdr>
              <w:divsChild>
                <w:div w:id="36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4FFE-8FDB-4C03-8F6D-EC8CBCAB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89</cp:revision>
  <cp:lastPrinted>2022-11-17T15:32:00Z</cp:lastPrinted>
  <dcterms:created xsi:type="dcterms:W3CDTF">2022-07-23T01:37:00Z</dcterms:created>
  <dcterms:modified xsi:type="dcterms:W3CDTF">2022-11-22T03:14:00Z</dcterms:modified>
</cp:coreProperties>
</file>