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D950" w14:textId="5D93392A" w:rsidR="0097068D" w:rsidRPr="00E1560A" w:rsidRDefault="0097068D" w:rsidP="00E1560A">
      <w:pPr>
        <w:kinsoku w:val="0"/>
        <w:overflowPunct w:val="0"/>
        <w:autoSpaceDE/>
        <w:autoSpaceDN/>
        <w:adjustRightInd/>
        <w:textAlignment w:val="baseline"/>
        <w:rPr>
          <w:b/>
          <w:sz w:val="28"/>
          <w:szCs w:val="28"/>
        </w:rPr>
      </w:pPr>
      <w:r w:rsidRPr="00E1560A">
        <w:rPr>
          <w:b/>
          <w:sz w:val="28"/>
          <w:szCs w:val="28"/>
        </w:rPr>
        <w:t>4</w:t>
      </w:r>
      <w:r w:rsidR="00D47C53" w:rsidRPr="00E1560A">
        <w:rPr>
          <w:b/>
          <w:sz w:val="28"/>
          <w:szCs w:val="28"/>
        </w:rPr>
        <w:t>.</w:t>
      </w:r>
      <w:r w:rsidRPr="00E1560A">
        <w:rPr>
          <w:b/>
          <w:sz w:val="28"/>
          <w:szCs w:val="28"/>
        </w:rPr>
        <w:t>2</w:t>
      </w:r>
      <w:r w:rsidR="00EE22C6">
        <w:rPr>
          <w:b/>
          <w:sz w:val="28"/>
          <w:szCs w:val="28"/>
        </w:rPr>
        <w:t>6</w:t>
      </w:r>
      <w:r w:rsidR="00C90F81">
        <w:rPr>
          <w:b/>
          <w:sz w:val="28"/>
          <w:szCs w:val="28"/>
        </w:rPr>
        <w:t>.</w:t>
      </w:r>
      <w:r w:rsidRPr="00E1560A">
        <w:rPr>
          <w:b/>
          <w:sz w:val="28"/>
          <w:szCs w:val="28"/>
        </w:rPr>
        <w:t xml:space="preserve"> Culpability of a </w:t>
      </w:r>
      <w:r w:rsidR="00044A12">
        <w:rPr>
          <w:b/>
          <w:sz w:val="28"/>
          <w:szCs w:val="28"/>
        </w:rPr>
        <w:t>T</w:t>
      </w:r>
      <w:r w:rsidRPr="00E1560A">
        <w:rPr>
          <w:b/>
          <w:sz w:val="28"/>
          <w:szCs w:val="28"/>
        </w:rPr>
        <w:t xml:space="preserve">hird </w:t>
      </w:r>
      <w:r w:rsidR="00044A12">
        <w:rPr>
          <w:b/>
          <w:sz w:val="28"/>
          <w:szCs w:val="28"/>
        </w:rPr>
        <w:t>P</w:t>
      </w:r>
      <w:r w:rsidRPr="00E1560A">
        <w:rPr>
          <w:b/>
          <w:sz w:val="28"/>
          <w:szCs w:val="28"/>
        </w:rPr>
        <w:t>arty</w:t>
      </w:r>
    </w:p>
    <w:p w14:paraId="34671E9D" w14:textId="77777777" w:rsidR="00E1560A" w:rsidRPr="00E1560A" w:rsidRDefault="00E1560A" w:rsidP="00E1560A">
      <w:pPr>
        <w:kinsoku w:val="0"/>
        <w:overflowPunct w:val="0"/>
        <w:autoSpaceDE/>
        <w:autoSpaceDN/>
        <w:adjustRightInd/>
        <w:textAlignment w:val="baseline"/>
        <w:rPr>
          <w:b/>
          <w:sz w:val="28"/>
          <w:szCs w:val="28"/>
        </w:rPr>
      </w:pPr>
    </w:p>
    <w:p w14:paraId="49B29DBD" w14:textId="06152D4D" w:rsidR="0097068D" w:rsidRPr="00E1560A" w:rsidRDefault="00E1560A" w:rsidP="00E1560A">
      <w:pPr>
        <w:kinsoku w:val="0"/>
        <w:overflowPunct w:val="0"/>
        <w:autoSpaceDE/>
        <w:autoSpaceDN/>
        <w:adjustRightInd/>
        <w:ind w:left="720" w:right="720"/>
        <w:jc w:val="both"/>
        <w:textAlignment w:val="baseline"/>
        <w:rPr>
          <w:b/>
          <w:spacing w:val="-4"/>
          <w:sz w:val="28"/>
          <w:szCs w:val="28"/>
        </w:rPr>
      </w:pPr>
      <w:r w:rsidRPr="00E1560A">
        <w:rPr>
          <w:b/>
          <w:spacing w:val="-4"/>
          <w:sz w:val="28"/>
          <w:szCs w:val="28"/>
        </w:rPr>
        <w:t xml:space="preserve">(1) </w:t>
      </w:r>
      <w:r w:rsidR="00545110" w:rsidRPr="00E1560A">
        <w:rPr>
          <w:b/>
          <w:spacing w:val="-4"/>
          <w:sz w:val="28"/>
          <w:szCs w:val="28"/>
        </w:rPr>
        <w:t>E</w:t>
      </w:r>
      <w:r w:rsidR="0097068D" w:rsidRPr="00E1560A">
        <w:rPr>
          <w:b/>
          <w:spacing w:val="-4"/>
          <w:sz w:val="28"/>
          <w:szCs w:val="28"/>
        </w:rPr>
        <w:t>vidence of the culpability of a person other than the defendant for the offense for which the defendant is charged</w:t>
      </w:r>
      <w:r w:rsidR="00545110" w:rsidRPr="00E1560A">
        <w:rPr>
          <w:b/>
          <w:spacing w:val="-4"/>
          <w:sz w:val="28"/>
          <w:szCs w:val="28"/>
        </w:rPr>
        <w:t xml:space="preserve"> is admissible</w:t>
      </w:r>
      <w:r w:rsidR="0097068D" w:rsidRPr="00E1560A">
        <w:rPr>
          <w:b/>
          <w:spacing w:val="-4"/>
          <w:sz w:val="28"/>
          <w:szCs w:val="28"/>
        </w:rPr>
        <w:t xml:space="preserve"> when the probative value of the proffered evidence outweighs any countervailing risks of delay, prejudice, and confusion and is not so remote and speculative that it does not sufficiently connect the third party to the offense.</w:t>
      </w:r>
    </w:p>
    <w:p w14:paraId="757791A6" w14:textId="77777777" w:rsidR="00E1560A" w:rsidRPr="00E1560A" w:rsidRDefault="00E1560A" w:rsidP="00E1560A">
      <w:pPr>
        <w:kinsoku w:val="0"/>
        <w:overflowPunct w:val="0"/>
        <w:autoSpaceDE/>
        <w:autoSpaceDN/>
        <w:adjustRightInd/>
        <w:ind w:right="720"/>
        <w:jc w:val="both"/>
        <w:textAlignment w:val="baseline"/>
        <w:rPr>
          <w:b/>
          <w:spacing w:val="-4"/>
          <w:sz w:val="28"/>
          <w:szCs w:val="28"/>
        </w:rPr>
      </w:pPr>
    </w:p>
    <w:p w14:paraId="7663E2E8" w14:textId="4E27FDA8" w:rsidR="0097068D" w:rsidRPr="00E1560A" w:rsidRDefault="00E1560A" w:rsidP="00E1560A">
      <w:pPr>
        <w:kinsoku w:val="0"/>
        <w:overflowPunct w:val="0"/>
        <w:autoSpaceDE/>
        <w:autoSpaceDN/>
        <w:adjustRightInd/>
        <w:ind w:left="720" w:right="720"/>
        <w:jc w:val="both"/>
        <w:textAlignment w:val="baseline"/>
        <w:rPr>
          <w:b/>
          <w:spacing w:val="-3"/>
          <w:sz w:val="28"/>
          <w:szCs w:val="28"/>
        </w:rPr>
      </w:pPr>
      <w:r w:rsidRPr="00E1560A">
        <w:rPr>
          <w:b/>
          <w:spacing w:val="-3"/>
          <w:sz w:val="28"/>
          <w:szCs w:val="28"/>
        </w:rPr>
        <w:t xml:space="preserve">(2) </w:t>
      </w:r>
      <w:r w:rsidR="0097068D" w:rsidRPr="00E1560A">
        <w:rPr>
          <w:b/>
          <w:spacing w:val="-3"/>
          <w:sz w:val="28"/>
          <w:szCs w:val="28"/>
        </w:rPr>
        <w:t>A defense application to present third</w:t>
      </w:r>
      <w:r w:rsidR="00B37092" w:rsidRPr="00E1560A">
        <w:rPr>
          <w:b/>
          <w:spacing w:val="-3"/>
          <w:sz w:val="28"/>
          <w:szCs w:val="28"/>
        </w:rPr>
        <w:t>-</w:t>
      </w:r>
      <w:r w:rsidR="0097068D" w:rsidRPr="00E1560A">
        <w:rPr>
          <w:b/>
          <w:spacing w:val="-3"/>
          <w:sz w:val="28"/>
          <w:szCs w:val="28"/>
        </w:rPr>
        <w:t>party culpability evidence should be made, in the court’s discretion, in writing or orally, at the earliest reasonable opportunity and must include an offer of proof in support of the application and</w:t>
      </w:r>
      <w:r w:rsidR="00C20475" w:rsidRPr="00E1560A">
        <w:rPr>
          <w:b/>
          <w:spacing w:val="-3"/>
          <w:sz w:val="28"/>
          <w:szCs w:val="28"/>
        </w:rPr>
        <w:t>,</w:t>
      </w:r>
      <w:r w:rsidR="0097068D" w:rsidRPr="00E1560A">
        <w:rPr>
          <w:b/>
          <w:spacing w:val="-3"/>
          <w:sz w:val="28"/>
          <w:szCs w:val="28"/>
        </w:rPr>
        <w:t xml:space="preserve"> in particular, explain what evidence </w:t>
      </w:r>
      <w:r w:rsidR="00713051" w:rsidRPr="00E1560A">
        <w:rPr>
          <w:b/>
          <w:spacing w:val="-3"/>
          <w:sz w:val="28"/>
          <w:szCs w:val="28"/>
        </w:rPr>
        <w:t xml:space="preserve">the defense </w:t>
      </w:r>
      <w:r w:rsidR="0097068D" w:rsidRPr="00E1560A">
        <w:rPr>
          <w:b/>
          <w:spacing w:val="-3"/>
          <w:sz w:val="28"/>
          <w:szCs w:val="28"/>
        </w:rPr>
        <w:t>would introduce to implicate a third party’s culpability</w:t>
      </w:r>
      <w:r w:rsidR="001D5000" w:rsidRPr="00E1560A">
        <w:rPr>
          <w:b/>
          <w:spacing w:val="-3"/>
          <w:sz w:val="28"/>
          <w:szCs w:val="28"/>
        </w:rPr>
        <w:t xml:space="preserve"> </w:t>
      </w:r>
      <w:r w:rsidR="006723BC" w:rsidRPr="00E1560A">
        <w:rPr>
          <w:b/>
          <w:spacing w:val="-3"/>
          <w:sz w:val="28"/>
          <w:szCs w:val="28"/>
        </w:rPr>
        <w:t xml:space="preserve">for </w:t>
      </w:r>
      <w:r w:rsidR="00412CAB" w:rsidRPr="00E1560A">
        <w:rPr>
          <w:b/>
          <w:spacing w:val="-3"/>
          <w:sz w:val="28"/>
          <w:szCs w:val="28"/>
        </w:rPr>
        <w:t>the</w:t>
      </w:r>
      <w:r w:rsidR="006723BC" w:rsidRPr="00E1560A">
        <w:rPr>
          <w:b/>
          <w:spacing w:val="-3"/>
          <w:sz w:val="28"/>
          <w:szCs w:val="28"/>
        </w:rPr>
        <w:t xml:space="preserve"> offense</w:t>
      </w:r>
      <w:r w:rsidR="0097068D" w:rsidRPr="00E1560A">
        <w:rPr>
          <w:b/>
          <w:spacing w:val="-3"/>
          <w:sz w:val="28"/>
          <w:szCs w:val="28"/>
        </w:rPr>
        <w:t xml:space="preserve">. The People must then have an opportunity to be heard. The court may then conduct any hearing that may be necessary to assess the arguments and, with or without the hearing, render a decision that includes a clear directive as to what evidence, if any, </w:t>
      </w:r>
      <w:r w:rsidR="00DB17E7" w:rsidRPr="00E1560A">
        <w:rPr>
          <w:b/>
          <w:spacing w:val="-3"/>
          <w:sz w:val="28"/>
          <w:szCs w:val="28"/>
        </w:rPr>
        <w:t xml:space="preserve">the court </w:t>
      </w:r>
      <w:r w:rsidR="0097068D" w:rsidRPr="00E1560A">
        <w:rPr>
          <w:b/>
          <w:spacing w:val="-3"/>
          <w:sz w:val="28"/>
          <w:szCs w:val="28"/>
        </w:rPr>
        <w:t>will and will not allow.</w:t>
      </w:r>
    </w:p>
    <w:p w14:paraId="6F3AFB2F" w14:textId="77777777" w:rsidR="00E1560A" w:rsidRPr="00E1560A" w:rsidRDefault="00E1560A" w:rsidP="00E1560A">
      <w:pPr>
        <w:kinsoku w:val="0"/>
        <w:overflowPunct w:val="0"/>
        <w:autoSpaceDE/>
        <w:autoSpaceDN/>
        <w:adjustRightInd/>
        <w:ind w:right="720"/>
        <w:jc w:val="both"/>
        <w:textAlignment w:val="baseline"/>
        <w:rPr>
          <w:b/>
          <w:spacing w:val="-3"/>
          <w:sz w:val="28"/>
          <w:szCs w:val="28"/>
        </w:rPr>
      </w:pPr>
    </w:p>
    <w:p w14:paraId="7104D8C9" w14:textId="44C31C28" w:rsidR="0097068D" w:rsidRPr="00E1560A" w:rsidRDefault="0097068D" w:rsidP="00E1560A">
      <w:pPr>
        <w:kinsoku w:val="0"/>
        <w:overflowPunct w:val="0"/>
        <w:autoSpaceDE/>
        <w:autoSpaceDN/>
        <w:adjustRightInd/>
        <w:jc w:val="center"/>
        <w:textAlignment w:val="baseline"/>
        <w:rPr>
          <w:b/>
          <w:spacing w:val="26"/>
          <w:sz w:val="28"/>
          <w:szCs w:val="28"/>
        </w:rPr>
      </w:pPr>
      <w:r w:rsidRPr="00E1560A">
        <w:rPr>
          <w:b/>
          <w:spacing w:val="26"/>
          <w:sz w:val="28"/>
          <w:szCs w:val="28"/>
        </w:rPr>
        <w:t>Note</w:t>
      </w:r>
    </w:p>
    <w:p w14:paraId="0C1BFB88" w14:textId="77777777" w:rsidR="00E1560A" w:rsidRPr="00E1560A" w:rsidRDefault="00E1560A" w:rsidP="00E1560A">
      <w:pPr>
        <w:kinsoku w:val="0"/>
        <w:overflowPunct w:val="0"/>
        <w:autoSpaceDE/>
        <w:autoSpaceDN/>
        <w:adjustRightInd/>
        <w:textAlignment w:val="baseline"/>
        <w:rPr>
          <w:b/>
          <w:spacing w:val="26"/>
          <w:sz w:val="24"/>
        </w:rPr>
      </w:pPr>
    </w:p>
    <w:p w14:paraId="61FD969F" w14:textId="6C1DAB24" w:rsidR="0097068D" w:rsidRDefault="00E1560A" w:rsidP="00E1560A">
      <w:pPr>
        <w:tabs>
          <w:tab w:val="left" w:pos="720"/>
        </w:tabs>
        <w:kinsoku w:val="0"/>
        <w:overflowPunct w:val="0"/>
        <w:autoSpaceDE/>
        <w:autoSpaceDN/>
        <w:adjustRightInd/>
        <w:jc w:val="both"/>
        <w:textAlignment w:val="baseline"/>
        <w:rPr>
          <w:sz w:val="24"/>
        </w:rPr>
      </w:pPr>
      <w:r>
        <w:rPr>
          <w:b/>
          <w:sz w:val="24"/>
        </w:rPr>
        <w:tab/>
      </w:r>
      <w:r w:rsidR="0097068D" w:rsidRPr="00E1560A">
        <w:rPr>
          <w:b/>
          <w:sz w:val="24"/>
        </w:rPr>
        <w:t xml:space="preserve">Subdivision (1) </w:t>
      </w:r>
      <w:r w:rsidR="0097068D" w:rsidRPr="00E1560A">
        <w:rPr>
          <w:sz w:val="24"/>
        </w:rPr>
        <w:t xml:space="preserve">is derived from a series of Court of Appeals cases, the seminal case being </w:t>
      </w:r>
      <w:r w:rsidR="0097068D" w:rsidRPr="00E1560A">
        <w:rPr>
          <w:i/>
          <w:sz w:val="24"/>
        </w:rPr>
        <w:t xml:space="preserve">People v Primo </w:t>
      </w:r>
      <w:r w:rsidR="0097068D" w:rsidRPr="00E1560A">
        <w:rPr>
          <w:sz w:val="24"/>
        </w:rPr>
        <w:t>(96 NY2d 351 [2001]).</w:t>
      </w:r>
    </w:p>
    <w:p w14:paraId="4D8913DD" w14:textId="77777777" w:rsidR="00E1560A" w:rsidRPr="00E1560A" w:rsidRDefault="00E1560A" w:rsidP="00E1560A">
      <w:pPr>
        <w:kinsoku w:val="0"/>
        <w:overflowPunct w:val="0"/>
        <w:autoSpaceDE/>
        <w:autoSpaceDN/>
        <w:adjustRightInd/>
        <w:jc w:val="both"/>
        <w:textAlignment w:val="baseline"/>
        <w:rPr>
          <w:sz w:val="24"/>
        </w:rPr>
      </w:pPr>
    </w:p>
    <w:p w14:paraId="02249FFC" w14:textId="4B243AAD" w:rsidR="0097068D" w:rsidRDefault="00E1560A" w:rsidP="00E1560A">
      <w:pPr>
        <w:tabs>
          <w:tab w:val="left" w:pos="720"/>
        </w:tabs>
        <w:kinsoku w:val="0"/>
        <w:overflowPunct w:val="0"/>
        <w:autoSpaceDE/>
        <w:autoSpaceDN/>
        <w:adjustRightInd/>
        <w:jc w:val="both"/>
        <w:textAlignment w:val="baseline"/>
        <w:rPr>
          <w:spacing w:val="-2"/>
          <w:sz w:val="24"/>
        </w:rPr>
      </w:pPr>
      <w:r>
        <w:rPr>
          <w:i/>
          <w:spacing w:val="-2"/>
          <w:sz w:val="24"/>
        </w:rPr>
        <w:tab/>
      </w:r>
      <w:r w:rsidR="0097068D" w:rsidRPr="00E1560A">
        <w:rPr>
          <w:i/>
          <w:spacing w:val="-2"/>
          <w:sz w:val="24"/>
        </w:rPr>
        <w:t xml:space="preserve">Primo </w:t>
      </w:r>
      <w:r w:rsidR="0097068D" w:rsidRPr="00E1560A">
        <w:rPr>
          <w:spacing w:val="-2"/>
          <w:sz w:val="24"/>
        </w:rPr>
        <w:t xml:space="preserve">held that the </w:t>
      </w:r>
      <w:r w:rsidR="00A36049" w:rsidRPr="00E1560A">
        <w:rPr>
          <w:spacing w:val="-2"/>
          <w:sz w:val="24"/>
        </w:rPr>
        <w:t xml:space="preserve">admissibility </w:t>
      </w:r>
      <w:r w:rsidR="0097068D" w:rsidRPr="00E1560A">
        <w:rPr>
          <w:spacing w:val="-2"/>
          <w:sz w:val="24"/>
        </w:rPr>
        <w:t>of evidence of third</w:t>
      </w:r>
      <w:r w:rsidR="00910DE7" w:rsidRPr="00E1560A">
        <w:rPr>
          <w:spacing w:val="-2"/>
          <w:sz w:val="24"/>
        </w:rPr>
        <w:t>-</w:t>
      </w:r>
      <w:r w:rsidR="0097068D" w:rsidRPr="00E1560A">
        <w:rPr>
          <w:spacing w:val="-2"/>
          <w:sz w:val="24"/>
        </w:rPr>
        <w:t xml:space="preserve">party culpability should be </w:t>
      </w:r>
      <w:r w:rsidR="00D830EB" w:rsidRPr="00E1560A">
        <w:rPr>
          <w:spacing w:val="-2"/>
          <w:sz w:val="24"/>
        </w:rPr>
        <w:t xml:space="preserve">addressed under </w:t>
      </w:r>
      <w:r w:rsidR="0097068D" w:rsidRPr="00E1560A">
        <w:rPr>
          <w:spacing w:val="-2"/>
          <w:sz w:val="24"/>
        </w:rPr>
        <w:t>the “general balancing analysis” of whether the proponent has demonstrated that the proffered evidence has a probative value that outweighs the “countervailing risks of delay, prejudice and confusion.”</w:t>
      </w:r>
      <w:r w:rsidR="00246A57" w:rsidRPr="00E1560A">
        <w:rPr>
          <w:spacing w:val="-2"/>
          <w:sz w:val="24"/>
        </w:rPr>
        <w:t xml:space="preserve"> </w:t>
      </w:r>
      <w:r w:rsidR="0097068D" w:rsidRPr="00E1560A">
        <w:rPr>
          <w:spacing w:val="-2"/>
          <w:sz w:val="24"/>
        </w:rPr>
        <w:t>(</w:t>
      </w:r>
      <w:r w:rsidR="0097068D" w:rsidRPr="00E1560A">
        <w:rPr>
          <w:i/>
          <w:spacing w:val="-2"/>
          <w:sz w:val="24"/>
        </w:rPr>
        <w:t xml:space="preserve">Primo </w:t>
      </w:r>
      <w:r w:rsidR="0097068D" w:rsidRPr="00E1560A">
        <w:rPr>
          <w:spacing w:val="-2"/>
          <w:sz w:val="24"/>
        </w:rPr>
        <w:t>at 356-</w:t>
      </w:r>
      <w:r w:rsidR="007768FD" w:rsidRPr="00E1560A">
        <w:rPr>
          <w:spacing w:val="-2"/>
          <w:sz w:val="24"/>
        </w:rPr>
        <w:t>3</w:t>
      </w:r>
      <w:r w:rsidR="0097068D" w:rsidRPr="00E1560A">
        <w:rPr>
          <w:spacing w:val="-2"/>
          <w:sz w:val="24"/>
        </w:rPr>
        <w:t>57</w:t>
      </w:r>
      <w:r w:rsidR="00652254" w:rsidRPr="00E1560A">
        <w:rPr>
          <w:spacing w:val="-2"/>
          <w:sz w:val="24"/>
        </w:rPr>
        <w:t>.</w:t>
      </w:r>
      <w:r w:rsidR="0097068D" w:rsidRPr="00E1560A">
        <w:rPr>
          <w:spacing w:val="-2"/>
          <w:sz w:val="24"/>
        </w:rPr>
        <w:t>) “Courts thus have been careful to exclude evidence of third-party culpability that has slight probative value and strong potential for undue prejudice, delay and confusion (</w:t>
      </w:r>
      <w:r w:rsidR="0097068D" w:rsidRPr="00E1560A">
        <w:rPr>
          <w:i/>
          <w:spacing w:val="-2"/>
          <w:sz w:val="24"/>
        </w:rPr>
        <w:t>see, Greenfield v People</w:t>
      </w:r>
      <w:r w:rsidR="00560D3E" w:rsidRPr="00E1560A">
        <w:rPr>
          <w:spacing w:val="-2"/>
          <w:sz w:val="24"/>
        </w:rPr>
        <w:t>,</w:t>
      </w:r>
      <w:r w:rsidR="0097068D" w:rsidRPr="00E1560A">
        <w:rPr>
          <w:i/>
          <w:spacing w:val="-2"/>
          <w:sz w:val="24"/>
        </w:rPr>
        <w:t xml:space="preserve"> </w:t>
      </w:r>
      <w:r w:rsidR="0097068D" w:rsidRPr="00E1560A">
        <w:rPr>
          <w:spacing w:val="-2"/>
          <w:sz w:val="24"/>
        </w:rPr>
        <w:t xml:space="preserve">[85 NY 75, 89 </w:t>
      </w:r>
      <w:r w:rsidR="003752B8" w:rsidRPr="00E1560A">
        <w:rPr>
          <w:spacing w:val="-2"/>
          <w:sz w:val="24"/>
        </w:rPr>
        <w:t>(</w:t>
      </w:r>
      <w:r w:rsidR="0097068D" w:rsidRPr="00E1560A">
        <w:rPr>
          <w:spacing w:val="-2"/>
          <w:sz w:val="24"/>
        </w:rPr>
        <w:t xml:space="preserve">1881)] [excluding evidence of </w:t>
      </w:r>
      <w:r w:rsidR="006E3D45" w:rsidRPr="00E1560A">
        <w:rPr>
          <w:spacing w:val="-2"/>
          <w:sz w:val="24"/>
        </w:rPr>
        <w:t>‘</w:t>
      </w:r>
      <w:r w:rsidR="0097068D" w:rsidRPr="00E1560A">
        <w:rPr>
          <w:spacing w:val="-2"/>
          <w:sz w:val="24"/>
        </w:rPr>
        <w:t>(r)emote acts, disconnected and outside of the crime itself</w:t>
      </w:r>
      <w:r w:rsidR="00F87114" w:rsidRPr="00E1560A">
        <w:rPr>
          <w:spacing w:val="-2"/>
          <w:sz w:val="24"/>
        </w:rPr>
        <w:t>’</w:t>
      </w:r>
      <w:r w:rsidR="0097068D" w:rsidRPr="00E1560A">
        <w:rPr>
          <w:spacing w:val="-2"/>
          <w:sz w:val="24"/>
        </w:rPr>
        <w:t xml:space="preserve"> to prove that someone else is the guilty party]</w:t>
      </w:r>
      <w:r w:rsidR="000503C6" w:rsidRPr="00E1560A">
        <w:rPr>
          <w:spacing w:val="-2"/>
          <w:sz w:val="24"/>
        </w:rPr>
        <w:t xml:space="preserve"> </w:t>
      </w:r>
      <w:r w:rsidR="0097068D" w:rsidRPr="00E1560A">
        <w:rPr>
          <w:spacing w:val="-2"/>
          <w:sz w:val="24"/>
        </w:rPr>
        <w:t>. . .</w:t>
      </w:r>
      <w:r w:rsidR="000503C6" w:rsidRPr="00E1560A">
        <w:rPr>
          <w:spacing w:val="-2"/>
          <w:sz w:val="24"/>
        </w:rPr>
        <w:t xml:space="preserve"> </w:t>
      </w:r>
      <w:r w:rsidR="008706AF" w:rsidRPr="00E1560A">
        <w:rPr>
          <w:spacing w:val="-2"/>
          <w:sz w:val="24"/>
        </w:rPr>
        <w:t>)</w:t>
      </w:r>
      <w:r w:rsidR="0097068D" w:rsidRPr="00E1560A">
        <w:rPr>
          <w:spacing w:val="-2"/>
          <w:sz w:val="24"/>
        </w:rPr>
        <w:t>.</w:t>
      </w:r>
      <w:r w:rsidR="005F353F" w:rsidRPr="00E1560A">
        <w:rPr>
          <w:spacing w:val="-2"/>
          <w:sz w:val="24"/>
        </w:rPr>
        <w:t xml:space="preserve"> </w:t>
      </w:r>
      <w:r w:rsidR="0097068D" w:rsidRPr="00E1560A">
        <w:rPr>
          <w:spacing w:val="-2"/>
          <w:sz w:val="24"/>
        </w:rPr>
        <w:t>The admission of evidence of third-party culpability may not rest on mere suspicion or surmise.” (</w:t>
      </w:r>
      <w:r w:rsidR="009B0A10" w:rsidRPr="00E1560A">
        <w:rPr>
          <w:i/>
          <w:spacing w:val="-2"/>
          <w:sz w:val="24"/>
        </w:rPr>
        <w:t>Primo</w:t>
      </w:r>
      <w:r w:rsidR="0097068D" w:rsidRPr="00E1560A">
        <w:rPr>
          <w:i/>
          <w:spacing w:val="-2"/>
          <w:sz w:val="24"/>
        </w:rPr>
        <w:t xml:space="preserve"> </w:t>
      </w:r>
      <w:r w:rsidR="0097068D" w:rsidRPr="00E1560A">
        <w:rPr>
          <w:spacing w:val="-2"/>
          <w:sz w:val="24"/>
        </w:rPr>
        <w:t>at 357</w:t>
      </w:r>
      <w:r w:rsidR="00B632ED" w:rsidRPr="00E1560A">
        <w:rPr>
          <w:spacing w:val="-2"/>
          <w:sz w:val="24"/>
        </w:rPr>
        <w:t>.</w:t>
      </w:r>
      <w:r w:rsidR="0097068D" w:rsidRPr="00E1560A">
        <w:rPr>
          <w:spacing w:val="-2"/>
          <w:sz w:val="24"/>
        </w:rPr>
        <w:t>)</w:t>
      </w:r>
    </w:p>
    <w:p w14:paraId="47EBDE9B" w14:textId="77777777" w:rsidR="00E1560A" w:rsidRPr="00E1560A" w:rsidRDefault="00E1560A" w:rsidP="00E1560A">
      <w:pPr>
        <w:tabs>
          <w:tab w:val="left" w:pos="720"/>
        </w:tabs>
        <w:kinsoku w:val="0"/>
        <w:overflowPunct w:val="0"/>
        <w:autoSpaceDE/>
        <w:autoSpaceDN/>
        <w:adjustRightInd/>
        <w:jc w:val="both"/>
        <w:textAlignment w:val="baseline"/>
        <w:rPr>
          <w:spacing w:val="-2"/>
          <w:sz w:val="24"/>
        </w:rPr>
      </w:pPr>
    </w:p>
    <w:p w14:paraId="521A488F" w14:textId="27CA2033" w:rsidR="0097068D" w:rsidRDefault="00E1560A" w:rsidP="00E1560A">
      <w:pPr>
        <w:tabs>
          <w:tab w:val="left" w:pos="720"/>
        </w:tabs>
        <w:kinsoku w:val="0"/>
        <w:overflowPunct w:val="0"/>
        <w:autoSpaceDE/>
        <w:autoSpaceDN/>
        <w:adjustRightInd/>
        <w:jc w:val="both"/>
        <w:textAlignment w:val="baseline"/>
        <w:rPr>
          <w:sz w:val="24"/>
        </w:rPr>
      </w:pPr>
      <w:r>
        <w:rPr>
          <w:sz w:val="24"/>
        </w:rPr>
        <w:tab/>
      </w:r>
      <w:r w:rsidR="0097068D" w:rsidRPr="00E1560A">
        <w:rPr>
          <w:sz w:val="24"/>
        </w:rPr>
        <w:t xml:space="preserve">That the application of the </w:t>
      </w:r>
      <w:r w:rsidR="0097068D" w:rsidRPr="00E1560A">
        <w:rPr>
          <w:i/>
          <w:sz w:val="24"/>
        </w:rPr>
        <w:t xml:space="preserve">Primo </w:t>
      </w:r>
      <w:r w:rsidR="0097068D" w:rsidRPr="00E1560A">
        <w:rPr>
          <w:sz w:val="24"/>
        </w:rPr>
        <w:t xml:space="preserve">standard may </w:t>
      </w:r>
      <w:r w:rsidR="009B56FB" w:rsidRPr="00E1560A">
        <w:rPr>
          <w:sz w:val="24"/>
        </w:rPr>
        <w:t xml:space="preserve">exclude </w:t>
      </w:r>
      <w:r w:rsidR="008D46DC" w:rsidRPr="00E1560A">
        <w:rPr>
          <w:sz w:val="24"/>
        </w:rPr>
        <w:t xml:space="preserve">a </w:t>
      </w:r>
      <w:r w:rsidR="0097068D" w:rsidRPr="00E1560A">
        <w:rPr>
          <w:sz w:val="24"/>
        </w:rPr>
        <w:t xml:space="preserve">proffered defense “does not infringe upon a defendant’s constitutional right to present a complete defense as set forth in the Sixth and Fourteenth Amendments.” </w:t>
      </w:r>
      <w:r w:rsidR="005F353F" w:rsidRPr="00E1560A">
        <w:rPr>
          <w:sz w:val="24"/>
        </w:rPr>
        <w:t>(</w:t>
      </w:r>
      <w:r w:rsidR="0097068D" w:rsidRPr="00E1560A">
        <w:rPr>
          <w:i/>
          <w:sz w:val="24"/>
        </w:rPr>
        <w:t>People v Powell</w:t>
      </w:r>
      <w:r w:rsidR="005F353F" w:rsidRPr="00E1560A">
        <w:rPr>
          <w:sz w:val="24"/>
        </w:rPr>
        <w:t xml:space="preserve">, </w:t>
      </w:r>
      <w:r w:rsidR="0097068D" w:rsidRPr="00E1560A">
        <w:rPr>
          <w:sz w:val="24"/>
        </w:rPr>
        <w:lastRenderedPageBreak/>
        <w:t>27 NY3d 523, 526 [2016]</w:t>
      </w:r>
      <w:r w:rsidR="00E23F15" w:rsidRPr="00E1560A">
        <w:rPr>
          <w:sz w:val="24"/>
        </w:rPr>
        <w:t>.</w:t>
      </w:r>
      <w:r w:rsidR="0097068D" w:rsidRPr="00E1560A">
        <w:rPr>
          <w:sz w:val="24"/>
        </w:rPr>
        <w:t>)</w:t>
      </w:r>
    </w:p>
    <w:p w14:paraId="10420964"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555E70C4" w14:textId="24064210" w:rsidR="0097068D" w:rsidRDefault="00E1560A" w:rsidP="00E1560A">
      <w:pPr>
        <w:tabs>
          <w:tab w:val="left" w:pos="720"/>
        </w:tabs>
        <w:kinsoku w:val="0"/>
        <w:overflowPunct w:val="0"/>
        <w:autoSpaceDE/>
        <w:autoSpaceDN/>
        <w:adjustRightInd/>
        <w:jc w:val="both"/>
        <w:textAlignment w:val="baseline"/>
        <w:rPr>
          <w:spacing w:val="-2"/>
          <w:sz w:val="24"/>
        </w:rPr>
      </w:pPr>
      <w:r>
        <w:rPr>
          <w:sz w:val="24"/>
        </w:rPr>
        <w:tab/>
      </w:r>
      <w:r w:rsidR="0097068D" w:rsidRPr="00E1560A">
        <w:rPr>
          <w:sz w:val="24"/>
        </w:rPr>
        <w:t xml:space="preserve">The proffered evidence of third-party culpability in </w:t>
      </w:r>
      <w:r w:rsidR="0097068D" w:rsidRPr="00E1560A">
        <w:rPr>
          <w:i/>
          <w:sz w:val="24"/>
        </w:rPr>
        <w:t xml:space="preserve">Primo </w:t>
      </w:r>
      <w:r w:rsidR="0097068D" w:rsidRPr="00E1560A">
        <w:rPr>
          <w:sz w:val="24"/>
        </w:rPr>
        <w:t xml:space="preserve">was a ballistics report that linked a third person to the gun used to shoot the complainant coupled with proof that the third party was at the scene of the shooting. On those facts, </w:t>
      </w:r>
      <w:r w:rsidR="0097068D" w:rsidRPr="00E1560A">
        <w:rPr>
          <w:i/>
          <w:sz w:val="24"/>
        </w:rPr>
        <w:t xml:space="preserve">Primo </w:t>
      </w:r>
      <w:r w:rsidR="0097068D" w:rsidRPr="00E1560A">
        <w:rPr>
          <w:sz w:val="24"/>
        </w:rPr>
        <w:t>determined that the “probative value” of the evidence of the culpability of a third party proffered in that case “plainly outweighs the dangers of delay, prejudice and confusion.”</w:t>
      </w:r>
      <w:r w:rsidR="00AD6A74" w:rsidRPr="00E1560A">
        <w:rPr>
          <w:sz w:val="24"/>
        </w:rPr>
        <w:t xml:space="preserve"> </w:t>
      </w:r>
      <w:r w:rsidR="00AD6A74" w:rsidRPr="00E1560A">
        <w:rPr>
          <w:spacing w:val="-2"/>
          <w:sz w:val="24"/>
        </w:rPr>
        <w:t>(</w:t>
      </w:r>
      <w:r w:rsidR="00AD6A74" w:rsidRPr="00E1560A">
        <w:rPr>
          <w:i/>
          <w:spacing w:val="-2"/>
          <w:sz w:val="24"/>
        </w:rPr>
        <w:t xml:space="preserve">Primo </w:t>
      </w:r>
      <w:r w:rsidR="00AD6A74" w:rsidRPr="00E1560A">
        <w:rPr>
          <w:spacing w:val="-2"/>
          <w:sz w:val="24"/>
        </w:rPr>
        <w:t>at 357.)</w:t>
      </w:r>
    </w:p>
    <w:p w14:paraId="1F212187"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2318DF61" w14:textId="2EC75E6E" w:rsidR="0097068D" w:rsidRDefault="00E1560A" w:rsidP="00E1560A">
      <w:pPr>
        <w:tabs>
          <w:tab w:val="left" w:pos="720"/>
        </w:tabs>
        <w:kinsoku w:val="0"/>
        <w:overflowPunct w:val="0"/>
        <w:autoSpaceDE/>
        <w:autoSpaceDN/>
        <w:adjustRightInd/>
        <w:jc w:val="both"/>
        <w:textAlignment w:val="baseline"/>
        <w:rPr>
          <w:sz w:val="24"/>
        </w:rPr>
      </w:pPr>
      <w:r>
        <w:rPr>
          <w:i/>
          <w:sz w:val="24"/>
        </w:rPr>
        <w:tab/>
      </w:r>
      <w:r w:rsidR="0097068D" w:rsidRPr="00E1560A">
        <w:rPr>
          <w:i/>
          <w:sz w:val="24"/>
        </w:rPr>
        <w:t xml:space="preserve">Powell </w:t>
      </w:r>
      <w:r w:rsidR="0097068D" w:rsidRPr="00E1560A">
        <w:rPr>
          <w:sz w:val="24"/>
        </w:rPr>
        <w:t>(27 NY</w:t>
      </w:r>
      <w:r w:rsidR="00506399" w:rsidRPr="00E1560A">
        <w:rPr>
          <w:sz w:val="24"/>
        </w:rPr>
        <w:t>3d at 531</w:t>
      </w:r>
      <w:r w:rsidR="0097068D" w:rsidRPr="00E1560A">
        <w:rPr>
          <w:sz w:val="24"/>
        </w:rPr>
        <w:t xml:space="preserve">) reinforced </w:t>
      </w:r>
      <w:r w:rsidR="0097068D" w:rsidRPr="00E1560A">
        <w:rPr>
          <w:i/>
          <w:sz w:val="24"/>
        </w:rPr>
        <w:t>Primo</w:t>
      </w:r>
      <w:r w:rsidR="0097068D" w:rsidRPr="00E1560A">
        <w:rPr>
          <w:sz w:val="24"/>
        </w:rPr>
        <w:t>,</w:t>
      </w:r>
      <w:r w:rsidR="0097068D" w:rsidRPr="00E1560A">
        <w:rPr>
          <w:i/>
          <w:sz w:val="24"/>
        </w:rPr>
        <w:t xml:space="preserve"> </w:t>
      </w:r>
      <w:r w:rsidR="0097068D" w:rsidRPr="00E1560A">
        <w:rPr>
          <w:sz w:val="24"/>
        </w:rPr>
        <w:t>holding that “courts should ‘exclude evidence of third-party culpability that has slight probative value and strong potential for undue prejudice, delay and confusion’ or where the evidence is so remote and speculative that it does not sufficiently connect the third party to the crime” (citation omitted).</w:t>
      </w:r>
    </w:p>
    <w:p w14:paraId="317E70A3"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0C3E4D5B" w14:textId="64EAF854" w:rsidR="0097068D" w:rsidRDefault="00E1560A" w:rsidP="00E1560A">
      <w:pPr>
        <w:tabs>
          <w:tab w:val="left" w:pos="720"/>
        </w:tabs>
        <w:kinsoku w:val="0"/>
        <w:overflowPunct w:val="0"/>
        <w:autoSpaceDE/>
        <w:autoSpaceDN/>
        <w:adjustRightInd/>
        <w:jc w:val="both"/>
        <w:textAlignment w:val="baseline"/>
        <w:rPr>
          <w:sz w:val="24"/>
        </w:rPr>
      </w:pPr>
      <w:r>
        <w:rPr>
          <w:sz w:val="24"/>
        </w:rPr>
        <w:tab/>
      </w:r>
      <w:r w:rsidR="0097068D" w:rsidRPr="00E1560A">
        <w:rPr>
          <w:sz w:val="24"/>
        </w:rPr>
        <w:t xml:space="preserve">Given that the proffered evidence of third-party culpability in </w:t>
      </w:r>
      <w:r w:rsidR="0097068D" w:rsidRPr="00E1560A">
        <w:rPr>
          <w:i/>
          <w:sz w:val="24"/>
        </w:rPr>
        <w:t xml:space="preserve">Powell </w:t>
      </w:r>
      <w:r w:rsidR="0097068D" w:rsidRPr="00E1560A">
        <w:rPr>
          <w:sz w:val="24"/>
        </w:rPr>
        <w:t>was based on a speculative assertion that “others could have had access to [the deceased’s]</w:t>
      </w:r>
      <w:r w:rsidR="00536E5F">
        <w:rPr>
          <w:sz w:val="24"/>
        </w:rPr>
        <w:t xml:space="preserve"> </w:t>
      </w:r>
      <w:r w:rsidR="0097068D" w:rsidRPr="00E1560A">
        <w:rPr>
          <w:sz w:val="24"/>
        </w:rPr>
        <w:t>home or might have had reason to kill her—the trial court did not abuse its discretion by precluding the proffered evidence</w:t>
      </w:r>
      <w:r w:rsidR="00333ADC" w:rsidRPr="00E1560A">
        <w:rPr>
          <w:sz w:val="24"/>
        </w:rPr>
        <w:t xml:space="preserve"> (</w:t>
      </w:r>
      <w:r w:rsidR="0097068D" w:rsidRPr="00E1560A">
        <w:rPr>
          <w:i/>
          <w:sz w:val="24"/>
        </w:rPr>
        <w:t>see People v Gamble</w:t>
      </w:r>
      <w:r w:rsidR="0097068D" w:rsidRPr="00E1560A">
        <w:rPr>
          <w:sz w:val="24"/>
        </w:rPr>
        <w:t>,</w:t>
      </w:r>
      <w:r w:rsidR="0097068D" w:rsidRPr="00E1560A">
        <w:rPr>
          <w:i/>
          <w:sz w:val="24"/>
        </w:rPr>
        <w:t xml:space="preserve"> </w:t>
      </w:r>
      <w:r w:rsidR="0097068D" w:rsidRPr="00E1560A">
        <w:rPr>
          <w:sz w:val="24"/>
        </w:rPr>
        <w:t>18 NY3d 386, 398</w:t>
      </w:r>
      <w:r w:rsidR="00020570" w:rsidRPr="00E1560A">
        <w:rPr>
          <w:sz w:val="24"/>
        </w:rPr>
        <w:t>-3</w:t>
      </w:r>
      <w:r w:rsidR="0097068D" w:rsidRPr="00E1560A">
        <w:rPr>
          <w:sz w:val="24"/>
        </w:rPr>
        <w:t>99 [2012] [speculative assertions that other unidentified individuals had a motive to harm a victim are insufficient to support admission of third-party culpability evidence]).” (</w:t>
      </w:r>
      <w:r w:rsidR="0097068D" w:rsidRPr="00E1560A">
        <w:rPr>
          <w:i/>
          <w:sz w:val="24"/>
        </w:rPr>
        <w:t xml:space="preserve">Powell </w:t>
      </w:r>
      <w:r w:rsidR="0097068D" w:rsidRPr="00E1560A">
        <w:rPr>
          <w:sz w:val="24"/>
        </w:rPr>
        <w:t>at 531-</w:t>
      </w:r>
      <w:r w:rsidR="0005411E" w:rsidRPr="00E1560A">
        <w:rPr>
          <w:sz w:val="24"/>
        </w:rPr>
        <w:t>5</w:t>
      </w:r>
      <w:r w:rsidR="0097068D" w:rsidRPr="00E1560A">
        <w:rPr>
          <w:sz w:val="24"/>
        </w:rPr>
        <w:t>32</w:t>
      </w:r>
      <w:r w:rsidR="00E23D38" w:rsidRPr="00E1560A">
        <w:rPr>
          <w:sz w:val="24"/>
        </w:rPr>
        <w:t xml:space="preserve">; </w:t>
      </w:r>
      <w:r w:rsidR="000341AD" w:rsidRPr="00E1560A">
        <w:rPr>
          <w:i/>
          <w:sz w:val="24"/>
        </w:rPr>
        <w:t>s</w:t>
      </w:r>
      <w:r w:rsidR="0097068D" w:rsidRPr="00E1560A">
        <w:rPr>
          <w:i/>
          <w:sz w:val="24"/>
        </w:rPr>
        <w:t>ee People v King</w:t>
      </w:r>
      <w:r w:rsidR="0097068D" w:rsidRPr="00E1560A">
        <w:rPr>
          <w:sz w:val="24"/>
        </w:rPr>
        <w:t>, 27 NY3d 147</w:t>
      </w:r>
      <w:r w:rsidR="00701F2D" w:rsidRPr="00E1560A">
        <w:rPr>
          <w:sz w:val="24"/>
        </w:rPr>
        <w:t>, 158</w:t>
      </w:r>
      <w:r w:rsidR="0097068D" w:rsidRPr="00E1560A">
        <w:rPr>
          <w:sz w:val="24"/>
        </w:rPr>
        <w:t xml:space="preserve"> [2016] [the court properly rejected a defense proffer of a witness to testify to hearsay </w:t>
      </w:r>
      <w:r w:rsidR="008F4ED4" w:rsidRPr="00E1560A">
        <w:rPr>
          <w:sz w:val="24"/>
        </w:rPr>
        <w:t xml:space="preserve">statements by </w:t>
      </w:r>
      <w:r w:rsidR="0097068D" w:rsidRPr="00E1560A">
        <w:rPr>
          <w:sz w:val="24"/>
        </w:rPr>
        <w:t xml:space="preserve">two unidentified individuals, not including the defendant, that they had a motive to harm the victim]; </w:t>
      </w:r>
      <w:r w:rsidR="0097068D" w:rsidRPr="00E1560A">
        <w:rPr>
          <w:i/>
          <w:sz w:val="24"/>
        </w:rPr>
        <w:t xml:space="preserve">cf. Gamble </w:t>
      </w:r>
      <w:r w:rsidR="0097068D" w:rsidRPr="00E1560A">
        <w:rPr>
          <w:sz w:val="24"/>
        </w:rPr>
        <w:t>at 399 [“That the People introduced evidence establishing defendant</w:t>
      </w:r>
      <w:r w:rsidR="00B326FC" w:rsidRPr="00E1560A">
        <w:rPr>
          <w:sz w:val="24"/>
        </w:rPr>
        <w:t>’</w:t>
      </w:r>
      <w:r w:rsidR="0097068D" w:rsidRPr="00E1560A">
        <w:rPr>
          <w:sz w:val="24"/>
        </w:rPr>
        <w:t>s motive for the shootings does not</w:t>
      </w:r>
      <w:r w:rsidR="002A7535" w:rsidRPr="00E1560A">
        <w:rPr>
          <w:sz w:val="24"/>
        </w:rPr>
        <w:t xml:space="preserve"> </w:t>
      </w:r>
      <w:r w:rsidR="0097068D" w:rsidRPr="00E1560A">
        <w:rPr>
          <w:sz w:val="24"/>
        </w:rPr>
        <w:t>. . . open the door to generalized, speculative evidence of possible motives by unidentifiable persons” (internal quotation marks omitted</w:t>
      </w:r>
      <w:r w:rsidR="00B47562" w:rsidRPr="00E1560A">
        <w:rPr>
          <w:sz w:val="24"/>
        </w:rPr>
        <w:t>)</w:t>
      </w:r>
      <w:r w:rsidR="0097068D" w:rsidRPr="00E1560A">
        <w:rPr>
          <w:sz w:val="24"/>
        </w:rPr>
        <w:t>].</w:t>
      </w:r>
      <w:r w:rsidR="000B1BD7" w:rsidRPr="00E1560A">
        <w:rPr>
          <w:sz w:val="24"/>
        </w:rPr>
        <w:t>)</w:t>
      </w:r>
    </w:p>
    <w:p w14:paraId="37E47E80"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4D2A499D" w14:textId="26743DC3" w:rsidR="0097068D" w:rsidRPr="00E1560A" w:rsidRDefault="00E1560A" w:rsidP="00E1560A">
      <w:pPr>
        <w:tabs>
          <w:tab w:val="left" w:pos="720"/>
        </w:tabs>
        <w:kinsoku w:val="0"/>
        <w:overflowPunct w:val="0"/>
        <w:autoSpaceDE/>
        <w:autoSpaceDN/>
        <w:adjustRightInd/>
        <w:jc w:val="both"/>
        <w:textAlignment w:val="baseline"/>
        <w:rPr>
          <w:sz w:val="24"/>
        </w:rPr>
      </w:pPr>
      <w:r>
        <w:rPr>
          <w:i/>
          <w:sz w:val="24"/>
        </w:rPr>
        <w:tab/>
      </w:r>
      <w:r w:rsidR="0097068D" w:rsidRPr="00E1560A">
        <w:rPr>
          <w:i/>
          <w:sz w:val="24"/>
        </w:rPr>
        <w:t xml:space="preserve">Powell </w:t>
      </w:r>
      <w:r w:rsidR="0097068D" w:rsidRPr="00E1560A">
        <w:rPr>
          <w:sz w:val="24"/>
        </w:rPr>
        <w:t>made it clear, however, that a third-party culpability claim “does not necessarily require a specific accusation that an identified individual committed the crime. For example, a proffer of an unknown DNA profile may be sufficient.” (</w:t>
      </w:r>
      <w:r w:rsidR="0097068D" w:rsidRPr="00E1560A">
        <w:rPr>
          <w:i/>
          <w:sz w:val="24"/>
        </w:rPr>
        <w:t xml:space="preserve">Powell </w:t>
      </w:r>
      <w:r w:rsidR="0097068D" w:rsidRPr="00E1560A">
        <w:rPr>
          <w:sz w:val="24"/>
        </w:rPr>
        <w:t>at 532</w:t>
      </w:r>
      <w:r w:rsidR="00535CF1" w:rsidRPr="00E1560A">
        <w:rPr>
          <w:sz w:val="24"/>
        </w:rPr>
        <w:t>.</w:t>
      </w:r>
      <w:r w:rsidR="0097068D" w:rsidRPr="00E1560A">
        <w:rPr>
          <w:sz w:val="24"/>
        </w:rPr>
        <w:t>)</w:t>
      </w:r>
    </w:p>
    <w:p w14:paraId="185231C6" w14:textId="77777777" w:rsidR="00AA6226" w:rsidRPr="00E1560A" w:rsidRDefault="00AA6226" w:rsidP="00E1560A">
      <w:pPr>
        <w:kinsoku w:val="0"/>
        <w:overflowPunct w:val="0"/>
        <w:autoSpaceDE/>
        <w:autoSpaceDN/>
        <w:adjustRightInd/>
        <w:jc w:val="both"/>
        <w:textAlignment w:val="baseline"/>
        <w:rPr>
          <w:i/>
          <w:sz w:val="24"/>
        </w:rPr>
      </w:pPr>
    </w:p>
    <w:p w14:paraId="25417714" w14:textId="42C19B77" w:rsidR="0097068D" w:rsidRDefault="00E1560A" w:rsidP="00E1560A">
      <w:pPr>
        <w:tabs>
          <w:tab w:val="left" w:pos="720"/>
        </w:tabs>
        <w:kinsoku w:val="0"/>
        <w:overflowPunct w:val="0"/>
        <w:autoSpaceDE/>
        <w:autoSpaceDN/>
        <w:adjustRightInd/>
        <w:jc w:val="both"/>
        <w:textAlignment w:val="baseline"/>
        <w:rPr>
          <w:sz w:val="24"/>
        </w:rPr>
      </w:pPr>
      <w:r>
        <w:rPr>
          <w:i/>
          <w:sz w:val="24"/>
        </w:rPr>
        <w:tab/>
      </w:r>
      <w:r w:rsidR="0097068D" w:rsidRPr="00E1560A">
        <w:rPr>
          <w:i/>
          <w:sz w:val="24"/>
        </w:rPr>
        <w:t xml:space="preserve">People v </w:t>
      </w:r>
      <w:proofErr w:type="spellStart"/>
      <w:r w:rsidR="0097068D" w:rsidRPr="00E1560A">
        <w:rPr>
          <w:i/>
          <w:sz w:val="24"/>
        </w:rPr>
        <w:t>DiPippo</w:t>
      </w:r>
      <w:proofErr w:type="spellEnd"/>
      <w:r w:rsidR="0097068D" w:rsidRPr="00E1560A">
        <w:rPr>
          <w:i/>
          <w:sz w:val="24"/>
        </w:rPr>
        <w:t xml:space="preserve"> </w:t>
      </w:r>
      <w:r w:rsidR="0097068D" w:rsidRPr="00E1560A">
        <w:rPr>
          <w:sz w:val="24"/>
        </w:rPr>
        <w:t>(27 NY3d 127</w:t>
      </w:r>
      <w:r w:rsidR="009F543B" w:rsidRPr="00E1560A">
        <w:rPr>
          <w:sz w:val="24"/>
        </w:rPr>
        <w:t>, 136</w:t>
      </w:r>
      <w:r w:rsidR="0097068D" w:rsidRPr="00E1560A">
        <w:rPr>
          <w:sz w:val="24"/>
        </w:rPr>
        <w:t xml:space="preserve"> [2016]) followed </w:t>
      </w:r>
      <w:r w:rsidR="0097068D" w:rsidRPr="00E1560A">
        <w:rPr>
          <w:i/>
          <w:sz w:val="24"/>
        </w:rPr>
        <w:t>Primo</w:t>
      </w:r>
      <w:r w:rsidR="0097068D" w:rsidRPr="00E1560A">
        <w:rPr>
          <w:sz w:val="24"/>
        </w:rPr>
        <w:t>,</w:t>
      </w:r>
      <w:r w:rsidR="0097068D" w:rsidRPr="00E1560A">
        <w:rPr>
          <w:i/>
          <w:sz w:val="24"/>
        </w:rPr>
        <w:t xml:space="preserve"> </w:t>
      </w:r>
      <w:r w:rsidR="0097068D" w:rsidRPr="00E1560A">
        <w:rPr>
          <w:sz w:val="24"/>
        </w:rPr>
        <w:t xml:space="preserve">adding that the absence of “proof directly linking the third party to the </w:t>
      </w:r>
      <w:r w:rsidR="0097068D" w:rsidRPr="00E1560A">
        <w:rPr>
          <w:i/>
          <w:iCs/>
          <w:sz w:val="24"/>
        </w:rPr>
        <w:t>crime scene</w:t>
      </w:r>
      <w:r w:rsidR="008E38B5" w:rsidRPr="00E1560A">
        <w:rPr>
          <w:iCs/>
          <w:sz w:val="24"/>
        </w:rPr>
        <w:t>”</w:t>
      </w:r>
      <w:r w:rsidR="0097068D" w:rsidRPr="00E1560A">
        <w:rPr>
          <w:sz w:val="24"/>
        </w:rPr>
        <w:t xml:space="preserve"> was not necessarily fatal to the introduction of third-party culpability evidence.</w:t>
      </w:r>
    </w:p>
    <w:p w14:paraId="133EB91E"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5B821142" w14:textId="1060F4F4" w:rsidR="0097068D" w:rsidRDefault="00E1560A" w:rsidP="00E1560A">
      <w:pPr>
        <w:tabs>
          <w:tab w:val="left" w:pos="720"/>
        </w:tabs>
        <w:kinsoku w:val="0"/>
        <w:overflowPunct w:val="0"/>
        <w:autoSpaceDE/>
        <w:autoSpaceDN/>
        <w:adjustRightInd/>
        <w:jc w:val="both"/>
        <w:textAlignment w:val="baseline"/>
        <w:rPr>
          <w:sz w:val="24"/>
        </w:rPr>
      </w:pPr>
      <w:r>
        <w:rPr>
          <w:sz w:val="24"/>
        </w:rPr>
        <w:tab/>
      </w:r>
      <w:r w:rsidR="0097068D" w:rsidRPr="00E1560A">
        <w:rPr>
          <w:sz w:val="24"/>
        </w:rPr>
        <w:t xml:space="preserve">On its facts, </w:t>
      </w:r>
      <w:proofErr w:type="spellStart"/>
      <w:r w:rsidR="0097068D" w:rsidRPr="00E1560A">
        <w:rPr>
          <w:i/>
          <w:sz w:val="24"/>
        </w:rPr>
        <w:t>DiPippo</w:t>
      </w:r>
      <w:proofErr w:type="spellEnd"/>
      <w:r w:rsidR="0097068D" w:rsidRPr="00E1560A">
        <w:rPr>
          <w:i/>
          <w:sz w:val="24"/>
        </w:rPr>
        <w:t xml:space="preserve"> </w:t>
      </w:r>
      <w:r w:rsidR="0097068D" w:rsidRPr="00E1560A">
        <w:rPr>
          <w:sz w:val="24"/>
        </w:rPr>
        <w:t>found that notwithstanding the absence of proof linking the third party to the “crime scene,” the evidence of a culpable third party was sufficient in that it included a declaration against penal interest by the third party that implicated him in the crime, as well as a showing that the third party had committed other crimes with a unique modus operandi that paralleled the crime charged.</w:t>
      </w:r>
    </w:p>
    <w:p w14:paraId="72A1DE86"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27DCE666" w14:textId="0BDD5FBD" w:rsidR="0097068D" w:rsidRDefault="00E1560A" w:rsidP="00E1560A">
      <w:pPr>
        <w:tabs>
          <w:tab w:val="left" w:pos="720"/>
        </w:tabs>
        <w:kinsoku w:val="0"/>
        <w:overflowPunct w:val="0"/>
        <w:autoSpaceDE/>
        <w:autoSpaceDN/>
        <w:adjustRightInd/>
        <w:jc w:val="both"/>
        <w:textAlignment w:val="baseline"/>
        <w:rPr>
          <w:spacing w:val="-3"/>
          <w:sz w:val="24"/>
        </w:rPr>
      </w:pPr>
      <w:r>
        <w:rPr>
          <w:spacing w:val="-3"/>
          <w:sz w:val="24"/>
        </w:rPr>
        <w:tab/>
      </w:r>
      <w:r w:rsidR="0097068D" w:rsidRPr="00E1560A">
        <w:rPr>
          <w:spacing w:val="-3"/>
          <w:sz w:val="24"/>
        </w:rPr>
        <w:t xml:space="preserve">With respect to the “modus operandi” evidence, </w:t>
      </w:r>
      <w:proofErr w:type="spellStart"/>
      <w:r w:rsidR="0097068D" w:rsidRPr="00E1560A">
        <w:rPr>
          <w:i/>
          <w:spacing w:val="-3"/>
          <w:sz w:val="24"/>
        </w:rPr>
        <w:t>DiPippo</w:t>
      </w:r>
      <w:proofErr w:type="spellEnd"/>
      <w:r w:rsidR="0097068D" w:rsidRPr="00E1560A">
        <w:rPr>
          <w:i/>
          <w:spacing w:val="-3"/>
          <w:sz w:val="24"/>
        </w:rPr>
        <w:t xml:space="preserve"> </w:t>
      </w:r>
      <w:r w:rsidR="0097068D" w:rsidRPr="00E1560A">
        <w:rPr>
          <w:spacing w:val="-3"/>
          <w:sz w:val="24"/>
        </w:rPr>
        <w:t>explained that</w:t>
      </w:r>
      <w:r w:rsidR="00D8512A" w:rsidRPr="00E1560A">
        <w:rPr>
          <w:spacing w:val="-3"/>
          <w:sz w:val="24"/>
        </w:rPr>
        <w:t xml:space="preserve"> </w:t>
      </w:r>
      <w:r w:rsidR="0097068D" w:rsidRPr="00E1560A">
        <w:rPr>
          <w:spacing w:val="-3"/>
          <w:sz w:val="24"/>
        </w:rPr>
        <w:lastRenderedPageBreak/>
        <w:t>“</w:t>
      </w:r>
      <w:r w:rsidR="00D8512A" w:rsidRPr="00E1560A">
        <w:rPr>
          <w:spacing w:val="-3"/>
          <w:sz w:val="24"/>
        </w:rPr>
        <w:t>[w]</w:t>
      </w:r>
      <w:r w:rsidR="0097068D" w:rsidRPr="00E1560A">
        <w:rPr>
          <w:spacing w:val="-3"/>
          <w:sz w:val="24"/>
        </w:rPr>
        <w:t xml:space="preserve">hile unlikely to be sufficient standing alone,” it </w:t>
      </w:r>
      <w:r w:rsidR="0011178B" w:rsidRPr="00E1560A">
        <w:rPr>
          <w:spacing w:val="-3"/>
          <w:sz w:val="24"/>
        </w:rPr>
        <w:t>“</w:t>
      </w:r>
      <w:r w:rsidR="0097068D" w:rsidRPr="00E1560A">
        <w:rPr>
          <w:spacing w:val="-3"/>
          <w:sz w:val="24"/>
        </w:rPr>
        <w:t>is relevant to</w:t>
      </w:r>
      <w:r w:rsidR="001E7DDF" w:rsidRPr="00E1560A">
        <w:rPr>
          <w:spacing w:val="-3"/>
          <w:sz w:val="24"/>
        </w:rPr>
        <w:t>,</w:t>
      </w:r>
      <w:r w:rsidR="0097068D" w:rsidRPr="00E1560A">
        <w:rPr>
          <w:spacing w:val="-3"/>
          <w:sz w:val="24"/>
        </w:rPr>
        <w:t xml:space="preserve"> and can support, a third-party culpability proffer where the crimes reflect a ‘modus operandi’ connecting the third party to the charged crimes.” </w:t>
      </w:r>
      <w:r w:rsidR="006539CD" w:rsidRPr="00E1560A">
        <w:rPr>
          <w:spacing w:val="-3"/>
          <w:sz w:val="24"/>
        </w:rPr>
        <w:t>(</w:t>
      </w:r>
      <w:r w:rsidR="0097068D" w:rsidRPr="00E1560A">
        <w:rPr>
          <w:i/>
          <w:spacing w:val="-3"/>
          <w:sz w:val="24"/>
        </w:rPr>
        <w:t xml:space="preserve">Id. </w:t>
      </w:r>
      <w:r w:rsidR="0097068D" w:rsidRPr="00E1560A">
        <w:rPr>
          <w:spacing w:val="-3"/>
          <w:sz w:val="24"/>
        </w:rPr>
        <w:t>at 138</w:t>
      </w:r>
      <w:r w:rsidR="006539CD" w:rsidRPr="00E1560A">
        <w:rPr>
          <w:spacing w:val="-3"/>
          <w:sz w:val="24"/>
        </w:rPr>
        <w:t xml:space="preserve">; </w:t>
      </w:r>
      <w:r w:rsidR="006539CD" w:rsidRPr="00E1560A">
        <w:rPr>
          <w:i/>
          <w:spacing w:val="-3"/>
          <w:sz w:val="24"/>
        </w:rPr>
        <w:t>c</w:t>
      </w:r>
      <w:r w:rsidR="0097068D" w:rsidRPr="00E1560A">
        <w:rPr>
          <w:i/>
          <w:spacing w:val="-3"/>
          <w:sz w:val="24"/>
        </w:rPr>
        <w:t>f. People v Schulz</w:t>
      </w:r>
      <w:r w:rsidR="0097068D" w:rsidRPr="00E1560A">
        <w:rPr>
          <w:spacing w:val="-3"/>
          <w:sz w:val="24"/>
        </w:rPr>
        <w:t>, 4 NY3d 521</w:t>
      </w:r>
      <w:r w:rsidR="00856AF1" w:rsidRPr="00E1560A">
        <w:rPr>
          <w:spacing w:val="-3"/>
          <w:sz w:val="24"/>
        </w:rPr>
        <w:t xml:space="preserve">, 528 </w:t>
      </w:r>
      <w:r w:rsidR="0097068D" w:rsidRPr="00E1560A">
        <w:rPr>
          <w:spacing w:val="-3"/>
          <w:sz w:val="24"/>
        </w:rPr>
        <w:t xml:space="preserve">[2005] </w:t>
      </w:r>
      <w:r w:rsidR="00593F4C" w:rsidRPr="00E1560A">
        <w:rPr>
          <w:spacing w:val="-3"/>
          <w:sz w:val="24"/>
        </w:rPr>
        <w:t>[</w:t>
      </w:r>
      <w:r w:rsidR="0097068D" w:rsidRPr="00E1560A">
        <w:rPr>
          <w:spacing w:val="-3"/>
          <w:sz w:val="24"/>
        </w:rPr>
        <w:t xml:space="preserve">the defendant offered “no evidence which shows a modus operandi”; </w:t>
      </w:r>
      <w:r w:rsidR="00F04394" w:rsidRPr="00E1560A">
        <w:rPr>
          <w:spacing w:val="-3"/>
          <w:sz w:val="24"/>
        </w:rPr>
        <w:t xml:space="preserve">but </w:t>
      </w:r>
      <w:r w:rsidR="0097068D" w:rsidRPr="00E1560A">
        <w:rPr>
          <w:spacing w:val="-3"/>
          <w:sz w:val="24"/>
        </w:rPr>
        <w:t>only evidence that an identified third party committed the same type of crime in the area of the charged crime and around the time of its occurrence</w:t>
      </w:r>
      <w:r w:rsidR="00593F4C" w:rsidRPr="00E1560A">
        <w:rPr>
          <w:spacing w:val="-3"/>
          <w:sz w:val="24"/>
        </w:rPr>
        <w:t>]</w:t>
      </w:r>
      <w:r w:rsidR="0097068D" w:rsidRPr="00E1560A">
        <w:rPr>
          <w:spacing w:val="-3"/>
          <w:sz w:val="24"/>
        </w:rPr>
        <w:t>.</w:t>
      </w:r>
      <w:r w:rsidR="005E3692" w:rsidRPr="00E1560A">
        <w:rPr>
          <w:spacing w:val="-3"/>
          <w:sz w:val="24"/>
        </w:rPr>
        <w:t>)</w:t>
      </w:r>
    </w:p>
    <w:p w14:paraId="46AE7AAD" w14:textId="77777777" w:rsidR="00E1560A" w:rsidRPr="00E1560A" w:rsidRDefault="00E1560A" w:rsidP="00E1560A">
      <w:pPr>
        <w:tabs>
          <w:tab w:val="left" w:pos="720"/>
        </w:tabs>
        <w:kinsoku w:val="0"/>
        <w:overflowPunct w:val="0"/>
        <w:autoSpaceDE/>
        <w:autoSpaceDN/>
        <w:adjustRightInd/>
        <w:jc w:val="both"/>
        <w:textAlignment w:val="baseline"/>
        <w:rPr>
          <w:spacing w:val="-3"/>
          <w:sz w:val="24"/>
        </w:rPr>
      </w:pPr>
    </w:p>
    <w:p w14:paraId="607F8D3A" w14:textId="415B339F" w:rsidR="0097068D" w:rsidRDefault="00E1560A" w:rsidP="00E1560A">
      <w:pPr>
        <w:tabs>
          <w:tab w:val="left" w:pos="720"/>
        </w:tabs>
        <w:kinsoku w:val="0"/>
        <w:overflowPunct w:val="0"/>
        <w:autoSpaceDE/>
        <w:autoSpaceDN/>
        <w:adjustRightInd/>
        <w:jc w:val="both"/>
        <w:textAlignment w:val="baseline"/>
        <w:rPr>
          <w:sz w:val="24"/>
        </w:rPr>
      </w:pPr>
      <w:r>
        <w:rPr>
          <w:sz w:val="24"/>
        </w:rPr>
        <w:tab/>
      </w:r>
      <w:r w:rsidR="0097068D" w:rsidRPr="00E1560A">
        <w:rPr>
          <w:sz w:val="24"/>
        </w:rPr>
        <w:t>In permitting evidence of third-party culpability, the trial court retains discretion to determine</w:t>
      </w:r>
      <w:r w:rsidR="00256F0F" w:rsidRPr="00E1560A">
        <w:rPr>
          <w:sz w:val="24"/>
        </w:rPr>
        <w:t xml:space="preserve"> what</w:t>
      </w:r>
      <w:r w:rsidR="0097068D" w:rsidRPr="00E1560A">
        <w:rPr>
          <w:sz w:val="24"/>
        </w:rPr>
        <w:t xml:space="preserve"> evidence</w:t>
      </w:r>
      <w:r w:rsidR="00256F0F" w:rsidRPr="00E1560A">
        <w:rPr>
          <w:sz w:val="24"/>
        </w:rPr>
        <w:t xml:space="preserve"> </w:t>
      </w:r>
      <w:r w:rsidR="0097068D" w:rsidRPr="00E1560A">
        <w:rPr>
          <w:sz w:val="24"/>
        </w:rPr>
        <w:t xml:space="preserve">would be appropriate. </w:t>
      </w:r>
      <w:r w:rsidR="009734D8" w:rsidRPr="00E1560A">
        <w:rPr>
          <w:sz w:val="24"/>
        </w:rPr>
        <w:t>(</w:t>
      </w:r>
      <w:r w:rsidR="0097068D" w:rsidRPr="00E1560A">
        <w:rPr>
          <w:i/>
          <w:sz w:val="24"/>
        </w:rPr>
        <w:t xml:space="preserve">See Primo </w:t>
      </w:r>
      <w:r w:rsidR="00B5105E" w:rsidRPr="00E1560A">
        <w:rPr>
          <w:sz w:val="24"/>
        </w:rPr>
        <w:t xml:space="preserve">at 357 </w:t>
      </w:r>
      <w:r w:rsidR="0097068D" w:rsidRPr="00E1560A">
        <w:rPr>
          <w:sz w:val="24"/>
        </w:rPr>
        <w:t xml:space="preserve">[the court will “make its determination </w:t>
      </w:r>
      <w:r w:rsidR="004F674C" w:rsidRPr="00E1560A">
        <w:rPr>
          <w:sz w:val="24"/>
        </w:rPr>
        <w:t>(</w:t>
      </w:r>
      <w:r w:rsidR="0097068D" w:rsidRPr="00E1560A">
        <w:rPr>
          <w:sz w:val="24"/>
        </w:rPr>
        <w:t>of an application to admit third-party culpability</w:t>
      </w:r>
      <w:r w:rsidR="002A6BE3" w:rsidRPr="00E1560A">
        <w:rPr>
          <w:sz w:val="24"/>
        </w:rPr>
        <w:t>)</w:t>
      </w:r>
      <w:r w:rsidR="0097068D" w:rsidRPr="00E1560A">
        <w:rPr>
          <w:sz w:val="24"/>
        </w:rPr>
        <w:t xml:space="preserve"> followed by clear directives as to what it will and will not allow”]; </w:t>
      </w:r>
      <w:r w:rsidR="0097068D" w:rsidRPr="00E1560A">
        <w:rPr>
          <w:i/>
          <w:sz w:val="24"/>
        </w:rPr>
        <w:t>People v Boyd</w:t>
      </w:r>
      <w:r w:rsidR="0097068D" w:rsidRPr="00E1560A">
        <w:rPr>
          <w:sz w:val="24"/>
        </w:rPr>
        <w:t xml:space="preserve">, 31 NY3d 953, 955 [2018] [where the defense was permitted to pursue a third-party culpability defense, the court did not abuse its discretion by refusing to admit in evidence facts concerning the arrest of the third party (who had inculpated himself and later recanted)]; </w:t>
      </w:r>
      <w:r w:rsidR="0097068D" w:rsidRPr="00E1560A">
        <w:rPr>
          <w:i/>
          <w:sz w:val="24"/>
        </w:rPr>
        <w:t>People v Hemphill</w:t>
      </w:r>
      <w:r w:rsidR="0097068D" w:rsidRPr="00E1560A">
        <w:rPr>
          <w:sz w:val="24"/>
        </w:rPr>
        <w:t>, 35 NY3d 1035</w:t>
      </w:r>
      <w:r w:rsidR="007412F1" w:rsidRPr="00E1560A">
        <w:rPr>
          <w:sz w:val="24"/>
        </w:rPr>
        <w:t>, 1036</w:t>
      </w:r>
      <w:r w:rsidR="0097068D" w:rsidRPr="00E1560A">
        <w:rPr>
          <w:sz w:val="24"/>
        </w:rPr>
        <w:t xml:space="preserve"> [2020] [where the defense presented a third-party culpability defense, “the trial court did not abuse its discretion by admitting evidence that the allegedly culpable third party ple</w:t>
      </w:r>
      <w:r w:rsidR="007826DF" w:rsidRPr="00E1560A">
        <w:rPr>
          <w:sz w:val="24"/>
        </w:rPr>
        <w:t>a</w:t>
      </w:r>
      <w:r w:rsidR="0097068D" w:rsidRPr="00E1560A">
        <w:rPr>
          <w:sz w:val="24"/>
        </w:rPr>
        <w:t>d</w:t>
      </w:r>
      <w:r w:rsidR="007826DF" w:rsidRPr="00E1560A">
        <w:rPr>
          <w:sz w:val="24"/>
        </w:rPr>
        <w:t>ed</w:t>
      </w:r>
      <w:r w:rsidR="0097068D" w:rsidRPr="00E1560A">
        <w:rPr>
          <w:sz w:val="24"/>
        </w:rPr>
        <w:t xml:space="preserve"> guilty to possessing a firearm other than the murder weapon”].</w:t>
      </w:r>
      <w:r w:rsidR="009734D8" w:rsidRPr="00E1560A">
        <w:rPr>
          <w:sz w:val="24"/>
        </w:rPr>
        <w:t>)</w:t>
      </w:r>
    </w:p>
    <w:p w14:paraId="62D83187"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1859D06D" w14:textId="6D62361C" w:rsidR="0097068D" w:rsidRDefault="00E1560A" w:rsidP="00E1560A">
      <w:pPr>
        <w:tabs>
          <w:tab w:val="left" w:pos="720"/>
        </w:tabs>
        <w:kinsoku w:val="0"/>
        <w:overflowPunct w:val="0"/>
        <w:autoSpaceDE/>
        <w:autoSpaceDN/>
        <w:adjustRightInd/>
        <w:textAlignment w:val="baseline"/>
        <w:rPr>
          <w:sz w:val="24"/>
        </w:rPr>
      </w:pPr>
      <w:r>
        <w:rPr>
          <w:b/>
          <w:sz w:val="24"/>
        </w:rPr>
        <w:tab/>
      </w:r>
      <w:r w:rsidR="0097068D" w:rsidRPr="00E1560A">
        <w:rPr>
          <w:b/>
          <w:sz w:val="24"/>
        </w:rPr>
        <w:t xml:space="preserve">Subdivision (2) </w:t>
      </w:r>
      <w:r w:rsidR="0097068D" w:rsidRPr="00E1560A">
        <w:rPr>
          <w:sz w:val="24"/>
        </w:rPr>
        <w:t xml:space="preserve">is derived from </w:t>
      </w:r>
      <w:r w:rsidR="0097068D" w:rsidRPr="00E1560A">
        <w:rPr>
          <w:i/>
          <w:sz w:val="24"/>
        </w:rPr>
        <w:t>Primo</w:t>
      </w:r>
      <w:r w:rsidR="009E3310" w:rsidRPr="00E1560A">
        <w:rPr>
          <w:sz w:val="24"/>
        </w:rPr>
        <w:t xml:space="preserve"> (at </w:t>
      </w:r>
      <w:r w:rsidR="00490B64" w:rsidRPr="00E1560A">
        <w:rPr>
          <w:sz w:val="24"/>
        </w:rPr>
        <w:t>357</w:t>
      </w:r>
      <w:r w:rsidR="009E3310" w:rsidRPr="00E1560A">
        <w:rPr>
          <w:sz w:val="24"/>
        </w:rPr>
        <w:t>)</w:t>
      </w:r>
      <w:r w:rsidR="0097068D" w:rsidRPr="00E1560A">
        <w:rPr>
          <w:sz w:val="24"/>
        </w:rPr>
        <w:t>:</w:t>
      </w:r>
    </w:p>
    <w:p w14:paraId="280A9646" w14:textId="77777777" w:rsidR="00E1560A" w:rsidRPr="00E1560A" w:rsidRDefault="00E1560A" w:rsidP="00E1560A">
      <w:pPr>
        <w:kinsoku w:val="0"/>
        <w:overflowPunct w:val="0"/>
        <w:autoSpaceDE/>
        <w:autoSpaceDN/>
        <w:adjustRightInd/>
        <w:textAlignment w:val="baseline"/>
        <w:rPr>
          <w:sz w:val="24"/>
        </w:rPr>
      </w:pPr>
    </w:p>
    <w:p w14:paraId="7B5DDD8C" w14:textId="27B7747E" w:rsidR="005014F6" w:rsidRPr="00E1560A" w:rsidRDefault="0097068D" w:rsidP="00E1560A">
      <w:pPr>
        <w:kinsoku w:val="0"/>
        <w:overflowPunct w:val="0"/>
        <w:autoSpaceDE/>
        <w:autoSpaceDN/>
        <w:adjustRightInd/>
        <w:ind w:left="720" w:right="720"/>
        <w:jc w:val="both"/>
        <w:textAlignment w:val="baseline"/>
        <w:rPr>
          <w:sz w:val="24"/>
        </w:rPr>
      </w:pPr>
      <w:r w:rsidRPr="00E1560A">
        <w:rPr>
          <w:sz w:val="24"/>
        </w:rPr>
        <w:t>“In practice, the balancing [of whether the probative value outweighs the countervailing risks] is best performed by requiring the defense, at the earliest reasonable opportunity, to make an offer of proof outside the presence of the jury to explain how it would introduce evidence of third-party culpability. The court will then hear any counter-arguments from the prosecutor, weigh the considerations, and make its determination followed by clear directives as to what it will and will not allow.”</w:t>
      </w:r>
    </w:p>
    <w:sectPr w:rsidR="005014F6" w:rsidRPr="00E1560A" w:rsidSect="00E1560A">
      <w:footerReference w:type="default" r:id="rId7"/>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C794" w14:textId="77777777" w:rsidR="00355763" w:rsidRDefault="00355763" w:rsidP="00355763">
      <w:r>
        <w:separator/>
      </w:r>
    </w:p>
  </w:endnote>
  <w:endnote w:type="continuationSeparator" w:id="0">
    <w:p w14:paraId="5C5D1463" w14:textId="77777777" w:rsidR="00355763" w:rsidRDefault="00355763" w:rsidP="0035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958731"/>
      <w:docPartObj>
        <w:docPartGallery w:val="Page Numbers (Bottom of Page)"/>
        <w:docPartUnique/>
      </w:docPartObj>
    </w:sdtPr>
    <w:sdtEndPr>
      <w:rPr>
        <w:noProof/>
      </w:rPr>
    </w:sdtEndPr>
    <w:sdtContent>
      <w:p w14:paraId="39812EBD" w14:textId="6A21AB2D" w:rsidR="00355763" w:rsidRDefault="003557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179ED0" w14:textId="77777777" w:rsidR="00355763" w:rsidRDefault="0035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1CE6" w14:textId="77777777" w:rsidR="00355763" w:rsidRDefault="00355763" w:rsidP="00355763">
      <w:r>
        <w:separator/>
      </w:r>
    </w:p>
  </w:footnote>
  <w:footnote w:type="continuationSeparator" w:id="0">
    <w:p w14:paraId="338D36EC" w14:textId="77777777" w:rsidR="00355763" w:rsidRDefault="00355763" w:rsidP="0035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50B10"/>
    <w:multiLevelType w:val="hybridMultilevel"/>
    <w:tmpl w:val="778248CA"/>
    <w:lvl w:ilvl="0" w:tplc="6F3E389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49599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8D"/>
    <w:rsid w:val="00014A68"/>
    <w:rsid w:val="00020570"/>
    <w:rsid w:val="00032481"/>
    <w:rsid w:val="000341AD"/>
    <w:rsid w:val="00044A12"/>
    <w:rsid w:val="000503C6"/>
    <w:rsid w:val="0005411E"/>
    <w:rsid w:val="000613CF"/>
    <w:rsid w:val="00072EAF"/>
    <w:rsid w:val="0008438A"/>
    <w:rsid w:val="000B1BD7"/>
    <w:rsid w:val="000F273B"/>
    <w:rsid w:val="00102090"/>
    <w:rsid w:val="00104022"/>
    <w:rsid w:val="0011178B"/>
    <w:rsid w:val="00113C0B"/>
    <w:rsid w:val="00181909"/>
    <w:rsid w:val="001A0C6D"/>
    <w:rsid w:val="001D5000"/>
    <w:rsid w:val="001E7DDF"/>
    <w:rsid w:val="00234745"/>
    <w:rsid w:val="00246A57"/>
    <w:rsid w:val="00251AD7"/>
    <w:rsid w:val="00256F0F"/>
    <w:rsid w:val="002619BC"/>
    <w:rsid w:val="00277A1A"/>
    <w:rsid w:val="002A6BE3"/>
    <w:rsid w:val="002A7535"/>
    <w:rsid w:val="002E1F47"/>
    <w:rsid w:val="002E5373"/>
    <w:rsid w:val="002F06AC"/>
    <w:rsid w:val="00333ADC"/>
    <w:rsid w:val="0034212E"/>
    <w:rsid w:val="00346B8A"/>
    <w:rsid w:val="00355763"/>
    <w:rsid w:val="003666A1"/>
    <w:rsid w:val="003752B8"/>
    <w:rsid w:val="003778A1"/>
    <w:rsid w:val="003A0006"/>
    <w:rsid w:val="003A791D"/>
    <w:rsid w:val="003E6649"/>
    <w:rsid w:val="004043EE"/>
    <w:rsid w:val="00412CAB"/>
    <w:rsid w:val="004379F9"/>
    <w:rsid w:val="004423AA"/>
    <w:rsid w:val="00453725"/>
    <w:rsid w:val="00461974"/>
    <w:rsid w:val="00482683"/>
    <w:rsid w:val="00485D26"/>
    <w:rsid w:val="00490B64"/>
    <w:rsid w:val="00494035"/>
    <w:rsid w:val="004B493A"/>
    <w:rsid w:val="004C7B57"/>
    <w:rsid w:val="004F674C"/>
    <w:rsid w:val="005014F6"/>
    <w:rsid w:val="00506399"/>
    <w:rsid w:val="00535CF1"/>
    <w:rsid w:val="00536E5F"/>
    <w:rsid w:val="00545110"/>
    <w:rsid w:val="00560D3E"/>
    <w:rsid w:val="00593348"/>
    <w:rsid w:val="00593F4C"/>
    <w:rsid w:val="005A4E41"/>
    <w:rsid w:val="005A742B"/>
    <w:rsid w:val="005B4409"/>
    <w:rsid w:val="005E3692"/>
    <w:rsid w:val="005F353F"/>
    <w:rsid w:val="0064591E"/>
    <w:rsid w:val="00652254"/>
    <w:rsid w:val="006539CD"/>
    <w:rsid w:val="00657DBD"/>
    <w:rsid w:val="00663AC2"/>
    <w:rsid w:val="006723BC"/>
    <w:rsid w:val="00681CCC"/>
    <w:rsid w:val="006B59EA"/>
    <w:rsid w:val="006D64AA"/>
    <w:rsid w:val="006E3D45"/>
    <w:rsid w:val="00701F2D"/>
    <w:rsid w:val="00713051"/>
    <w:rsid w:val="007412F1"/>
    <w:rsid w:val="00750E34"/>
    <w:rsid w:val="0076782D"/>
    <w:rsid w:val="007768FD"/>
    <w:rsid w:val="00780344"/>
    <w:rsid w:val="007826DF"/>
    <w:rsid w:val="007924C7"/>
    <w:rsid w:val="007A43CD"/>
    <w:rsid w:val="007C6E3A"/>
    <w:rsid w:val="008129B1"/>
    <w:rsid w:val="0081687F"/>
    <w:rsid w:val="00831738"/>
    <w:rsid w:val="00835FE1"/>
    <w:rsid w:val="00856AF1"/>
    <w:rsid w:val="008706AF"/>
    <w:rsid w:val="008A5019"/>
    <w:rsid w:val="008D46DC"/>
    <w:rsid w:val="008E38B5"/>
    <w:rsid w:val="008F4ED4"/>
    <w:rsid w:val="00910DE7"/>
    <w:rsid w:val="009213A9"/>
    <w:rsid w:val="00935A42"/>
    <w:rsid w:val="009554BE"/>
    <w:rsid w:val="0097068D"/>
    <w:rsid w:val="009734D8"/>
    <w:rsid w:val="009A0B19"/>
    <w:rsid w:val="009B0A10"/>
    <w:rsid w:val="009B56FB"/>
    <w:rsid w:val="009E3310"/>
    <w:rsid w:val="009E7E1F"/>
    <w:rsid w:val="009F543B"/>
    <w:rsid w:val="00A105E4"/>
    <w:rsid w:val="00A17CE9"/>
    <w:rsid w:val="00A36049"/>
    <w:rsid w:val="00A42BEB"/>
    <w:rsid w:val="00AA6226"/>
    <w:rsid w:val="00AC5EDB"/>
    <w:rsid w:val="00AD25D4"/>
    <w:rsid w:val="00AD6A74"/>
    <w:rsid w:val="00AF7657"/>
    <w:rsid w:val="00B326FC"/>
    <w:rsid w:val="00B37092"/>
    <w:rsid w:val="00B47562"/>
    <w:rsid w:val="00B5105E"/>
    <w:rsid w:val="00B632ED"/>
    <w:rsid w:val="00B702A8"/>
    <w:rsid w:val="00BA51C4"/>
    <w:rsid w:val="00BC4DFF"/>
    <w:rsid w:val="00C00779"/>
    <w:rsid w:val="00C11BA7"/>
    <w:rsid w:val="00C20475"/>
    <w:rsid w:val="00C25890"/>
    <w:rsid w:val="00C67699"/>
    <w:rsid w:val="00C76DFC"/>
    <w:rsid w:val="00C90F81"/>
    <w:rsid w:val="00C91917"/>
    <w:rsid w:val="00C93B1A"/>
    <w:rsid w:val="00CC65B6"/>
    <w:rsid w:val="00CE618B"/>
    <w:rsid w:val="00CF2F0D"/>
    <w:rsid w:val="00D1026F"/>
    <w:rsid w:val="00D44757"/>
    <w:rsid w:val="00D44EB8"/>
    <w:rsid w:val="00D47C53"/>
    <w:rsid w:val="00D62877"/>
    <w:rsid w:val="00D830EB"/>
    <w:rsid w:val="00D8512A"/>
    <w:rsid w:val="00DB17E7"/>
    <w:rsid w:val="00E06D71"/>
    <w:rsid w:val="00E11983"/>
    <w:rsid w:val="00E1560A"/>
    <w:rsid w:val="00E23D38"/>
    <w:rsid w:val="00E23F15"/>
    <w:rsid w:val="00E33FC5"/>
    <w:rsid w:val="00E77ECF"/>
    <w:rsid w:val="00E9300C"/>
    <w:rsid w:val="00EA1F08"/>
    <w:rsid w:val="00EA3177"/>
    <w:rsid w:val="00EB2CEA"/>
    <w:rsid w:val="00EE22C6"/>
    <w:rsid w:val="00F0334C"/>
    <w:rsid w:val="00F04394"/>
    <w:rsid w:val="00F60831"/>
    <w:rsid w:val="00F66136"/>
    <w:rsid w:val="00F87114"/>
    <w:rsid w:val="00F87FDD"/>
    <w:rsid w:val="00FB11A0"/>
    <w:rsid w:val="00FB5BAC"/>
    <w:rsid w:val="00FD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0DB4"/>
  <w15:chartTrackingRefBased/>
  <w15:docId w15:val="{50E1D017-2BC0-4434-9131-1E7F7BBF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7068D"/>
    <w:pPr>
      <w:widowControl w:val="0"/>
      <w:autoSpaceDE w:val="0"/>
      <w:autoSpaceDN w:val="0"/>
      <w:adjustRightInd w:val="0"/>
      <w:ind w:left="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8D"/>
    <w:pPr>
      <w:ind w:left="720"/>
      <w:contextualSpacing/>
    </w:pPr>
  </w:style>
  <w:style w:type="character" w:styleId="Hyperlink">
    <w:name w:val="Hyperlink"/>
    <w:basedOn w:val="DefaultParagraphFont"/>
    <w:uiPriority w:val="99"/>
    <w:unhideWhenUsed/>
    <w:rsid w:val="00D62877"/>
    <w:rPr>
      <w:color w:val="0563C1" w:themeColor="hyperlink"/>
      <w:u w:val="single"/>
    </w:rPr>
  </w:style>
  <w:style w:type="character" w:styleId="UnresolvedMention">
    <w:name w:val="Unresolved Mention"/>
    <w:basedOn w:val="DefaultParagraphFont"/>
    <w:uiPriority w:val="99"/>
    <w:semiHidden/>
    <w:unhideWhenUsed/>
    <w:rsid w:val="00D62877"/>
    <w:rPr>
      <w:color w:val="605E5C"/>
      <w:shd w:val="clear" w:color="auto" w:fill="E1DFDD"/>
    </w:rPr>
  </w:style>
  <w:style w:type="character" w:styleId="CommentReference">
    <w:name w:val="annotation reference"/>
    <w:basedOn w:val="DefaultParagraphFont"/>
    <w:uiPriority w:val="99"/>
    <w:semiHidden/>
    <w:unhideWhenUsed/>
    <w:rsid w:val="00835FE1"/>
    <w:rPr>
      <w:sz w:val="16"/>
      <w:szCs w:val="16"/>
    </w:rPr>
  </w:style>
  <w:style w:type="paragraph" w:styleId="CommentText">
    <w:name w:val="annotation text"/>
    <w:basedOn w:val="Normal"/>
    <w:link w:val="CommentTextChar"/>
    <w:uiPriority w:val="99"/>
    <w:semiHidden/>
    <w:unhideWhenUsed/>
    <w:rsid w:val="00835FE1"/>
    <w:rPr>
      <w:szCs w:val="20"/>
    </w:rPr>
  </w:style>
  <w:style w:type="character" w:customStyle="1" w:styleId="CommentTextChar">
    <w:name w:val="Comment Text Char"/>
    <w:basedOn w:val="DefaultParagraphFont"/>
    <w:link w:val="CommentText"/>
    <w:uiPriority w:val="99"/>
    <w:semiHidden/>
    <w:rsid w:val="00835F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FE1"/>
    <w:rPr>
      <w:b/>
      <w:bCs/>
    </w:rPr>
  </w:style>
  <w:style w:type="character" w:customStyle="1" w:styleId="CommentSubjectChar">
    <w:name w:val="Comment Subject Char"/>
    <w:basedOn w:val="CommentTextChar"/>
    <w:link w:val="CommentSubject"/>
    <w:uiPriority w:val="99"/>
    <w:semiHidden/>
    <w:rsid w:val="00835F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5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FE1"/>
    <w:rPr>
      <w:rFonts w:ascii="Segoe UI" w:eastAsia="Times New Roman" w:hAnsi="Segoe UI" w:cs="Segoe UI"/>
      <w:sz w:val="18"/>
      <w:szCs w:val="18"/>
    </w:rPr>
  </w:style>
  <w:style w:type="paragraph" w:styleId="Header">
    <w:name w:val="header"/>
    <w:basedOn w:val="Normal"/>
    <w:link w:val="HeaderChar"/>
    <w:uiPriority w:val="99"/>
    <w:unhideWhenUsed/>
    <w:rsid w:val="00355763"/>
    <w:pPr>
      <w:tabs>
        <w:tab w:val="center" w:pos="4680"/>
        <w:tab w:val="right" w:pos="9360"/>
      </w:tabs>
    </w:pPr>
  </w:style>
  <w:style w:type="character" w:customStyle="1" w:styleId="HeaderChar">
    <w:name w:val="Header Char"/>
    <w:basedOn w:val="DefaultParagraphFont"/>
    <w:link w:val="Header"/>
    <w:uiPriority w:val="99"/>
    <w:rsid w:val="0035576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55763"/>
    <w:pPr>
      <w:tabs>
        <w:tab w:val="center" w:pos="4680"/>
        <w:tab w:val="right" w:pos="9360"/>
      </w:tabs>
    </w:pPr>
  </w:style>
  <w:style w:type="character" w:customStyle="1" w:styleId="FooterChar">
    <w:name w:val="Footer Char"/>
    <w:basedOn w:val="DefaultParagraphFont"/>
    <w:link w:val="Footer"/>
    <w:uiPriority w:val="99"/>
    <w:rsid w:val="0035576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7</cp:revision>
  <cp:lastPrinted>2020-12-03T18:40:00Z</cp:lastPrinted>
  <dcterms:created xsi:type="dcterms:W3CDTF">2020-12-04T18:46:00Z</dcterms:created>
  <dcterms:modified xsi:type="dcterms:W3CDTF">2022-05-13T18:48:00Z</dcterms:modified>
</cp:coreProperties>
</file>