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ACA1" w14:textId="1D9E3E69" w:rsidR="008336DD" w:rsidRPr="00724B7A" w:rsidRDefault="00FB260A" w:rsidP="00724B7A">
      <w:pPr>
        <w:spacing w:line="240" w:lineRule="auto"/>
        <w:ind w:left="0" w:right="1152"/>
        <w:rPr>
          <w:rFonts w:cs="Times New Roman"/>
          <w:b/>
          <w:bCs/>
          <w:sz w:val="28"/>
          <w:szCs w:val="28"/>
        </w:rPr>
      </w:pPr>
      <w:r>
        <w:rPr>
          <w:rFonts w:cs="Times New Roman"/>
          <w:b/>
          <w:bCs/>
          <w:sz w:val="28"/>
          <w:szCs w:val="28"/>
        </w:rPr>
        <w:t>4.02</w:t>
      </w:r>
      <w:r w:rsidR="00724B7A">
        <w:rPr>
          <w:rFonts w:cs="Times New Roman"/>
          <w:b/>
          <w:bCs/>
          <w:sz w:val="28"/>
          <w:szCs w:val="28"/>
        </w:rPr>
        <w:t xml:space="preserve"> </w:t>
      </w:r>
      <w:r w:rsidR="00724B7A" w:rsidRPr="00724B7A">
        <w:rPr>
          <w:rFonts w:cs="Times New Roman"/>
          <w:b/>
          <w:bCs/>
          <w:sz w:val="28"/>
          <w:szCs w:val="28"/>
        </w:rPr>
        <w:t>D</w:t>
      </w:r>
      <w:r w:rsidR="008336DD" w:rsidRPr="00724B7A">
        <w:rPr>
          <w:rFonts w:cs="Times New Roman"/>
          <w:b/>
          <w:bCs/>
          <w:sz w:val="28"/>
          <w:szCs w:val="28"/>
        </w:rPr>
        <w:t>irect and Circumstantial Evidence Defined</w:t>
      </w:r>
    </w:p>
    <w:p w14:paraId="2F7993B4" w14:textId="77777777" w:rsidR="008336DD" w:rsidRPr="00063E86" w:rsidRDefault="008336DD" w:rsidP="00724B7A">
      <w:pPr>
        <w:spacing w:line="240" w:lineRule="auto"/>
        <w:ind w:right="1152"/>
        <w:rPr>
          <w:rFonts w:cs="Times New Roman"/>
          <w:b/>
          <w:bCs/>
          <w:sz w:val="28"/>
          <w:szCs w:val="28"/>
        </w:rPr>
      </w:pPr>
    </w:p>
    <w:p w14:paraId="66242A7E" w14:textId="3B4DC54B" w:rsidR="008336DD" w:rsidRPr="00063E86" w:rsidRDefault="00724B7A" w:rsidP="00724B7A">
      <w:pPr>
        <w:spacing w:line="240" w:lineRule="auto"/>
        <w:ind w:right="720"/>
        <w:contextualSpacing/>
        <w:textAlignment w:val="baseline"/>
        <w:rPr>
          <w:rFonts w:cs="Times New Roman"/>
          <w:b/>
          <w:bCs/>
          <w:spacing w:val="-2"/>
          <w:sz w:val="28"/>
          <w:szCs w:val="28"/>
        </w:rPr>
      </w:pPr>
      <w:r>
        <w:rPr>
          <w:rFonts w:eastAsia="Arial" w:cs="Times New Roman"/>
          <w:b/>
          <w:bCs/>
          <w:color w:val="000000"/>
          <w:spacing w:val="-2"/>
          <w:sz w:val="28"/>
          <w:szCs w:val="28"/>
        </w:rPr>
        <w:t xml:space="preserve">(1) </w:t>
      </w:r>
      <w:r w:rsidR="008336DD" w:rsidRPr="00063E86">
        <w:rPr>
          <w:rFonts w:eastAsia="Arial" w:cs="Times New Roman"/>
          <w:b/>
          <w:bCs/>
          <w:color w:val="000000"/>
          <w:spacing w:val="-2"/>
          <w:sz w:val="28"/>
          <w:szCs w:val="28"/>
        </w:rPr>
        <w:t>Direct evidence is evidence of a fact based on a witness</w:t>
      </w:r>
      <w:r w:rsidR="009D5C0D">
        <w:rPr>
          <w:rFonts w:eastAsia="Arial" w:cs="Times New Roman"/>
          <w:b/>
          <w:bCs/>
          <w:color w:val="000000"/>
          <w:spacing w:val="-2"/>
          <w:sz w:val="28"/>
          <w:szCs w:val="28"/>
        </w:rPr>
        <w:t>’</w:t>
      </w:r>
      <w:r w:rsidR="008336DD" w:rsidRPr="00063E86">
        <w:rPr>
          <w:rFonts w:eastAsia="Arial" w:cs="Times New Roman"/>
          <w:b/>
          <w:bCs/>
          <w:color w:val="000000"/>
          <w:spacing w:val="-2"/>
          <w:sz w:val="28"/>
          <w:szCs w:val="28"/>
        </w:rPr>
        <w:t xml:space="preserve">s personal knowledge of that fact acquired </w:t>
      </w:r>
      <w:r w:rsidR="008336DD" w:rsidRPr="00063E86">
        <w:rPr>
          <w:rFonts w:eastAsia="Arial" w:cs="Times New Roman"/>
          <w:b/>
          <w:bCs/>
          <w:spacing w:val="-2"/>
          <w:sz w:val="28"/>
          <w:szCs w:val="28"/>
        </w:rPr>
        <w:t>by means of the witness’s senses. Direct evidence may prove guilt of a charged offense or liability for a civil wrong</w:t>
      </w:r>
      <w:r w:rsidR="008336DD" w:rsidRPr="00063E86">
        <w:rPr>
          <w:rFonts w:eastAsia="Arial" w:cs="Times New Roman"/>
          <w:b/>
          <w:bCs/>
          <w:color w:val="2E74B5" w:themeColor="accent5" w:themeShade="BF"/>
          <w:spacing w:val="-2"/>
          <w:sz w:val="28"/>
          <w:szCs w:val="28"/>
        </w:rPr>
        <w:t xml:space="preserve"> </w:t>
      </w:r>
      <w:r w:rsidR="008336DD" w:rsidRPr="00063E86">
        <w:rPr>
          <w:rFonts w:eastAsia="Arial" w:cs="Times New Roman"/>
          <w:b/>
          <w:bCs/>
          <w:spacing w:val="-2"/>
          <w:sz w:val="28"/>
          <w:szCs w:val="28"/>
        </w:rPr>
        <w:t xml:space="preserve">if, standing alone, that evidence satisfies a jury </w:t>
      </w:r>
      <w:r w:rsidR="008336DD" w:rsidRPr="00063E86">
        <w:rPr>
          <w:rFonts w:cs="Times New Roman"/>
          <w:b/>
          <w:bCs/>
          <w:spacing w:val="-2"/>
          <w:sz w:val="28"/>
          <w:szCs w:val="28"/>
        </w:rPr>
        <w:t>that guilt of the offense has been prove</w:t>
      </w:r>
      <w:r w:rsidR="00BD029F">
        <w:rPr>
          <w:rFonts w:cs="Times New Roman"/>
          <w:b/>
          <w:bCs/>
          <w:spacing w:val="-2"/>
          <w:sz w:val="28"/>
          <w:szCs w:val="28"/>
        </w:rPr>
        <w:t>d</w:t>
      </w:r>
      <w:r w:rsidR="008336DD" w:rsidRPr="00063E86">
        <w:rPr>
          <w:rFonts w:cs="Times New Roman"/>
          <w:b/>
          <w:bCs/>
          <w:spacing w:val="-2"/>
          <w:sz w:val="28"/>
          <w:szCs w:val="28"/>
        </w:rPr>
        <w:t xml:space="preserve"> beyond a reasonable doubt or that liability for a civil wrong has been proven by a preponderance of the evidence or other applicable burden of proof.</w:t>
      </w:r>
    </w:p>
    <w:p w14:paraId="147F1644" w14:textId="77777777" w:rsidR="008336DD" w:rsidRPr="00063E86" w:rsidRDefault="008336DD" w:rsidP="00724B7A">
      <w:pPr>
        <w:spacing w:line="240" w:lineRule="auto"/>
        <w:ind w:right="1152"/>
        <w:contextualSpacing/>
        <w:textAlignment w:val="baseline"/>
        <w:rPr>
          <w:rFonts w:cs="Times New Roman"/>
          <w:b/>
          <w:bCs/>
          <w:spacing w:val="-2"/>
          <w:sz w:val="28"/>
          <w:szCs w:val="28"/>
        </w:rPr>
      </w:pPr>
    </w:p>
    <w:p w14:paraId="6A85F728" w14:textId="31969581" w:rsidR="008336DD" w:rsidRPr="00063E86" w:rsidRDefault="00724B7A" w:rsidP="00724B7A">
      <w:pPr>
        <w:spacing w:line="240" w:lineRule="auto"/>
        <w:ind w:right="720"/>
        <w:contextualSpacing/>
        <w:textAlignment w:val="baseline"/>
        <w:rPr>
          <w:rFonts w:eastAsia="Arial" w:cs="Times New Roman"/>
          <w:b/>
          <w:bCs/>
          <w:color w:val="000000"/>
          <w:sz w:val="28"/>
          <w:szCs w:val="28"/>
        </w:rPr>
      </w:pPr>
      <w:r>
        <w:rPr>
          <w:rFonts w:eastAsia="Arial" w:cs="Times New Roman"/>
          <w:b/>
          <w:bCs/>
          <w:color w:val="000000"/>
          <w:sz w:val="28"/>
          <w:szCs w:val="28"/>
        </w:rPr>
        <w:t xml:space="preserve">(2) </w:t>
      </w:r>
      <w:r w:rsidR="008336DD" w:rsidRPr="00063E86">
        <w:rPr>
          <w:rFonts w:eastAsia="Arial" w:cs="Times New Roman"/>
          <w:b/>
          <w:bCs/>
          <w:color w:val="000000"/>
          <w:sz w:val="28"/>
          <w:szCs w:val="28"/>
        </w:rPr>
        <w:t xml:space="preserve">Circumstantial evidence is direct evidence of a fact from which a person may reasonably infer </w:t>
      </w:r>
      <w:r w:rsidR="008336DD" w:rsidRPr="00063E86">
        <w:rPr>
          <w:rFonts w:eastAsia="Arial" w:cs="Times New Roman"/>
          <w:b/>
          <w:bCs/>
          <w:sz w:val="28"/>
          <w:szCs w:val="28"/>
        </w:rPr>
        <w:t>the existence or nonexistence of another fact.  Circumstantial evidence may prove guilt of a charged offense or liability for a civil wrong, if that evidence, while not directly establishing guilt of the offense or liability for a civil wrong, gives rise to an inference of guilt beyond a reasonable doubt</w:t>
      </w:r>
      <w:bookmarkStart w:id="0" w:name="_Hlk58671587"/>
      <w:r w:rsidR="008336DD" w:rsidRPr="00063E86">
        <w:rPr>
          <w:rFonts w:eastAsia="Arial" w:cs="Times New Roman"/>
          <w:b/>
          <w:bCs/>
          <w:sz w:val="28"/>
          <w:szCs w:val="28"/>
        </w:rPr>
        <w:t xml:space="preserve"> </w:t>
      </w:r>
      <w:r w:rsidR="008336DD" w:rsidRPr="00063E86">
        <w:rPr>
          <w:rFonts w:cs="Times New Roman"/>
          <w:b/>
          <w:bCs/>
          <w:sz w:val="28"/>
          <w:szCs w:val="28"/>
        </w:rPr>
        <w:t>or of liability for the civil wrong by a preponderance of the evidence or other applicable burden of proof.</w:t>
      </w:r>
    </w:p>
    <w:p w14:paraId="3067AC2C" w14:textId="677533E3" w:rsidR="008336DD" w:rsidRPr="00063E86" w:rsidRDefault="008336DD" w:rsidP="00724B7A">
      <w:pPr>
        <w:spacing w:line="240" w:lineRule="auto"/>
        <w:ind w:right="1152"/>
        <w:contextualSpacing/>
        <w:textAlignment w:val="baseline"/>
        <w:rPr>
          <w:rFonts w:eastAsia="Arial" w:cs="Times New Roman"/>
          <w:b/>
          <w:bCs/>
          <w:color w:val="000000"/>
          <w:sz w:val="28"/>
          <w:szCs w:val="28"/>
        </w:rPr>
      </w:pPr>
    </w:p>
    <w:p w14:paraId="1444EA61" w14:textId="4845B089" w:rsidR="008336DD" w:rsidRPr="00063E86" w:rsidRDefault="00724B7A" w:rsidP="00724B7A">
      <w:pPr>
        <w:spacing w:line="240" w:lineRule="auto"/>
        <w:ind w:right="720"/>
        <w:contextualSpacing/>
        <w:textAlignment w:val="baseline"/>
        <w:rPr>
          <w:rFonts w:eastAsia="Arial" w:cs="Times New Roman"/>
          <w:b/>
          <w:bCs/>
          <w:color w:val="000000"/>
          <w:sz w:val="28"/>
          <w:szCs w:val="28"/>
        </w:rPr>
      </w:pPr>
      <w:r>
        <w:rPr>
          <w:rFonts w:eastAsia="Arial" w:cs="Times New Roman"/>
          <w:b/>
          <w:bCs/>
          <w:color w:val="000000"/>
          <w:sz w:val="28"/>
          <w:szCs w:val="28"/>
        </w:rPr>
        <w:t xml:space="preserve">(3) </w:t>
      </w:r>
      <w:r w:rsidR="008336DD" w:rsidRPr="00063E86">
        <w:rPr>
          <w:rFonts w:eastAsia="Arial" w:cs="Times New Roman"/>
          <w:b/>
          <w:bCs/>
          <w:color w:val="000000"/>
          <w:sz w:val="28"/>
          <w:szCs w:val="28"/>
        </w:rPr>
        <w:t xml:space="preserve">The law draws no distinction between circumstantial evidence and direct evidence in terms of weight or importance. Either type of </w:t>
      </w:r>
      <w:r w:rsidR="008336DD" w:rsidRPr="00063E86">
        <w:rPr>
          <w:rFonts w:eastAsia="Arial" w:cs="Times New Roman"/>
          <w:b/>
          <w:bCs/>
          <w:sz w:val="28"/>
          <w:szCs w:val="28"/>
        </w:rPr>
        <w:t>evidence or a combination of both may be enough to meet the applicable burden of proof, depending on the facts of the case as determined by the finder of fact.</w:t>
      </w:r>
      <w:bookmarkEnd w:id="0"/>
    </w:p>
    <w:p w14:paraId="32E04F46" w14:textId="77777777" w:rsidR="008336DD" w:rsidRPr="00063E86" w:rsidRDefault="008336DD" w:rsidP="00724B7A">
      <w:pPr>
        <w:spacing w:line="240" w:lineRule="auto"/>
        <w:ind w:right="720"/>
        <w:contextualSpacing/>
        <w:rPr>
          <w:rFonts w:eastAsia="Arial" w:cs="Times New Roman"/>
          <w:b/>
          <w:bCs/>
          <w:color w:val="000000"/>
          <w:sz w:val="28"/>
          <w:szCs w:val="28"/>
        </w:rPr>
      </w:pPr>
    </w:p>
    <w:p w14:paraId="624E0792" w14:textId="729DDF39" w:rsidR="008336DD" w:rsidRPr="00063E86" w:rsidRDefault="00724B7A" w:rsidP="00724B7A">
      <w:pPr>
        <w:spacing w:line="240" w:lineRule="auto"/>
        <w:ind w:right="720"/>
        <w:contextualSpacing/>
        <w:textAlignment w:val="baseline"/>
        <w:rPr>
          <w:rFonts w:eastAsia="Arial" w:cs="Times New Roman"/>
          <w:b/>
          <w:bCs/>
          <w:color w:val="000000"/>
          <w:sz w:val="28"/>
          <w:szCs w:val="28"/>
        </w:rPr>
      </w:pPr>
      <w:r>
        <w:rPr>
          <w:rFonts w:eastAsia="Arial" w:cs="Times New Roman"/>
          <w:b/>
          <w:bCs/>
          <w:sz w:val="28"/>
          <w:szCs w:val="28"/>
        </w:rPr>
        <w:t xml:space="preserve">(4) </w:t>
      </w:r>
      <w:r w:rsidR="008336DD" w:rsidRPr="00063E86">
        <w:rPr>
          <w:rFonts w:eastAsia="Arial" w:cs="Times New Roman"/>
          <w:b/>
          <w:bCs/>
          <w:sz w:val="28"/>
          <w:szCs w:val="28"/>
        </w:rPr>
        <w:t xml:space="preserve">In a criminal proceeding, a </w:t>
      </w:r>
      <w:r w:rsidR="008336DD" w:rsidRPr="00063E86">
        <w:rPr>
          <w:rFonts w:eastAsia="Arial" w:cs="Times New Roman"/>
          <w:b/>
          <w:bCs/>
          <w:color w:val="000000"/>
          <w:sz w:val="28"/>
          <w:szCs w:val="28"/>
        </w:rPr>
        <w:t>defendant’s confession of guilt constitutes direct evidence. A defendant’s admission, not amounting to a confession because it does not directly acknowledge guilt but includes inculpatory statements from which a jury may infer guilt, is circumstantial evidence.</w:t>
      </w:r>
    </w:p>
    <w:p w14:paraId="432FA7D5" w14:textId="77777777" w:rsidR="00063E86" w:rsidRDefault="00063E86" w:rsidP="00063E86">
      <w:pPr>
        <w:spacing w:line="240" w:lineRule="auto"/>
        <w:ind w:left="1152" w:right="1152"/>
        <w:jc w:val="center"/>
        <w:textAlignment w:val="baseline"/>
        <w:rPr>
          <w:rFonts w:eastAsia="Arial" w:cs="Times New Roman"/>
          <w:b/>
          <w:bCs/>
          <w:color w:val="000000"/>
          <w:sz w:val="28"/>
          <w:szCs w:val="28"/>
        </w:rPr>
      </w:pPr>
    </w:p>
    <w:p w14:paraId="2343A9FD" w14:textId="16466B33" w:rsidR="008336DD" w:rsidRDefault="008336DD" w:rsidP="00063E86">
      <w:pPr>
        <w:spacing w:line="240" w:lineRule="auto"/>
        <w:ind w:left="1152" w:right="1152"/>
        <w:jc w:val="center"/>
        <w:textAlignment w:val="baseline"/>
        <w:rPr>
          <w:rFonts w:eastAsia="Arial" w:cs="Times New Roman"/>
          <w:b/>
          <w:bCs/>
          <w:color w:val="000000"/>
          <w:sz w:val="28"/>
          <w:szCs w:val="28"/>
        </w:rPr>
      </w:pPr>
      <w:r w:rsidRPr="00063E86">
        <w:rPr>
          <w:rFonts w:eastAsia="Arial" w:cs="Times New Roman"/>
          <w:b/>
          <w:bCs/>
          <w:color w:val="000000"/>
          <w:sz w:val="28"/>
          <w:szCs w:val="28"/>
        </w:rPr>
        <w:t>Note</w:t>
      </w:r>
    </w:p>
    <w:p w14:paraId="268B4EAF" w14:textId="77777777" w:rsidR="00063E86" w:rsidRPr="00063E86" w:rsidRDefault="00063E86" w:rsidP="00063E86">
      <w:pPr>
        <w:spacing w:line="240" w:lineRule="auto"/>
        <w:ind w:left="1152" w:right="1152"/>
        <w:jc w:val="center"/>
        <w:textAlignment w:val="baseline"/>
        <w:rPr>
          <w:rFonts w:eastAsia="Arial" w:cs="Times New Roman"/>
          <w:b/>
          <w:bCs/>
          <w:color w:val="000000"/>
          <w:sz w:val="28"/>
          <w:szCs w:val="28"/>
        </w:rPr>
      </w:pPr>
    </w:p>
    <w:p w14:paraId="75DD0FA5" w14:textId="6F6B866C" w:rsidR="008336DD" w:rsidRPr="00063E86" w:rsidRDefault="008336DD" w:rsidP="006A76E6">
      <w:pPr>
        <w:tabs>
          <w:tab w:val="left" w:pos="720"/>
        </w:tabs>
        <w:spacing w:line="240" w:lineRule="auto"/>
        <w:ind w:left="0"/>
        <w:rPr>
          <w:rFonts w:cs="Times New Roman"/>
          <w:szCs w:val="24"/>
        </w:rPr>
      </w:pPr>
      <w:r w:rsidRPr="00063E86">
        <w:rPr>
          <w:rFonts w:eastAsia="Arial" w:cs="Times New Roman"/>
          <w:color w:val="000000"/>
          <w:sz w:val="28"/>
          <w:szCs w:val="28"/>
        </w:rPr>
        <w:lastRenderedPageBreak/>
        <w:tab/>
      </w:r>
      <w:r w:rsidRPr="00063E86">
        <w:rPr>
          <w:rFonts w:eastAsia="Arial" w:cs="Times New Roman"/>
          <w:b/>
          <w:bCs/>
          <w:szCs w:val="24"/>
        </w:rPr>
        <w:t>Subdivisions (1) and (2)</w:t>
      </w:r>
      <w:r w:rsidRPr="00063E86">
        <w:rPr>
          <w:rFonts w:eastAsia="Arial" w:cs="Times New Roman"/>
          <w:szCs w:val="24"/>
        </w:rPr>
        <w:t xml:space="preserve"> </w:t>
      </w:r>
      <w:bookmarkStart w:id="1" w:name="_Hlk58673236"/>
      <w:r w:rsidRPr="00063E86">
        <w:rPr>
          <w:rFonts w:eastAsia="Arial" w:cs="Times New Roman"/>
          <w:szCs w:val="24"/>
        </w:rPr>
        <w:t>are derived from CJI2d</w:t>
      </w:r>
      <w:r w:rsidR="00A15EC7" w:rsidRPr="00063E86">
        <w:rPr>
          <w:rFonts w:eastAsia="Arial" w:cs="Times New Roman"/>
          <w:szCs w:val="24"/>
        </w:rPr>
        <w:t>(</w:t>
      </w:r>
      <w:r w:rsidRPr="00063E86">
        <w:rPr>
          <w:rFonts w:eastAsia="Arial" w:cs="Times New Roman"/>
          <w:szCs w:val="24"/>
        </w:rPr>
        <w:t>NY</w:t>
      </w:r>
      <w:r w:rsidR="00A15EC7" w:rsidRPr="00063E86">
        <w:rPr>
          <w:rFonts w:eastAsia="Arial" w:cs="Times New Roman"/>
          <w:szCs w:val="24"/>
        </w:rPr>
        <w:t>) Evidence</w:t>
      </w:r>
      <w:r w:rsidR="004C118F">
        <w:rPr>
          <w:rFonts w:ascii="Georgia" w:eastAsia="Arial" w:hAnsi="Georgia" w:cs="Times New Roman"/>
          <w:szCs w:val="24"/>
        </w:rPr>
        <w:t>—</w:t>
      </w:r>
      <w:r w:rsidRPr="00063E86">
        <w:rPr>
          <w:rFonts w:eastAsia="Arial" w:cs="Times New Roman"/>
          <w:szCs w:val="24"/>
        </w:rPr>
        <w:t>Circumstantial Evidence</w:t>
      </w:r>
      <w:r w:rsidR="00A15EC7" w:rsidRPr="00063E86">
        <w:rPr>
          <w:rFonts w:eastAsia="Arial" w:cs="Times New Roman"/>
          <w:szCs w:val="24"/>
        </w:rPr>
        <w:t xml:space="preserve"> </w:t>
      </w:r>
      <w:r w:rsidRPr="00063E86">
        <w:rPr>
          <w:rFonts w:eastAsia="Arial" w:cs="Times New Roman"/>
          <w:szCs w:val="24"/>
        </w:rPr>
        <w:t>and PJI 1:70 (General Instruction</w:t>
      </w:r>
      <w:r w:rsidR="004C118F">
        <w:rPr>
          <w:rFonts w:ascii="Georgia" w:eastAsia="Arial" w:hAnsi="Georgia" w:cs="Times New Roman"/>
          <w:szCs w:val="24"/>
        </w:rPr>
        <w:t>—</w:t>
      </w:r>
      <w:r w:rsidRPr="00063E86">
        <w:rPr>
          <w:rFonts w:eastAsia="Arial" w:cs="Times New Roman"/>
          <w:szCs w:val="24"/>
        </w:rPr>
        <w:t>Circumstantial Evidence</w:t>
      </w:r>
      <w:r w:rsidR="00A260F6" w:rsidRPr="00063E86">
        <w:rPr>
          <w:rFonts w:eastAsia="Arial" w:cs="Times New Roman"/>
          <w:szCs w:val="24"/>
        </w:rPr>
        <w:t>)</w:t>
      </w:r>
      <w:r w:rsidRPr="00063E86">
        <w:rPr>
          <w:rFonts w:eastAsia="Arial" w:cs="Times New Roman"/>
          <w:szCs w:val="24"/>
        </w:rPr>
        <w:t xml:space="preserve">.  </w:t>
      </w:r>
      <w:r w:rsidRPr="00063E86">
        <w:rPr>
          <w:rFonts w:eastAsia="Arial" w:cs="Times New Roman"/>
          <w:color w:val="000000"/>
          <w:szCs w:val="24"/>
        </w:rPr>
        <w:t>Those definitions</w:t>
      </w:r>
      <w:bookmarkEnd w:id="1"/>
      <w:r w:rsidRPr="00063E86">
        <w:rPr>
          <w:rFonts w:eastAsia="Arial" w:cs="Times New Roman"/>
          <w:color w:val="000000"/>
          <w:szCs w:val="24"/>
        </w:rPr>
        <w:t xml:space="preserve"> summarize the law of New York, beginning with </w:t>
      </w:r>
      <w:r w:rsidRPr="00063E86">
        <w:rPr>
          <w:rFonts w:cs="Times New Roman"/>
          <w:i/>
          <w:iCs/>
          <w:szCs w:val="24"/>
        </w:rPr>
        <w:t>People v Bretagna</w:t>
      </w:r>
      <w:r w:rsidRPr="00063E86">
        <w:rPr>
          <w:rFonts w:cs="Times New Roman"/>
          <w:szCs w:val="24"/>
        </w:rPr>
        <w:t xml:space="preserve"> </w:t>
      </w:r>
      <w:r w:rsidR="00A260F6" w:rsidRPr="00063E86">
        <w:rPr>
          <w:rFonts w:cs="Times New Roman"/>
          <w:szCs w:val="24"/>
        </w:rPr>
        <w:t>(</w:t>
      </w:r>
      <w:r w:rsidRPr="00063E86">
        <w:rPr>
          <w:rFonts w:cs="Times New Roman"/>
          <w:szCs w:val="24"/>
        </w:rPr>
        <w:t>298 NY 323, 325-</w:t>
      </w:r>
      <w:r w:rsidR="00A260F6" w:rsidRPr="00063E86">
        <w:rPr>
          <w:rFonts w:cs="Times New Roman"/>
          <w:szCs w:val="24"/>
        </w:rPr>
        <w:t>3</w:t>
      </w:r>
      <w:r w:rsidRPr="00063E86">
        <w:rPr>
          <w:rFonts w:cs="Times New Roman"/>
          <w:szCs w:val="24"/>
        </w:rPr>
        <w:t>26 [1949]</w:t>
      </w:r>
      <w:r w:rsidR="00A260F6" w:rsidRPr="00063E86">
        <w:rPr>
          <w:rFonts w:cs="Times New Roman"/>
          <w:szCs w:val="24"/>
        </w:rPr>
        <w:t>)</w:t>
      </w:r>
      <w:r w:rsidRPr="00063E86">
        <w:rPr>
          <w:rFonts w:cs="Times New Roman"/>
          <w:szCs w:val="24"/>
        </w:rPr>
        <w:t>:</w:t>
      </w:r>
    </w:p>
    <w:p w14:paraId="3CAE2ABF" w14:textId="77777777" w:rsidR="008336DD" w:rsidRPr="00063E86" w:rsidRDefault="008336DD" w:rsidP="006A76E6">
      <w:pPr>
        <w:spacing w:line="240" w:lineRule="auto"/>
        <w:ind w:left="0" w:right="720"/>
        <w:rPr>
          <w:rFonts w:cs="Times New Roman"/>
          <w:szCs w:val="24"/>
        </w:rPr>
      </w:pPr>
    </w:p>
    <w:p w14:paraId="00AABA55" w14:textId="5F724D3E" w:rsidR="008336DD" w:rsidRPr="00063E86" w:rsidRDefault="009D5C0D" w:rsidP="006A76E6">
      <w:pPr>
        <w:spacing w:line="240" w:lineRule="auto"/>
        <w:ind w:right="720"/>
        <w:rPr>
          <w:rFonts w:cs="Times New Roman"/>
          <w:szCs w:val="24"/>
        </w:rPr>
      </w:pPr>
      <w:r>
        <w:rPr>
          <w:rFonts w:cs="Times New Roman"/>
          <w:szCs w:val="24"/>
        </w:rPr>
        <w:t>“</w:t>
      </w:r>
      <w:r w:rsidR="008336DD" w:rsidRPr="00063E86">
        <w:rPr>
          <w:rFonts w:cs="Times New Roman"/>
          <w:szCs w:val="24"/>
        </w:rPr>
        <w:t>Evidence is direct and positive when the very facts in dispute are communicated by those who have the actual knowledge of them by means of their senses. * * * Circumstantial evidence</w:t>
      </w:r>
      <w:r w:rsidR="003955C7" w:rsidRPr="00063E86">
        <w:rPr>
          <w:rFonts w:cs="Times New Roman"/>
          <w:szCs w:val="24"/>
        </w:rPr>
        <w:t xml:space="preserve"> . . . </w:t>
      </w:r>
      <w:r w:rsidR="008336DD" w:rsidRPr="00063E86">
        <w:rPr>
          <w:rFonts w:cs="Times New Roman"/>
          <w:szCs w:val="24"/>
        </w:rPr>
        <w:t>never proves directly the fact in question.  In other words, direct</w:t>
      </w:r>
      <w:r w:rsidR="003955C7" w:rsidRPr="00063E86">
        <w:rPr>
          <w:rFonts w:cs="Times New Roman"/>
          <w:szCs w:val="24"/>
        </w:rPr>
        <w:t xml:space="preserve"> . . . </w:t>
      </w:r>
      <w:r w:rsidR="008336DD" w:rsidRPr="00063E86">
        <w:rPr>
          <w:rFonts w:cs="Times New Roman"/>
          <w:szCs w:val="24"/>
        </w:rPr>
        <w:t>evidence, as the term is commonly used, means statements by witnesses, directly probative of one or more of the principal</w:t>
      </w:r>
      <w:r w:rsidR="003955C7" w:rsidRPr="00063E86">
        <w:rPr>
          <w:rFonts w:cs="Times New Roman"/>
          <w:szCs w:val="24"/>
        </w:rPr>
        <w:t xml:space="preserve"> . . . </w:t>
      </w:r>
      <w:r w:rsidR="008336DD" w:rsidRPr="00063E86">
        <w:rPr>
          <w:rFonts w:cs="Times New Roman"/>
          <w:szCs w:val="24"/>
        </w:rPr>
        <w:t>facts of the case, while circumstantial evidence puts before the tribunal facts which, alone or with others, are in some degree but indirectly, probative of one or more of those principal</w:t>
      </w:r>
      <w:r w:rsidR="003B54BC" w:rsidRPr="00063E86">
        <w:rPr>
          <w:rFonts w:cs="Times New Roman"/>
          <w:szCs w:val="24"/>
        </w:rPr>
        <w:t xml:space="preserve"> . . . </w:t>
      </w:r>
      <w:r w:rsidR="008336DD" w:rsidRPr="00063E86">
        <w:rPr>
          <w:rFonts w:cs="Times New Roman"/>
          <w:szCs w:val="24"/>
        </w:rPr>
        <w:t>facts, and from which one or more of those principal facts may properly be inferred</w:t>
      </w:r>
      <w:r>
        <w:rPr>
          <w:rFonts w:cs="Times New Roman"/>
          <w:szCs w:val="24"/>
        </w:rPr>
        <w:t>”</w:t>
      </w:r>
      <w:r w:rsidR="00A260F6" w:rsidRPr="00063E86">
        <w:rPr>
          <w:rFonts w:cs="Times New Roman"/>
          <w:szCs w:val="24"/>
        </w:rPr>
        <w:t xml:space="preserve"> (</w:t>
      </w:r>
      <w:r w:rsidR="00A260F6" w:rsidRPr="00063E86">
        <w:rPr>
          <w:rFonts w:cs="Times New Roman"/>
          <w:i/>
          <w:iCs/>
          <w:szCs w:val="24"/>
        </w:rPr>
        <w:t>id.</w:t>
      </w:r>
      <w:r w:rsidR="00A260F6" w:rsidRPr="00063E86">
        <w:rPr>
          <w:rFonts w:cs="Times New Roman"/>
          <w:szCs w:val="24"/>
        </w:rPr>
        <w:t xml:space="preserve"> [internal quotation marks omitted]; </w:t>
      </w:r>
      <w:r w:rsidR="00A260F6" w:rsidRPr="00063E86">
        <w:rPr>
          <w:rFonts w:cs="Times New Roman"/>
          <w:i/>
          <w:iCs/>
          <w:szCs w:val="24"/>
        </w:rPr>
        <w:t>see People v Hardy</w:t>
      </w:r>
      <w:r w:rsidR="00A260F6" w:rsidRPr="00063E86">
        <w:rPr>
          <w:rFonts w:cs="Times New Roman"/>
          <w:szCs w:val="24"/>
        </w:rPr>
        <w:t>, 26 NY3d 245, 251 [2015] [“This Court has described circumstantial evidence as evidence that never proves directly the fact in question. (</w:t>
      </w:r>
      <w:r w:rsidR="00A260F6" w:rsidRPr="00063E86">
        <w:rPr>
          <w:rFonts w:cs="Times New Roman"/>
          <w:i/>
          <w:iCs/>
          <w:szCs w:val="24"/>
        </w:rPr>
        <w:t>People v Bretagna</w:t>
      </w:r>
      <w:r w:rsidR="00A260F6" w:rsidRPr="00063E86">
        <w:rPr>
          <w:rFonts w:cs="Times New Roman"/>
          <w:szCs w:val="24"/>
        </w:rPr>
        <w:t>, 298 NY 323, 325 [1949]</w:t>
      </w:r>
      <w:r w:rsidR="00011B0E" w:rsidRPr="00063E86">
        <w:rPr>
          <w:rFonts w:cs="Times New Roman"/>
          <w:szCs w:val="24"/>
        </w:rPr>
        <w:t>)</w:t>
      </w:r>
      <w:r w:rsidR="00A260F6" w:rsidRPr="00063E86">
        <w:rPr>
          <w:rFonts w:cs="Times New Roman"/>
          <w:szCs w:val="24"/>
        </w:rPr>
        <w:t>. By contrast</w:t>
      </w:r>
      <w:r w:rsidR="003B54BC" w:rsidRPr="00063E86">
        <w:rPr>
          <w:rFonts w:cs="Times New Roman"/>
          <w:szCs w:val="24"/>
        </w:rPr>
        <w:t xml:space="preserve"> . . . </w:t>
      </w:r>
      <w:r w:rsidR="00A260F6" w:rsidRPr="00063E86">
        <w:rPr>
          <w:rFonts w:cs="Times New Roman"/>
          <w:szCs w:val="24"/>
        </w:rPr>
        <w:t>direct evidence</w:t>
      </w:r>
      <w:r w:rsidR="003B54BC" w:rsidRPr="00063E86">
        <w:rPr>
          <w:rFonts w:cs="Times New Roman"/>
          <w:szCs w:val="24"/>
        </w:rPr>
        <w:t xml:space="preserve"> . . . </w:t>
      </w:r>
      <w:r w:rsidR="00A260F6" w:rsidRPr="00063E86">
        <w:rPr>
          <w:rFonts w:cs="Times New Roman"/>
          <w:szCs w:val="24"/>
        </w:rPr>
        <w:t xml:space="preserve">requires no inference to establish </w:t>
      </w:r>
      <w:r w:rsidR="00011B0E" w:rsidRPr="00063E86">
        <w:rPr>
          <w:rFonts w:cs="Times New Roman"/>
          <w:szCs w:val="24"/>
        </w:rPr>
        <w:t>(</w:t>
      </w:r>
      <w:r w:rsidR="00A260F6" w:rsidRPr="00063E86">
        <w:rPr>
          <w:rFonts w:cs="Times New Roman"/>
          <w:szCs w:val="24"/>
        </w:rPr>
        <w:t>a particular fact</w:t>
      </w:r>
      <w:r w:rsidR="00011B0E" w:rsidRPr="00063E86">
        <w:rPr>
          <w:rFonts w:cs="Times New Roman"/>
          <w:szCs w:val="24"/>
        </w:rPr>
        <w:t>)</w:t>
      </w:r>
      <w:r w:rsidR="00A260F6" w:rsidRPr="00063E86">
        <w:rPr>
          <w:rFonts w:cs="Times New Roman"/>
          <w:szCs w:val="24"/>
        </w:rPr>
        <w:t>” (internal</w:t>
      </w:r>
      <w:r w:rsidR="00932F4D" w:rsidRPr="00063E86">
        <w:rPr>
          <w:rFonts w:cs="Times New Roman"/>
          <w:szCs w:val="24"/>
        </w:rPr>
        <w:t xml:space="preserve"> </w:t>
      </w:r>
      <w:r w:rsidR="00A260F6" w:rsidRPr="00063E86">
        <w:rPr>
          <w:rFonts w:cs="Times New Roman"/>
          <w:szCs w:val="24"/>
        </w:rPr>
        <w:t xml:space="preserve">quotation marks </w:t>
      </w:r>
      <w:r w:rsidR="00932F4D" w:rsidRPr="00063E86">
        <w:rPr>
          <w:rFonts w:cs="Times New Roman"/>
          <w:szCs w:val="24"/>
        </w:rPr>
        <w:t xml:space="preserve">and citations </w:t>
      </w:r>
      <w:r w:rsidR="00A260F6" w:rsidRPr="00063E86">
        <w:rPr>
          <w:rFonts w:cs="Times New Roman"/>
          <w:szCs w:val="24"/>
        </w:rPr>
        <w:t xml:space="preserve">omitted)]; </w:t>
      </w:r>
      <w:r w:rsidR="00A260F6" w:rsidRPr="00063E86">
        <w:rPr>
          <w:rFonts w:cs="Times New Roman"/>
          <w:i/>
          <w:iCs/>
          <w:szCs w:val="24"/>
        </w:rPr>
        <w:t>Schneider v Kings Hwy. Hosp. Ctr</w:t>
      </w:r>
      <w:r w:rsidR="00A260F6" w:rsidRPr="00063E86">
        <w:rPr>
          <w:rFonts w:cs="Times New Roman"/>
          <w:szCs w:val="24"/>
        </w:rPr>
        <w:t>., 67 NY2d 743, 744 [1986] [</w:t>
      </w:r>
      <w:r>
        <w:rPr>
          <w:rFonts w:cs="Times New Roman"/>
          <w:szCs w:val="24"/>
        </w:rPr>
        <w:t>“</w:t>
      </w:r>
      <w:r w:rsidR="00A260F6" w:rsidRPr="00063E86">
        <w:rPr>
          <w:rFonts w:cs="Times New Roman"/>
          <w:szCs w:val="24"/>
        </w:rPr>
        <w:t>To establish a prima facie case of negligence based wholly on circumstantial evidence, ‘</w:t>
      </w:r>
      <w:r w:rsidR="00011B0E" w:rsidRPr="00063E86">
        <w:rPr>
          <w:rFonts w:cs="Times New Roman"/>
          <w:szCs w:val="24"/>
        </w:rPr>
        <w:t>(</w:t>
      </w:r>
      <w:r w:rsidR="00A260F6" w:rsidRPr="00063E86">
        <w:rPr>
          <w:rFonts w:cs="Times New Roman"/>
          <w:szCs w:val="24"/>
        </w:rPr>
        <w:t>i</w:t>
      </w:r>
      <w:r w:rsidR="00011B0E" w:rsidRPr="00063E86">
        <w:rPr>
          <w:rFonts w:cs="Times New Roman"/>
          <w:szCs w:val="24"/>
        </w:rPr>
        <w:t>)</w:t>
      </w:r>
      <w:r w:rsidR="00A260F6" w:rsidRPr="00063E86">
        <w:rPr>
          <w:rFonts w:cs="Times New Roman"/>
          <w:szCs w:val="24"/>
        </w:rPr>
        <w:t xml:space="preserve">t is enough that </w:t>
      </w:r>
      <w:r w:rsidR="00011B0E" w:rsidRPr="00063E86">
        <w:rPr>
          <w:rFonts w:cs="Times New Roman"/>
          <w:szCs w:val="24"/>
        </w:rPr>
        <w:t>(</w:t>
      </w:r>
      <w:r w:rsidR="00A260F6" w:rsidRPr="00063E86">
        <w:rPr>
          <w:rFonts w:cs="Times New Roman"/>
          <w:szCs w:val="24"/>
        </w:rPr>
        <w:t>plaintiff</w:t>
      </w:r>
      <w:r w:rsidR="00011B0E" w:rsidRPr="00063E86">
        <w:rPr>
          <w:rFonts w:cs="Times New Roman"/>
          <w:szCs w:val="24"/>
        </w:rPr>
        <w:t>)</w:t>
      </w:r>
      <w:r w:rsidR="00A260F6" w:rsidRPr="00063E86">
        <w:rPr>
          <w:rFonts w:cs="Times New Roman"/>
          <w:szCs w:val="24"/>
        </w:rPr>
        <w:t xml:space="preserve"> shows facts and conditions from which the negligence of the defendant and the causation of the accident by that negligence may be reasonably inferred.’ The law does not require that plaintiff</w:t>
      </w:r>
      <w:r>
        <w:rPr>
          <w:rFonts w:cs="Times New Roman"/>
          <w:szCs w:val="24"/>
        </w:rPr>
        <w:t>’</w:t>
      </w:r>
      <w:r w:rsidR="00A260F6" w:rsidRPr="00063E86">
        <w:rPr>
          <w:rFonts w:cs="Times New Roman"/>
          <w:szCs w:val="24"/>
        </w:rPr>
        <w:t>s proof ‘positively exclude every other possible cause’ of the accident but defendant</w:t>
      </w:r>
      <w:r>
        <w:rPr>
          <w:rFonts w:cs="Times New Roman"/>
          <w:szCs w:val="24"/>
        </w:rPr>
        <w:t>’</w:t>
      </w:r>
      <w:r w:rsidR="00A260F6" w:rsidRPr="00063E86">
        <w:rPr>
          <w:rFonts w:cs="Times New Roman"/>
          <w:szCs w:val="24"/>
        </w:rPr>
        <w:t>s negligence. Rather, her proof must render those other causes sufficiently ‘remote’ or ‘technical’ to enable the jury to reach its verdict based not upon speculation, but upon the logical inferences to be drawn from the evidence</w:t>
      </w:r>
      <w:r>
        <w:rPr>
          <w:rFonts w:cs="Times New Roman"/>
          <w:szCs w:val="24"/>
        </w:rPr>
        <w:t>”</w:t>
      </w:r>
      <w:r w:rsidR="00A260F6" w:rsidRPr="00063E86">
        <w:rPr>
          <w:rFonts w:cs="Times New Roman"/>
          <w:szCs w:val="24"/>
        </w:rPr>
        <w:t xml:space="preserve"> (citations omitted)]; </w:t>
      </w:r>
      <w:r w:rsidR="00A260F6" w:rsidRPr="00063E86">
        <w:rPr>
          <w:rFonts w:cs="Times New Roman"/>
          <w:i/>
          <w:iCs/>
          <w:szCs w:val="24"/>
        </w:rPr>
        <w:t>Markel v Spencer</w:t>
      </w:r>
      <w:r w:rsidR="00A260F6" w:rsidRPr="00063E86">
        <w:rPr>
          <w:rFonts w:cs="Times New Roman"/>
          <w:szCs w:val="24"/>
        </w:rPr>
        <w:t>, 5 AD2d 400 [</w:t>
      </w:r>
      <w:r w:rsidR="00011B0E" w:rsidRPr="00063E86">
        <w:rPr>
          <w:rFonts w:cs="Times New Roman"/>
          <w:szCs w:val="24"/>
        </w:rPr>
        <w:t xml:space="preserve">4th </w:t>
      </w:r>
      <w:r w:rsidR="00A260F6" w:rsidRPr="00063E86">
        <w:rPr>
          <w:rFonts w:cs="Times New Roman"/>
          <w:szCs w:val="24"/>
        </w:rPr>
        <w:t xml:space="preserve">Dept 1958], </w:t>
      </w:r>
      <w:r w:rsidR="00A260F6" w:rsidRPr="00063E86">
        <w:rPr>
          <w:rFonts w:cs="Times New Roman"/>
          <w:i/>
          <w:iCs/>
          <w:szCs w:val="24"/>
        </w:rPr>
        <w:t xml:space="preserve">affd </w:t>
      </w:r>
      <w:r w:rsidR="00011B0E" w:rsidRPr="00063E86">
        <w:rPr>
          <w:rFonts w:cs="Times New Roman"/>
          <w:i/>
          <w:iCs/>
          <w:szCs w:val="24"/>
        </w:rPr>
        <w:t xml:space="preserve">without </w:t>
      </w:r>
      <w:r w:rsidR="00A260F6" w:rsidRPr="00063E86">
        <w:rPr>
          <w:rFonts w:cs="Times New Roman"/>
          <w:i/>
          <w:iCs/>
          <w:szCs w:val="24"/>
        </w:rPr>
        <w:t>op</w:t>
      </w:r>
      <w:r w:rsidR="00A260F6" w:rsidRPr="00063E86">
        <w:rPr>
          <w:rFonts w:cs="Times New Roman"/>
          <w:szCs w:val="24"/>
        </w:rPr>
        <w:t xml:space="preserve"> 5 NY2d 958 [1959]</w:t>
      </w:r>
      <w:r w:rsidR="00011B0E" w:rsidRPr="00063E86">
        <w:rPr>
          <w:rFonts w:cs="Times New Roman"/>
          <w:szCs w:val="24"/>
        </w:rPr>
        <w:t>)</w:t>
      </w:r>
      <w:r w:rsidR="00A260F6" w:rsidRPr="00063E86">
        <w:rPr>
          <w:rFonts w:cs="Times New Roman"/>
          <w:szCs w:val="24"/>
        </w:rPr>
        <w:t>.</w:t>
      </w:r>
    </w:p>
    <w:p w14:paraId="1D027CCE" w14:textId="77777777" w:rsidR="008336DD" w:rsidRPr="00063E86" w:rsidRDefault="008336DD" w:rsidP="00063E86">
      <w:pPr>
        <w:spacing w:line="240" w:lineRule="auto"/>
        <w:ind w:left="72" w:right="1152" w:firstLine="648"/>
        <w:rPr>
          <w:rFonts w:eastAsia="Times New Roman" w:cs="Times New Roman"/>
          <w:color w:val="000000"/>
          <w:szCs w:val="24"/>
        </w:rPr>
      </w:pPr>
    </w:p>
    <w:p w14:paraId="037AA2C6" w14:textId="3264E31A" w:rsidR="008336DD" w:rsidRPr="00063E86" w:rsidRDefault="006A76E6" w:rsidP="006A76E6">
      <w:pPr>
        <w:tabs>
          <w:tab w:val="left" w:pos="720"/>
        </w:tabs>
        <w:spacing w:line="240" w:lineRule="auto"/>
        <w:ind w:left="0"/>
        <w:rPr>
          <w:rFonts w:eastAsia="Times New Roman" w:cs="Times New Roman"/>
          <w:color w:val="000000"/>
          <w:szCs w:val="24"/>
        </w:rPr>
      </w:pPr>
      <w:r>
        <w:rPr>
          <w:rFonts w:eastAsia="Times New Roman" w:cs="Times New Roman"/>
          <w:color w:val="000000"/>
          <w:szCs w:val="24"/>
        </w:rPr>
        <w:tab/>
      </w:r>
      <w:r w:rsidR="008336DD" w:rsidRPr="00063E86">
        <w:rPr>
          <w:rFonts w:eastAsia="Times New Roman" w:cs="Times New Roman"/>
          <w:color w:val="000000"/>
          <w:szCs w:val="24"/>
        </w:rPr>
        <w:t xml:space="preserve">In </w:t>
      </w:r>
      <w:r w:rsidR="008336DD" w:rsidRPr="00063E86">
        <w:rPr>
          <w:rFonts w:eastAsia="Times New Roman" w:cs="Times New Roman"/>
          <w:i/>
          <w:iCs/>
          <w:color w:val="000000"/>
          <w:szCs w:val="24"/>
        </w:rPr>
        <w:t>Hardy</w:t>
      </w:r>
      <w:r w:rsidR="008336DD" w:rsidRPr="00063E86">
        <w:rPr>
          <w:rFonts w:eastAsia="Times New Roman" w:cs="Times New Roman"/>
          <w:color w:val="000000"/>
          <w:szCs w:val="24"/>
        </w:rPr>
        <w:t>, the defendant was charged with larceny of a purse.  A surveillance video inside a club showed the defendant positioning himself between the complainant and her purse; putting the purse underneath him; and, when the complainant left, “rifling through its contents” and walking away with the purse in hand</w:t>
      </w:r>
      <w:r w:rsidR="001A0145" w:rsidRPr="00063E86">
        <w:rPr>
          <w:rFonts w:eastAsia="Times New Roman" w:cs="Times New Roman"/>
          <w:color w:val="000000"/>
          <w:szCs w:val="24"/>
        </w:rPr>
        <w:t xml:space="preserve"> (26 NY3d at 248)</w:t>
      </w:r>
      <w:r w:rsidR="008336DD" w:rsidRPr="00063E86">
        <w:rPr>
          <w:rFonts w:eastAsia="Times New Roman" w:cs="Times New Roman"/>
          <w:color w:val="000000"/>
          <w:szCs w:val="24"/>
        </w:rPr>
        <w:t>.  The surveillance video therefore was direct evidence, proving the actus reus, that is, the “taking” element, of larceny.  That the “defendant offered the jury an alternative explanation of his behavior, one that was inconsistent with [the element of] larcenous intent, does not change the character of the evidence from direct to circumstantial”</w:t>
      </w:r>
      <w:r w:rsidR="001A0145" w:rsidRPr="00063E86">
        <w:rPr>
          <w:rFonts w:eastAsia="Times New Roman" w:cs="Times New Roman"/>
          <w:color w:val="000000"/>
          <w:szCs w:val="24"/>
        </w:rPr>
        <w:t xml:space="preserve"> (</w:t>
      </w:r>
      <w:r w:rsidR="001A0145" w:rsidRPr="00063E86">
        <w:rPr>
          <w:rFonts w:eastAsia="Times New Roman" w:cs="Times New Roman"/>
          <w:i/>
          <w:iCs/>
          <w:color w:val="000000"/>
          <w:szCs w:val="24"/>
        </w:rPr>
        <w:t>id</w:t>
      </w:r>
      <w:r w:rsidR="001A0145" w:rsidRPr="00063E86">
        <w:rPr>
          <w:rFonts w:eastAsia="Times New Roman" w:cs="Times New Roman"/>
          <w:color w:val="000000"/>
          <w:szCs w:val="24"/>
        </w:rPr>
        <w:t xml:space="preserve">. at 251). </w:t>
      </w:r>
      <w:r w:rsidR="008336DD" w:rsidRPr="00063E86">
        <w:rPr>
          <w:rFonts w:eastAsia="Times New Roman" w:cs="Times New Roman"/>
          <w:szCs w:val="24"/>
        </w:rPr>
        <w:t>As</w:t>
      </w:r>
      <w:r w:rsidR="008336DD" w:rsidRPr="00063E86">
        <w:rPr>
          <w:rFonts w:eastAsia="Times New Roman" w:cs="Times New Roman"/>
          <w:color w:val="00B0F0"/>
          <w:szCs w:val="24"/>
        </w:rPr>
        <w:t xml:space="preserve"> </w:t>
      </w:r>
      <w:r w:rsidR="008336DD" w:rsidRPr="00063E86">
        <w:rPr>
          <w:rFonts w:eastAsia="Times New Roman" w:cs="Times New Roman"/>
          <w:i/>
          <w:iCs/>
          <w:color w:val="000000"/>
          <w:szCs w:val="24"/>
        </w:rPr>
        <w:t>Hardy</w:t>
      </w:r>
      <w:r w:rsidR="008336DD" w:rsidRPr="00063E86">
        <w:rPr>
          <w:rFonts w:eastAsia="Times New Roman" w:cs="Times New Roman"/>
          <w:color w:val="000000"/>
          <w:szCs w:val="24"/>
        </w:rPr>
        <w:t xml:space="preserve"> explained, “a particular piece of evidence is not required to be wholly dispositive of guilt in order to constitute direct evidence, so long as it </w:t>
      </w:r>
      <w:proofErr w:type="gramStart"/>
      <w:r w:rsidR="008336DD" w:rsidRPr="00063E86">
        <w:rPr>
          <w:rFonts w:eastAsia="Times New Roman" w:cs="Times New Roman"/>
          <w:color w:val="000000"/>
          <w:szCs w:val="24"/>
        </w:rPr>
        <w:t>proves directly</w:t>
      </w:r>
      <w:proofErr w:type="gramEnd"/>
      <w:r w:rsidR="008336DD" w:rsidRPr="00063E86">
        <w:rPr>
          <w:rFonts w:eastAsia="Times New Roman" w:cs="Times New Roman"/>
          <w:color w:val="000000"/>
          <w:szCs w:val="24"/>
        </w:rPr>
        <w:t xml:space="preserve"> a disputed fact without requiring an inference to be made. In other words, </w:t>
      </w:r>
      <w:bookmarkStart w:id="2" w:name="_Hlk58601377"/>
      <w:r w:rsidR="008336DD" w:rsidRPr="00063E86">
        <w:rPr>
          <w:rFonts w:eastAsia="Times New Roman" w:cs="Times New Roman"/>
          <w:color w:val="000000"/>
          <w:szCs w:val="24"/>
        </w:rPr>
        <w:t xml:space="preserve">even if a particular item of evidence does not </w:t>
      </w:r>
      <w:r w:rsidR="008336DD" w:rsidRPr="00063E86">
        <w:rPr>
          <w:rFonts w:eastAsia="Times New Roman" w:cs="Times New Roman"/>
          <w:color w:val="000000"/>
          <w:szCs w:val="24"/>
        </w:rPr>
        <w:lastRenderedPageBreak/>
        <w:t xml:space="preserve">conclusively require a guilty verdict, so long as the evidence </w:t>
      </w:r>
      <w:proofErr w:type="gramStart"/>
      <w:r w:rsidR="008336DD" w:rsidRPr="00063E86">
        <w:rPr>
          <w:rFonts w:eastAsia="Times New Roman" w:cs="Times New Roman"/>
          <w:color w:val="000000"/>
          <w:szCs w:val="24"/>
        </w:rPr>
        <w:t>proves directly</w:t>
      </w:r>
      <w:proofErr w:type="gramEnd"/>
      <w:r w:rsidR="008336DD" w:rsidRPr="00063E86">
        <w:rPr>
          <w:rFonts w:eastAsia="Times New Roman" w:cs="Times New Roman"/>
          <w:color w:val="000000"/>
          <w:szCs w:val="24"/>
        </w:rPr>
        <w:t xml:space="preserve"> a fact in question [in </w:t>
      </w:r>
      <w:r w:rsidR="008336DD" w:rsidRPr="00063E86">
        <w:rPr>
          <w:rFonts w:eastAsia="Times New Roman" w:cs="Times New Roman"/>
          <w:i/>
          <w:iCs/>
          <w:color w:val="000000"/>
          <w:szCs w:val="24"/>
        </w:rPr>
        <w:t>Hardy</w:t>
      </w:r>
      <w:r w:rsidR="008336DD" w:rsidRPr="00063E86">
        <w:rPr>
          <w:rFonts w:eastAsia="Times New Roman" w:cs="Times New Roman"/>
          <w:color w:val="000000"/>
          <w:szCs w:val="24"/>
        </w:rPr>
        <w:t xml:space="preserve">, the actus reus], the evidence is direct evidence of guilt” </w:t>
      </w:r>
      <w:bookmarkEnd w:id="2"/>
      <w:r w:rsidR="008336DD" w:rsidRPr="00063E86">
        <w:rPr>
          <w:rFonts w:eastAsia="Times New Roman" w:cs="Times New Roman"/>
          <w:color w:val="000000"/>
          <w:szCs w:val="24"/>
        </w:rPr>
        <w:t>(</w:t>
      </w:r>
      <w:r w:rsidR="001A0145" w:rsidRPr="00063E86">
        <w:rPr>
          <w:rFonts w:eastAsia="Times New Roman" w:cs="Times New Roman"/>
          <w:i/>
          <w:iCs/>
          <w:color w:val="000000"/>
          <w:szCs w:val="24"/>
        </w:rPr>
        <w:t>id.</w:t>
      </w:r>
      <w:r w:rsidR="008336DD" w:rsidRPr="00063E86">
        <w:rPr>
          <w:rFonts w:eastAsia="Times New Roman" w:cs="Times New Roman"/>
          <w:color w:val="000000"/>
          <w:szCs w:val="24"/>
        </w:rPr>
        <w:t xml:space="preserve"> at 248, 250-</w:t>
      </w:r>
      <w:r w:rsidR="001A0145" w:rsidRPr="00063E86">
        <w:rPr>
          <w:rFonts w:eastAsia="Times New Roman" w:cs="Times New Roman"/>
          <w:color w:val="000000"/>
          <w:szCs w:val="24"/>
        </w:rPr>
        <w:t>2</w:t>
      </w:r>
      <w:r w:rsidR="008336DD" w:rsidRPr="00063E86">
        <w:rPr>
          <w:rFonts w:eastAsia="Times New Roman" w:cs="Times New Roman"/>
          <w:color w:val="000000"/>
          <w:szCs w:val="24"/>
        </w:rPr>
        <w:t>51</w:t>
      </w:r>
      <w:r w:rsidR="001A0145" w:rsidRPr="00063E86">
        <w:rPr>
          <w:rFonts w:eastAsia="Times New Roman" w:cs="Times New Roman"/>
          <w:color w:val="000000"/>
          <w:szCs w:val="24"/>
        </w:rPr>
        <w:t xml:space="preserve">; </w:t>
      </w:r>
      <w:r w:rsidR="001A0145" w:rsidRPr="00063E86">
        <w:rPr>
          <w:rFonts w:eastAsia="Times New Roman" w:cs="Times New Roman"/>
          <w:i/>
          <w:iCs/>
          <w:color w:val="000000"/>
          <w:szCs w:val="24"/>
        </w:rPr>
        <w:t>e</w:t>
      </w:r>
      <w:r w:rsidR="008336DD" w:rsidRPr="00063E86">
        <w:rPr>
          <w:rFonts w:eastAsia="Times New Roman" w:cs="Times New Roman"/>
          <w:i/>
          <w:iCs/>
          <w:color w:val="000000"/>
          <w:szCs w:val="24"/>
        </w:rPr>
        <w:t>.g.</w:t>
      </w:r>
      <w:r w:rsidR="008336DD" w:rsidRPr="00063E86">
        <w:rPr>
          <w:rFonts w:eastAsia="Times New Roman" w:cs="Times New Roman"/>
          <w:color w:val="000000"/>
          <w:szCs w:val="24"/>
        </w:rPr>
        <w:t xml:space="preserve"> </w:t>
      </w:r>
      <w:r w:rsidR="008336DD" w:rsidRPr="00063E86">
        <w:rPr>
          <w:rFonts w:eastAsia="Times New Roman" w:cs="Times New Roman"/>
          <w:i/>
          <w:iCs/>
          <w:color w:val="000000"/>
          <w:szCs w:val="24"/>
        </w:rPr>
        <w:t>People v Daddona</w:t>
      </w:r>
      <w:r w:rsidR="008336DD" w:rsidRPr="00063E86">
        <w:rPr>
          <w:rFonts w:eastAsia="Times New Roman" w:cs="Times New Roman"/>
          <w:color w:val="000000"/>
          <w:szCs w:val="24"/>
        </w:rPr>
        <w:t xml:space="preserve">, 81 NY2d 990, 992 [1993] [“The criminal possession counts charged were amply supported by direct evidence: there was eyewitness testimony that defendant directed the stolen vehicles in and out of the driveway, thereby establishing, with direct evidence, that he was in constructive possession of the stolen vehicles, or that he was acting in concert with those in physical possession of the stolen vehicles”]; </w:t>
      </w:r>
      <w:r w:rsidR="008336DD" w:rsidRPr="00063E86">
        <w:rPr>
          <w:rFonts w:eastAsia="Times New Roman" w:cs="Times New Roman"/>
          <w:i/>
          <w:iCs/>
          <w:color w:val="000000"/>
          <w:szCs w:val="24"/>
        </w:rPr>
        <w:t>People v Roldan</w:t>
      </w:r>
      <w:r w:rsidR="008336DD" w:rsidRPr="00063E86">
        <w:rPr>
          <w:rFonts w:eastAsia="Times New Roman" w:cs="Times New Roman"/>
          <w:color w:val="000000"/>
          <w:szCs w:val="24"/>
        </w:rPr>
        <w:t>, 88 NY2d 826, 827 [1996] [“This case involves direct evidence</w:t>
      </w:r>
      <w:r w:rsidR="003B54BC" w:rsidRPr="00063E86">
        <w:rPr>
          <w:rFonts w:eastAsia="Times New Roman" w:cs="Times New Roman"/>
          <w:color w:val="000000"/>
          <w:szCs w:val="24"/>
        </w:rPr>
        <w:t xml:space="preserve"> . . . . </w:t>
      </w:r>
      <w:r w:rsidR="008336DD" w:rsidRPr="00063E86">
        <w:rPr>
          <w:rFonts w:eastAsia="Times New Roman" w:cs="Times New Roman"/>
          <w:color w:val="000000"/>
          <w:szCs w:val="24"/>
        </w:rPr>
        <w:t xml:space="preserve">Eyewitness testimony, if believed by the jury, established that defendant engaged in acts which directly proved that at the very least he acted as a lookout while the crime was being committed”]). </w:t>
      </w:r>
    </w:p>
    <w:p w14:paraId="12C33D0B" w14:textId="77777777" w:rsidR="008336DD" w:rsidRPr="00063E86" w:rsidRDefault="008336DD" w:rsidP="006A76E6">
      <w:pPr>
        <w:spacing w:line="240" w:lineRule="auto"/>
        <w:ind w:left="0"/>
        <w:rPr>
          <w:rFonts w:eastAsia="Times New Roman" w:cs="Times New Roman"/>
          <w:color w:val="000000"/>
          <w:szCs w:val="24"/>
        </w:rPr>
      </w:pPr>
    </w:p>
    <w:p w14:paraId="6709862E" w14:textId="5FB17DA6" w:rsidR="008336DD" w:rsidRPr="00063E86" w:rsidRDefault="006A76E6" w:rsidP="006A76E6">
      <w:pPr>
        <w:tabs>
          <w:tab w:val="left" w:pos="720"/>
        </w:tabs>
        <w:autoSpaceDE w:val="0"/>
        <w:autoSpaceDN w:val="0"/>
        <w:adjustRightInd w:val="0"/>
        <w:snapToGrid w:val="0"/>
        <w:spacing w:line="240" w:lineRule="auto"/>
        <w:ind w:left="0"/>
        <w:rPr>
          <w:rFonts w:eastAsia="Times New Roman" w:cs="Times New Roman"/>
          <w:color w:val="000000"/>
          <w:szCs w:val="24"/>
        </w:rPr>
      </w:pPr>
      <w:r>
        <w:rPr>
          <w:rFonts w:eastAsia="Times New Roman" w:cs="Times New Roman"/>
          <w:color w:val="000000"/>
          <w:szCs w:val="24"/>
        </w:rPr>
        <w:tab/>
      </w:r>
      <w:r w:rsidR="008336DD" w:rsidRPr="00063E86">
        <w:rPr>
          <w:rFonts w:eastAsia="Times New Roman" w:cs="Times New Roman"/>
          <w:color w:val="000000"/>
          <w:szCs w:val="24"/>
        </w:rPr>
        <w:t>Perhaps the most important reason for distinguishing between direct and circumstantial evidence is that “a trial court must grant a defendant</w:t>
      </w:r>
      <w:r w:rsidR="009D5C0D">
        <w:rPr>
          <w:rFonts w:eastAsia="Times New Roman" w:cs="Times New Roman"/>
          <w:color w:val="000000"/>
          <w:szCs w:val="24"/>
        </w:rPr>
        <w:t>’</w:t>
      </w:r>
      <w:r w:rsidR="008336DD" w:rsidRPr="00063E86">
        <w:rPr>
          <w:rFonts w:eastAsia="Times New Roman" w:cs="Times New Roman"/>
          <w:color w:val="000000"/>
          <w:szCs w:val="24"/>
        </w:rPr>
        <w:t>s request for a circumstantial evidence charge when the proof of the defendant</w:t>
      </w:r>
      <w:r w:rsidR="009D5C0D">
        <w:rPr>
          <w:rFonts w:eastAsia="Times New Roman" w:cs="Times New Roman"/>
          <w:color w:val="000000"/>
          <w:szCs w:val="24"/>
        </w:rPr>
        <w:t>’</w:t>
      </w:r>
      <w:r w:rsidR="008336DD" w:rsidRPr="00063E86">
        <w:rPr>
          <w:rFonts w:eastAsia="Times New Roman" w:cs="Times New Roman"/>
          <w:color w:val="000000"/>
          <w:szCs w:val="24"/>
        </w:rPr>
        <w:t>s guilt rests solely on circumstantial evidence. By contrast, where there is both direct and circumstantial evidence of the defendant</w:t>
      </w:r>
      <w:r w:rsidR="009D5C0D">
        <w:rPr>
          <w:rFonts w:eastAsia="Times New Roman" w:cs="Times New Roman"/>
          <w:color w:val="000000"/>
          <w:szCs w:val="24"/>
        </w:rPr>
        <w:t>’</w:t>
      </w:r>
      <w:r w:rsidR="008336DD" w:rsidRPr="00063E86">
        <w:rPr>
          <w:rFonts w:eastAsia="Times New Roman" w:cs="Times New Roman"/>
          <w:color w:val="000000"/>
          <w:szCs w:val="24"/>
        </w:rPr>
        <w:t>s guilt, such a charge need not be given” (</w:t>
      </w:r>
      <w:r w:rsidR="008336DD" w:rsidRPr="00063E86">
        <w:rPr>
          <w:rFonts w:eastAsia="Times New Roman" w:cs="Times New Roman"/>
          <w:i/>
          <w:iCs/>
          <w:color w:val="000000"/>
          <w:szCs w:val="24"/>
        </w:rPr>
        <w:t>Hardy</w:t>
      </w:r>
      <w:r w:rsidR="008336DD" w:rsidRPr="00063E86">
        <w:rPr>
          <w:rFonts w:eastAsia="Times New Roman" w:cs="Times New Roman"/>
          <w:color w:val="000000"/>
          <w:szCs w:val="24"/>
        </w:rPr>
        <w:t xml:space="preserve"> at  249 [citations omitted]</w:t>
      </w:r>
      <w:r w:rsidR="003955C7" w:rsidRPr="00063E86">
        <w:rPr>
          <w:rFonts w:eastAsia="Times New Roman" w:cs="Times New Roman"/>
          <w:color w:val="000000"/>
          <w:szCs w:val="24"/>
        </w:rPr>
        <w:t xml:space="preserve">; </w:t>
      </w:r>
      <w:r w:rsidR="003955C7" w:rsidRPr="00063E86">
        <w:rPr>
          <w:rFonts w:eastAsia="Times New Roman" w:cs="Times New Roman"/>
          <w:i/>
          <w:iCs/>
          <w:color w:val="000000"/>
          <w:szCs w:val="24"/>
        </w:rPr>
        <w:t>s</w:t>
      </w:r>
      <w:r w:rsidR="008336DD" w:rsidRPr="00063E86">
        <w:rPr>
          <w:rFonts w:eastAsia="Times New Roman" w:cs="Times New Roman"/>
          <w:i/>
          <w:iCs/>
          <w:color w:val="000000"/>
          <w:szCs w:val="24"/>
        </w:rPr>
        <w:t>ee</w:t>
      </w:r>
      <w:r w:rsidR="008336DD" w:rsidRPr="00063E86">
        <w:rPr>
          <w:rFonts w:eastAsia="Times New Roman" w:cs="Times New Roman"/>
          <w:color w:val="000000"/>
          <w:szCs w:val="24"/>
        </w:rPr>
        <w:t xml:space="preserve"> </w:t>
      </w:r>
      <w:r w:rsidR="008336DD" w:rsidRPr="00063E86">
        <w:rPr>
          <w:rFonts w:eastAsia="Times New Roman" w:cs="Times New Roman"/>
          <w:i/>
          <w:iCs/>
          <w:color w:val="000000"/>
          <w:szCs w:val="24"/>
        </w:rPr>
        <w:t>People v Silva</w:t>
      </w:r>
      <w:r w:rsidR="008336DD" w:rsidRPr="00063E86">
        <w:rPr>
          <w:rFonts w:eastAsia="Times New Roman" w:cs="Times New Roman"/>
          <w:color w:val="000000"/>
          <w:szCs w:val="24"/>
        </w:rPr>
        <w:t>, 69 NY2d 858, 859 [1987] [The complainant “was unable to make an identification of defendant and there was no direct evidence linking him to the robbery.</w:t>
      </w:r>
      <w:r w:rsidR="003955C7" w:rsidRPr="00063E86">
        <w:rPr>
          <w:rFonts w:eastAsia="Times New Roman" w:cs="Times New Roman"/>
          <w:color w:val="000000"/>
          <w:szCs w:val="24"/>
        </w:rPr>
        <w:t xml:space="preserve"> </w:t>
      </w:r>
      <w:r w:rsidR="008336DD" w:rsidRPr="00063E86">
        <w:rPr>
          <w:rFonts w:eastAsia="Times New Roman" w:cs="Times New Roman"/>
          <w:color w:val="000000"/>
          <w:szCs w:val="24"/>
        </w:rPr>
        <w:t>Thus</w:t>
      </w:r>
      <w:r w:rsidR="003B54BC" w:rsidRPr="00063E86">
        <w:rPr>
          <w:rFonts w:eastAsia="Times New Roman" w:cs="Times New Roman"/>
          <w:color w:val="000000"/>
          <w:szCs w:val="24"/>
        </w:rPr>
        <w:t xml:space="preserve">, . . . </w:t>
      </w:r>
      <w:r w:rsidR="008336DD" w:rsidRPr="00063E86">
        <w:rPr>
          <w:rFonts w:eastAsia="Times New Roman" w:cs="Times New Roman"/>
          <w:color w:val="000000"/>
          <w:szCs w:val="24"/>
        </w:rPr>
        <w:t>the case against defendant on the robbery counts was wholly circumstantial.  It was, therefore, error for the court to refuse to give a circumstantial evidence charge”]</w:t>
      </w:r>
      <w:r w:rsidR="003955C7" w:rsidRPr="00063E86">
        <w:rPr>
          <w:rFonts w:eastAsia="Times New Roman" w:cs="Times New Roman"/>
          <w:color w:val="000000"/>
          <w:szCs w:val="24"/>
        </w:rPr>
        <w:t>)</w:t>
      </w:r>
      <w:r w:rsidR="008336DD" w:rsidRPr="00063E86">
        <w:rPr>
          <w:rFonts w:eastAsia="Times New Roman" w:cs="Times New Roman"/>
          <w:color w:val="000000"/>
          <w:szCs w:val="24"/>
        </w:rPr>
        <w:t>.</w:t>
      </w:r>
    </w:p>
    <w:p w14:paraId="736D7739" w14:textId="77777777" w:rsidR="008336DD" w:rsidRPr="00063E86" w:rsidRDefault="008336DD" w:rsidP="006A76E6">
      <w:pPr>
        <w:autoSpaceDE w:val="0"/>
        <w:autoSpaceDN w:val="0"/>
        <w:adjustRightInd w:val="0"/>
        <w:snapToGrid w:val="0"/>
        <w:spacing w:line="240" w:lineRule="auto"/>
        <w:ind w:left="0"/>
        <w:rPr>
          <w:rFonts w:eastAsia="Times New Roman" w:cs="Times New Roman"/>
          <w:color w:val="000000"/>
          <w:szCs w:val="24"/>
        </w:rPr>
      </w:pPr>
    </w:p>
    <w:p w14:paraId="4983CC6E" w14:textId="7717B075" w:rsidR="008336DD" w:rsidRPr="00063E86" w:rsidRDefault="006A76E6" w:rsidP="006A76E6">
      <w:pPr>
        <w:tabs>
          <w:tab w:val="left" w:pos="720"/>
        </w:tabs>
        <w:autoSpaceDE w:val="0"/>
        <w:autoSpaceDN w:val="0"/>
        <w:adjustRightInd w:val="0"/>
        <w:snapToGrid w:val="0"/>
        <w:spacing w:line="240" w:lineRule="auto"/>
        <w:ind w:left="0"/>
        <w:rPr>
          <w:rFonts w:eastAsia="Times New Roman" w:cs="Times New Roman"/>
          <w:szCs w:val="24"/>
        </w:rPr>
      </w:pPr>
      <w:r>
        <w:rPr>
          <w:rFonts w:eastAsia="Times New Roman" w:cs="Times New Roman"/>
          <w:szCs w:val="24"/>
        </w:rPr>
        <w:tab/>
      </w:r>
      <w:r w:rsidR="008336DD" w:rsidRPr="00063E86">
        <w:rPr>
          <w:rFonts w:eastAsia="Times New Roman" w:cs="Times New Roman"/>
          <w:szCs w:val="24"/>
        </w:rPr>
        <w:t xml:space="preserve">Each subdivision refers to the burden of proof in a civil case by the terminology “preponderance of </w:t>
      </w:r>
      <w:r w:rsidR="003B54BC" w:rsidRPr="00063E86">
        <w:rPr>
          <w:rFonts w:eastAsia="Times New Roman" w:cs="Times New Roman"/>
          <w:szCs w:val="24"/>
        </w:rPr>
        <w:t xml:space="preserve">the </w:t>
      </w:r>
      <w:r w:rsidR="008336DD" w:rsidRPr="00063E86">
        <w:rPr>
          <w:rFonts w:eastAsia="Times New Roman" w:cs="Times New Roman"/>
          <w:szCs w:val="24"/>
        </w:rPr>
        <w:t>evidence or other applicable burden of proof.”  The other applicable burdens of proof utilized in varying civil cases include “clear and convincing evidence” and “substantial evidence” (</w:t>
      </w:r>
      <w:r w:rsidR="008336DD" w:rsidRPr="00063E86">
        <w:rPr>
          <w:rFonts w:eastAsia="Times New Roman" w:cs="Times New Roman"/>
          <w:i/>
          <w:iCs/>
          <w:szCs w:val="24"/>
        </w:rPr>
        <w:t>see e.g.</w:t>
      </w:r>
      <w:r w:rsidR="008336DD" w:rsidRPr="00063E86">
        <w:rPr>
          <w:rFonts w:eastAsia="Times New Roman" w:cs="Times New Roman"/>
          <w:szCs w:val="24"/>
        </w:rPr>
        <w:t xml:space="preserve"> Guide to NY Evid rule 3.01</w:t>
      </w:r>
      <w:r w:rsidR="004372C4" w:rsidRPr="00063E86">
        <w:rPr>
          <w:rFonts w:eastAsia="Times New Roman" w:cs="Times New Roman"/>
          <w:szCs w:val="24"/>
        </w:rPr>
        <w:t xml:space="preserve"> [</w:t>
      </w:r>
      <w:r w:rsidR="008336DD" w:rsidRPr="00063E86">
        <w:rPr>
          <w:rFonts w:eastAsia="Times New Roman" w:cs="Times New Roman"/>
          <w:szCs w:val="24"/>
        </w:rPr>
        <w:t>3</w:t>
      </w:r>
      <w:r w:rsidR="004372C4" w:rsidRPr="00063E86">
        <w:rPr>
          <w:rFonts w:eastAsia="Times New Roman" w:cs="Times New Roman"/>
          <w:szCs w:val="24"/>
        </w:rPr>
        <w:t>] [</w:t>
      </w:r>
      <w:r w:rsidR="008336DD" w:rsidRPr="00063E86">
        <w:rPr>
          <w:rFonts w:eastAsia="Times New Roman" w:cs="Times New Roman"/>
          <w:szCs w:val="24"/>
        </w:rPr>
        <w:t>c</w:t>
      </w:r>
      <w:r w:rsidR="004372C4" w:rsidRPr="00063E86">
        <w:rPr>
          <w:rFonts w:eastAsia="Times New Roman" w:cs="Times New Roman"/>
          <w:szCs w:val="24"/>
        </w:rPr>
        <w:t>]</w:t>
      </w:r>
      <w:r w:rsidR="008336DD" w:rsidRPr="00063E86">
        <w:rPr>
          <w:rFonts w:eastAsia="Times New Roman" w:cs="Times New Roman"/>
          <w:szCs w:val="24"/>
        </w:rPr>
        <w:t xml:space="preserve"> and the </w:t>
      </w:r>
      <w:r w:rsidR="00D15D5F" w:rsidRPr="00063E86">
        <w:rPr>
          <w:rFonts w:eastAsia="Times New Roman" w:cs="Times New Roman"/>
          <w:szCs w:val="24"/>
        </w:rPr>
        <w:t>n</w:t>
      </w:r>
      <w:r w:rsidR="008336DD" w:rsidRPr="00063E86">
        <w:rPr>
          <w:rFonts w:eastAsia="Times New Roman" w:cs="Times New Roman"/>
          <w:szCs w:val="24"/>
        </w:rPr>
        <w:t>ote thereto).</w:t>
      </w:r>
    </w:p>
    <w:p w14:paraId="60466237" w14:textId="77777777" w:rsidR="008336DD" w:rsidRPr="00063E86" w:rsidRDefault="008336DD" w:rsidP="006A76E6">
      <w:pPr>
        <w:tabs>
          <w:tab w:val="left" w:pos="720"/>
        </w:tabs>
        <w:autoSpaceDE w:val="0"/>
        <w:autoSpaceDN w:val="0"/>
        <w:adjustRightInd w:val="0"/>
        <w:snapToGrid w:val="0"/>
        <w:spacing w:line="240" w:lineRule="auto"/>
        <w:ind w:left="0"/>
        <w:rPr>
          <w:rFonts w:eastAsia="Times New Roman" w:cs="Times New Roman"/>
          <w:color w:val="000000"/>
          <w:szCs w:val="24"/>
        </w:rPr>
      </w:pPr>
    </w:p>
    <w:p w14:paraId="0732B20C" w14:textId="0D9A318C" w:rsidR="008336DD" w:rsidRPr="00063E86" w:rsidRDefault="006A76E6" w:rsidP="006A76E6">
      <w:pPr>
        <w:tabs>
          <w:tab w:val="left" w:pos="720"/>
        </w:tabs>
        <w:autoSpaceDE w:val="0"/>
        <w:autoSpaceDN w:val="0"/>
        <w:adjustRightInd w:val="0"/>
        <w:snapToGrid w:val="0"/>
        <w:spacing w:line="240" w:lineRule="auto"/>
        <w:ind w:left="0"/>
        <w:rPr>
          <w:rFonts w:eastAsia="Times New Roman" w:cs="Times New Roman"/>
          <w:color w:val="000000"/>
          <w:szCs w:val="24"/>
        </w:rPr>
      </w:pPr>
      <w:r>
        <w:rPr>
          <w:rFonts w:eastAsia="Arial" w:cs="Times New Roman"/>
          <w:b/>
          <w:bCs/>
          <w:color w:val="000000"/>
          <w:szCs w:val="24"/>
        </w:rPr>
        <w:tab/>
      </w:r>
      <w:r w:rsidR="008336DD" w:rsidRPr="00063E86">
        <w:rPr>
          <w:rFonts w:eastAsia="Arial" w:cs="Times New Roman"/>
          <w:b/>
          <w:bCs/>
          <w:color w:val="000000"/>
          <w:szCs w:val="24"/>
        </w:rPr>
        <w:t>Subdivision (3)</w:t>
      </w:r>
      <w:r w:rsidR="008336DD" w:rsidRPr="00063E86">
        <w:rPr>
          <w:rFonts w:eastAsia="Arial" w:cs="Times New Roman"/>
          <w:color w:val="000000"/>
          <w:szCs w:val="24"/>
        </w:rPr>
        <w:t xml:space="preserve"> is </w:t>
      </w:r>
      <w:r w:rsidR="008336DD" w:rsidRPr="00063E86">
        <w:rPr>
          <w:rFonts w:eastAsia="Arial" w:cs="Times New Roman"/>
          <w:szCs w:val="24"/>
        </w:rPr>
        <w:t xml:space="preserve">also derived from </w:t>
      </w:r>
      <w:r w:rsidR="00D15D5F" w:rsidRPr="00063E86">
        <w:rPr>
          <w:rFonts w:eastAsia="Arial" w:cs="Times New Roman"/>
          <w:szCs w:val="24"/>
        </w:rPr>
        <w:t>CJI2d(NY) Evidence</w:t>
      </w:r>
      <w:r w:rsidR="004C118F">
        <w:rPr>
          <w:rFonts w:ascii="Georgia" w:eastAsia="Arial" w:hAnsi="Georgia" w:cs="Times New Roman"/>
          <w:szCs w:val="24"/>
        </w:rPr>
        <w:t>—</w:t>
      </w:r>
      <w:r w:rsidR="00D15D5F" w:rsidRPr="00063E86">
        <w:rPr>
          <w:rFonts w:eastAsia="Arial" w:cs="Times New Roman"/>
          <w:szCs w:val="24"/>
        </w:rPr>
        <w:t>Circumstantial Evidence and PJI 1:70</w:t>
      </w:r>
      <w:r w:rsidR="008336DD" w:rsidRPr="00063E86">
        <w:rPr>
          <w:rFonts w:eastAsia="Times New Roman" w:cs="Times New Roman"/>
          <w:szCs w:val="24"/>
        </w:rPr>
        <w:t xml:space="preserve">, </w:t>
      </w:r>
      <w:r w:rsidR="008336DD" w:rsidRPr="00063E86">
        <w:rPr>
          <w:rFonts w:eastAsia="Arial" w:cs="Times New Roman"/>
          <w:szCs w:val="24"/>
        </w:rPr>
        <w:t xml:space="preserve">which </w:t>
      </w:r>
      <w:r w:rsidR="008336DD" w:rsidRPr="00063E86">
        <w:rPr>
          <w:rFonts w:eastAsia="Arial" w:cs="Times New Roman"/>
          <w:color w:val="000000"/>
          <w:szCs w:val="24"/>
        </w:rPr>
        <w:t xml:space="preserve">reflect the views expressed in </w:t>
      </w:r>
      <w:r w:rsidR="008336DD" w:rsidRPr="00063E86">
        <w:rPr>
          <w:rFonts w:eastAsia="Arial" w:cs="Times New Roman"/>
          <w:i/>
          <w:color w:val="000000"/>
          <w:szCs w:val="24"/>
        </w:rPr>
        <w:t xml:space="preserve">People </w:t>
      </w:r>
      <w:r w:rsidR="008336DD" w:rsidRPr="00063E86">
        <w:rPr>
          <w:rFonts w:eastAsia="Arial" w:cs="Times New Roman"/>
          <w:color w:val="000000"/>
          <w:szCs w:val="24"/>
        </w:rPr>
        <w:t xml:space="preserve">v </w:t>
      </w:r>
      <w:r w:rsidR="008336DD" w:rsidRPr="00063E86">
        <w:rPr>
          <w:rFonts w:eastAsia="Arial" w:cs="Times New Roman"/>
          <w:i/>
          <w:color w:val="000000"/>
          <w:szCs w:val="24"/>
        </w:rPr>
        <w:t>Benzinger</w:t>
      </w:r>
      <w:r w:rsidR="008336DD" w:rsidRPr="00063E86">
        <w:rPr>
          <w:rFonts w:eastAsia="Arial" w:cs="Times New Roman"/>
          <w:color w:val="000000"/>
          <w:szCs w:val="24"/>
        </w:rPr>
        <w:t xml:space="preserve"> </w:t>
      </w:r>
      <w:r w:rsidR="00D15D5F" w:rsidRPr="00063E86">
        <w:rPr>
          <w:rFonts w:eastAsia="Arial" w:cs="Times New Roman"/>
          <w:color w:val="000000"/>
          <w:szCs w:val="24"/>
        </w:rPr>
        <w:t>(</w:t>
      </w:r>
      <w:r w:rsidR="008336DD" w:rsidRPr="00063E86">
        <w:rPr>
          <w:rFonts w:eastAsia="Arial" w:cs="Times New Roman"/>
          <w:color w:val="000000"/>
          <w:szCs w:val="24"/>
        </w:rPr>
        <w:t xml:space="preserve">36 NY2d 29, 32 [1974] [The reason for the rule on how to evaluate circumstantial evidence “is not that circumstantial </w:t>
      </w:r>
      <w:r w:rsidR="008336DD" w:rsidRPr="00063E86">
        <w:rPr>
          <w:rFonts w:eastAsia="Times New Roman" w:cs="Times New Roman"/>
          <w:color w:val="000000"/>
          <w:szCs w:val="24"/>
          <w:shd w:val="clear" w:color="auto" w:fill="FFFFFF"/>
        </w:rPr>
        <w:t>evidence is thought to be weaker than direct evidence, since the reverse is frequently true. Rather,</w:t>
      </w:r>
      <w:r w:rsidR="00D15D5F" w:rsidRPr="00063E86">
        <w:rPr>
          <w:rFonts w:eastAsia="Times New Roman" w:cs="Times New Roman"/>
          <w:color w:val="000000"/>
          <w:szCs w:val="24"/>
          <w:shd w:val="clear" w:color="auto" w:fill="FFFFFF"/>
        </w:rPr>
        <w:t xml:space="preserve"> </w:t>
      </w:r>
      <w:r w:rsidR="008336DD" w:rsidRPr="00063E86">
        <w:rPr>
          <w:rFonts w:eastAsia="Times New Roman" w:cs="Times New Roman"/>
          <w:color w:val="000000"/>
          <w:szCs w:val="24"/>
          <w:shd w:val="clear" w:color="auto" w:fill="FFFFFF"/>
        </w:rPr>
        <w:t>the rule draws attention to the fact that proof by circumstantial evidence may require careful reasoning by the trier of facts”]</w:t>
      </w:r>
      <w:r w:rsidR="00D15D5F" w:rsidRPr="00063E86">
        <w:rPr>
          <w:rFonts w:eastAsia="Times New Roman" w:cs="Times New Roman"/>
          <w:color w:val="000000"/>
          <w:szCs w:val="24"/>
          <w:shd w:val="clear" w:color="auto" w:fill="FFFFFF"/>
        </w:rPr>
        <w:t>)</w:t>
      </w:r>
      <w:r w:rsidR="008336DD" w:rsidRPr="00063E86">
        <w:rPr>
          <w:rFonts w:eastAsia="Times New Roman" w:cs="Times New Roman"/>
          <w:color w:val="000000"/>
          <w:szCs w:val="24"/>
          <w:shd w:val="clear" w:color="auto" w:fill="FFFFFF"/>
        </w:rPr>
        <w:t xml:space="preserve"> and </w:t>
      </w:r>
      <w:r w:rsidR="008336DD" w:rsidRPr="00063E86">
        <w:rPr>
          <w:rFonts w:eastAsia="Arial" w:cs="Times New Roman"/>
          <w:i/>
          <w:color w:val="000000"/>
          <w:szCs w:val="24"/>
        </w:rPr>
        <w:t>People v Cleague</w:t>
      </w:r>
      <w:r w:rsidR="008336DD" w:rsidRPr="00063E86">
        <w:rPr>
          <w:rFonts w:eastAsia="Arial" w:cs="Times New Roman"/>
          <w:color w:val="000000"/>
          <w:szCs w:val="24"/>
        </w:rPr>
        <w:t xml:space="preserve"> </w:t>
      </w:r>
      <w:r w:rsidR="00D15D5F" w:rsidRPr="00063E86">
        <w:rPr>
          <w:rFonts w:eastAsia="Arial" w:cs="Times New Roman"/>
          <w:color w:val="000000"/>
          <w:szCs w:val="24"/>
        </w:rPr>
        <w:t>(</w:t>
      </w:r>
      <w:r w:rsidR="008336DD" w:rsidRPr="00063E86">
        <w:rPr>
          <w:rFonts w:eastAsia="Arial" w:cs="Times New Roman"/>
          <w:color w:val="000000"/>
          <w:szCs w:val="24"/>
        </w:rPr>
        <w:t xml:space="preserve">22 NY2d 363, 367 </w:t>
      </w:r>
      <w:r w:rsidR="00D15D5F" w:rsidRPr="00063E86">
        <w:rPr>
          <w:rFonts w:eastAsia="Arial" w:cs="Times New Roman"/>
          <w:color w:val="000000"/>
          <w:szCs w:val="24"/>
        </w:rPr>
        <w:t>[</w:t>
      </w:r>
      <w:r w:rsidR="008336DD" w:rsidRPr="00063E86">
        <w:rPr>
          <w:rFonts w:eastAsia="Arial" w:cs="Times New Roman"/>
          <w:color w:val="000000"/>
          <w:szCs w:val="24"/>
        </w:rPr>
        <w:t>1968</w:t>
      </w:r>
      <w:r w:rsidR="00D15D5F" w:rsidRPr="00063E86">
        <w:rPr>
          <w:rFonts w:eastAsia="Arial" w:cs="Times New Roman"/>
          <w:color w:val="000000"/>
          <w:szCs w:val="24"/>
        </w:rPr>
        <w:t>]</w:t>
      </w:r>
      <w:r w:rsidR="008336DD" w:rsidRPr="00063E86">
        <w:rPr>
          <w:rFonts w:eastAsia="Arial" w:cs="Times New Roman"/>
          <w:color w:val="000000"/>
          <w:szCs w:val="24"/>
        </w:rPr>
        <w:t xml:space="preserve"> [The rule on how to evaluate circumstantial evidence does not stem “</w:t>
      </w:r>
      <w:r w:rsidR="008336DD" w:rsidRPr="00063E86">
        <w:rPr>
          <w:rFonts w:eastAsia="Times New Roman" w:cs="Times New Roman"/>
          <w:color w:val="000000"/>
          <w:szCs w:val="24"/>
        </w:rPr>
        <w:t>from any distrust of circumstantial evidence or any vaunted favoring of direct evidence. The myth of innate superiority of direct testimonial evidence was exploded long ago. Indeed, circumstantial evidence is generally stronger, at least when it depends, as it often does, upon undisputed evidentiary facts about which human observers are less likely to err as a matter of accuracy or to distort as a matter of motivation, emotional shock, or external suggestion. On the other hand, direct evidence almost always, even in the instance of bystanders, is subject to one or more of these psychological infirmities. Hence, the occasional superior reliability of the evidentiary circumstances</w:t>
      </w:r>
      <w:r w:rsidR="00D15D5F" w:rsidRPr="00063E86">
        <w:rPr>
          <w:rFonts w:eastAsia="Times New Roman" w:cs="Times New Roman"/>
          <w:color w:val="000000"/>
          <w:szCs w:val="24"/>
        </w:rPr>
        <w:t>”</w:t>
      </w:r>
      <w:r w:rsidR="008336DD" w:rsidRPr="00063E86">
        <w:rPr>
          <w:rFonts w:eastAsia="Times New Roman" w:cs="Times New Roman"/>
          <w:color w:val="000000"/>
          <w:szCs w:val="24"/>
        </w:rPr>
        <w:t xml:space="preserve"> (citation omitted)]</w:t>
      </w:r>
      <w:r w:rsidR="00D15D5F" w:rsidRPr="00063E86">
        <w:rPr>
          <w:rFonts w:eastAsia="Times New Roman" w:cs="Times New Roman"/>
          <w:color w:val="000000"/>
          <w:szCs w:val="24"/>
        </w:rPr>
        <w:t>)</w:t>
      </w:r>
      <w:r w:rsidR="008336DD" w:rsidRPr="00063E86">
        <w:rPr>
          <w:rFonts w:eastAsia="Times New Roman" w:cs="Times New Roman"/>
          <w:color w:val="000000"/>
          <w:szCs w:val="24"/>
        </w:rPr>
        <w:t>.</w:t>
      </w:r>
    </w:p>
    <w:p w14:paraId="3EE53693" w14:textId="77777777" w:rsidR="008336DD" w:rsidRPr="00063E86" w:rsidRDefault="008336DD" w:rsidP="006A76E6">
      <w:pPr>
        <w:autoSpaceDE w:val="0"/>
        <w:autoSpaceDN w:val="0"/>
        <w:adjustRightInd w:val="0"/>
        <w:snapToGrid w:val="0"/>
        <w:spacing w:line="240" w:lineRule="auto"/>
        <w:ind w:left="0"/>
        <w:rPr>
          <w:rFonts w:eastAsia="Times New Roman" w:cs="Times New Roman"/>
          <w:color w:val="000000"/>
          <w:szCs w:val="24"/>
          <w:lang w:val="x-none"/>
        </w:rPr>
      </w:pPr>
    </w:p>
    <w:p w14:paraId="7A6B726D" w14:textId="6A5CA6A3" w:rsidR="008336DD" w:rsidRPr="00063E86" w:rsidRDefault="006A76E6" w:rsidP="006A76E6">
      <w:pPr>
        <w:tabs>
          <w:tab w:val="left" w:pos="720"/>
        </w:tabs>
        <w:spacing w:line="240" w:lineRule="auto"/>
        <w:ind w:left="0"/>
        <w:rPr>
          <w:rFonts w:cs="Times New Roman"/>
          <w:szCs w:val="24"/>
        </w:rPr>
      </w:pPr>
      <w:r>
        <w:rPr>
          <w:rFonts w:cs="Times New Roman"/>
          <w:b/>
          <w:bCs/>
          <w:szCs w:val="24"/>
        </w:rPr>
        <w:tab/>
      </w:r>
      <w:r w:rsidR="008336DD" w:rsidRPr="00063E86">
        <w:rPr>
          <w:rFonts w:cs="Times New Roman"/>
          <w:b/>
          <w:bCs/>
          <w:szCs w:val="24"/>
        </w:rPr>
        <w:t>Subdivision (4)</w:t>
      </w:r>
      <w:r w:rsidR="008336DD" w:rsidRPr="00063E86">
        <w:rPr>
          <w:rFonts w:cs="Times New Roman"/>
          <w:szCs w:val="24"/>
        </w:rPr>
        <w:t xml:space="preserve"> is derived from </w:t>
      </w:r>
      <w:r w:rsidR="008336DD" w:rsidRPr="00063E86">
        <w:rPr>
          <w:rFonts w:cs="Times New Roman"/>
          <w:i/>
          <w:iCs/>
          <w:szCs w:val="24"/>
        </w:rPr>
        <w:t>People v Bretagna</w:t>
      </w:r>
      <w:r w:rsidR="008336DD" w:rsidRPr="00063E86">
        <w:rPr>
          <w:rFonts w:cs="Times New Roman"/>
          <w:szCs w:val="24"/>
        </w:rPr>
        <w:t xml:space="preserve"> </w:t>
      </w:r>
      <w:r w:rsidR="002E72D7" w:rsidRPr="00063E86">
        <w:rPr>
          <w:rFonts w:cs="Times New Roman"/>
          <w:szCs w:val="24"/>
        </w:rPr>
        <w:t>(</w:t>
      </w:r>
      <w:r w:rsidR="008336DD" w:rsidRPr="00063E86">
        <w:rPr>
          <w:rFonts w:cs="Times New Roman"/>
          <w:szCs w:val="24"/>
        </w:rPr>
        <w:t>298 NY 323, 326 [1949] [“</w:t>
      </w:r>
      <w:bookmarkStart w:id="3" w:name="_Hlk71721999"/>
      <w:r w:rsidR="008336DD" w:rsidRPr="00063E86">
        <w:rPr>
          <w:rFonts w:cs="Times New Roman"/>
          <w:szCs w:val="24"/>
        </w:rPr>
        <w:t>a confession of guilt by a defendant in a criminal cause</w:t>
      </w:r>
      <w:r w:rsidR="009E040E">
        <w:rPr>
          <w:rFonts w:cs="Times New Roman"/>
          <w:szCs w:val="24"/>
        </w:rPr>
        <w:t xml:space="preserve"> . . .</w:t>
      </w:r>
      <w:r w:rsidR="008336DD" w:rsidRPr="00063E86">
        <w:rPr>
          <w:rFonts w:cs="Times New Roman"/>
          <w:szCs w:val="24"/>
        </w:rPr>
        <w:t xml:space="preserve"> is not circumstantial evidence</w:t>
      </w:r>
      <w:bookmarkEnd w:id="3"/>
      <w:r w:rsidR="008336DD" w:rsidRPr="00063E86">
        <w:rPr>
          <w:rFonts w:cs="Times New Roman"/>
          <w:szCs w:val="24"/>
        </w:rPr>
        <w:t>” but an admission “not amounting to a confession because not directly acknowledging guilt, but including inculpatory acts from which a jury may or may not infer guilt, is circumstantial, not direct evidence”]</w:t>
      </w:r>
      <w:r w:rsidR="002E72D7" w:rsidRPr="00063E86">
        <w:rPr>
          <w:rFonts w:cs="Times New Roman"/>
          <w:szCs w:val="24"/>
        </w:rPr>
        <w:t>)</w:t>
      </w:r>
      <w:r w:rsidR="008336DD" w:rsidRPr="00063E86">
        <w:rPr>
          <w:rFonts w:cs="Times New Roman"/>
          <w:szCs w:val="24"/>
        </w:rPr>
        <w:t xml:space="preserve"> and </w:t>
      </w:r>
      <w:r w:rsidR="008336DD" w:rsidRPr="00063E86">
        <w:rPr>
          <w:rFonts w:cs="Times New Roman"/>
          <w:i/>
          <w:iCs/>
          <w:szCs w:val="24"/>
        </w:rPr>
        <w:t>People v Hardy</w:t>
      </w:r>
      <w:r w:rsidR="008336DD" w:rsidRPr="00063E86">
        <w:rPr>
          <w:rFonts w:cs="Times New Roman"/>
          <w:szCs w:val="24"/>
        </w:rPr>
        <w:t xml:space="preserve"> </w:t>
      </w:r>
      <w:r w:rsidR="002E72D7" w:rsidRPr="00063E86">
        <w:rPr>
          <w:rFonts w:cs="Times New Roman"/>
          <w:szCs w:val="24"/>
        </w:rPr>
        <w:t>(</w:t>
      </w:r>
      <w:r w:rsidR="008336DD" w:rsidRPr="00063E86">
        <w:rPr>
          <w:rFonts w:cs="Times New Roman"/>
          <w:szCs w:val="24"/>
        </w:rPr>
        <w:t>26 NY3d 245, 249-</w:t>
      </w:r>
      <w:r w:rsidR="002E72D7" w:rsidRPr="00063E86">
        <w:rPr>
          <w:rFonts w:cs="Times New Roman"/>
          <w:szCs w:val="24"/>
        </w:rPr>
        <w:t>2</w:t>
      </w:r>
      <w:r w:rsidR="008336DD" w:rsidRPr="00063E86">
        <w:rPr>
          <w:rFonts w:cs="Times New Roman"/>
          <w:szCs w:val="24"/>
        </w:rPr>
        <w:t>50 [2015]</w:t>
      </w:r>
      <w:r w:rsidR="002E72D7" w:rsidRPr="00063E86">
        <w:rPr>
          <w:rFonts w:cs="Times New Roman"/>
          <w:szCs w:val="24"/>
        </w:rPr>
        <w:t>)</w:t>
      </w:r>
      <w:r w:rsidR="008336DD" w:rsidRPr="00063E86">
        <w:rPr>
          <w:rFonts w:cs="Times New Roman"/>
          <w:szCs w:val="24"/>
        </w:rPr>
        <w:t>:</w:t>
      </w:r>
    </w:p>
    <w:p w14:paraId="1B379D0A" w14:textId="77777777" w:rsidR="002E72D7" w:rsidRPr="00063E86" w:rsidRDefault="002E72D7" w:rsidP="006A76E6">
      <w:pPr>
        <w:spacing w:line="240" w:lineRule="auto"/>
        <w:rPr>
          <w:rFonts w:cs="Times New Roman"/>
          <w:szCs w:val="24"/>
        </w:rPr>
      </w:pPr>
    </w:p>
    <w:p w14:paraId="359C004C" w14:textId="6AFE1761" w:rsidR="002E72D7" w:rsidRPr="00063E86" w:rsidRDefault="008336DD" w:rsidP="006A76E6">
      <w:pPr>
        <w:spacing w:line="240" w:lineRule="auto"/>
        <w:ind w:right="720"/>
        <w:rPr>
          <w:rFonts w:eastAsia="Times New Roman" w:cs="Times New Roman"/>
          <w:color w:val="000000"/>
          <w:szCs w:val="24"/>
        </w:rPr>
      </w:pPr>
      <w:r w:rsidRPr="00063E86">
        <w:rPr>
          <w:rFonts w:cs="Times New Roman"/>
          <w:szCs w:val="24"/>
        </w:rPr>
        <w:t xml:space="preserve">“[The defendant’s] </w:t>
      </w:r>
      <w:r w:rsidRPr="00063E86">
        <w:rPr>
          <w:rFonts w:eastAsia="Times New Roman" w:cs="Times New Roman"/>
          <w:color w:val="000000"/>
          <w:szCs w:val="24"/>
        </w:rPr>
        <w:t>statement to the prosecution witness that he did not have the purse but could get it was not direct evidence of his guilt. A defendant</w:t>
      </w:r>
      <w:r w:rsidR="009D5C0D">
        <w:rPr>
          <w:rFonts w:eastAsia="Times New Roman" w:cs="Times New Roman"/>
          <w:color w:val="000000"/>
          <w:szCs w:val="24"/>
        </w:rPr>
        <w:t>’</w:t>
      </w:r>
      <w:r w:rsidRPr="00063E86">
        <w:rPr>
          <w:rFonts w:eastAsia="Times New Roman" w:cs="Times New Roman"/>
          <w:color w:val="000000"/>
          <w:szCs w:val="24"/>
        </w:rPr>
        <w:t>s statement is direct evidence only if it constitutes a relevant admission of guil</w:t>
      </w:r>
      <w:r w:rsidR="002E72D7" w:rsidRPr="00063E86">
        <w:rPr>
          <w:rFonts w:eastAsia="Times New Roman" w:cs="Times New Roman"/>
          <w:color w:val="000000"/>
          <w:szCs w:val="24"/>
        </w:rPr>
        <w:t xml:space="preserve">t. . . . </w:t>
      </w:r>
    </w:p>
    <w:p w14:paraId="4744C460" w14:textId="77777777" w:rsidR="001673A9" w:rsidRDefault="001673A9" w:rsidP="006A76E6">
      <w:pPr>
        <w:spacing w:line="240" w:lineRule="auto"/>
        <w:ind w:right="720"/>
        <w:rPr>
          <w:rFonts w:eastAsia="Times New Roman" w:cs="Times New Roman"/>
          <w:color w:val="000000"/>
          <w:szCs w:val="24"/>
        </w:rPr>
      </w:pPr>
    </w:p>
    <w:p w14:paraId="2DA4C3C6" w14:textId="1AA1ABB3" w:rsidR="002E72D7" w:rsidRPr="00063E86" w:rsidRDefault="002E72D7" w:rsidP="006A76E6">
      <w:pPr>
        <w:spacing w:line="240" w:lineRule="auto"/>
        <w:ind w:right="720"/>
        <w:rPr>
          <w:rFonts w:eastAsia="Times New Roman" w:cs="Times New Roman"/>
          <w:color w:val="000000"/>
          <w:szCs w:val="24"/>
        </w:rPr>
      </w:pPr>
      <w:r w:rsidRPr="00063E86">
        <w:rPr>
          <w:rFonts w:eastAsia="Times New Roman" w:cs="Times New Roman"/>
          <w:color w:val="000000"/>
          <w:szCs w:val="24"/>
        </w:rPr>
        <w:t>“</w:t>
      </w:r>
      <w:r w:rsidR="008336DD" w:rsidRPr="00063E86">
        <w:rPr>
          <w:rFonts w:eastAsia="Times New Roman" w:cs="Times New Roman"/>
          <w:color w:val="000000"/>
          <w:szCs w:val="24"/>
        </w:rPr>
        <w:t xml:space="preserve">By contrast, where the defendant makes an admission that merely </w:t>
      </w:r>
      <w:r w:rsidR="00A36BE5">
        <w:rPr>
          <w:rFonts w:eastAsia="Times New Roman" w:cs="Times New Roman"/>
          <w:color w:val="000000"/>
          <w:szCs w:val="24"/>
        </w:rPr>
        <w:t>includ[</w:t>
      </w:r>
      <w:r w:rsidR="008336DD" w:rsidRPr="00063E86">
        <w:rPr>
          <w:rFonts w:eastAsia="Times New Roman" w:cs="Times New Roman"/>
          <w:color w:val="000000"/>
          <w:szCs w:val="24"/>
        </w:rPr>
        <w:t>es] inculpatory acts from which a jury may or may not infer guilt, the statement is circumstantial and not direct evidence.</w:t>
      </w:r>
      <w:r w:rsidRPr="00063E86">
        <w:rPr>
          <w:rFonts w:eastAsia="Times New Roman" w:cs="Times New Roman"/>
          <w:color w:val="000000"/>
          <w:szCs w:val="24"/>
        </w:rPr>
        <w:t xml:space="preserve"> . . . </w:t>
      </w:r>
    </w:p>
    <w:p w14:paraId="727C271C" w14:textId="77777777" w:rsidR="001673A9" w:rsidRDefault="001673A9" w:rsidP="006A76E6">
      <w:pPr>
        <w:spacing w:line="240" w:lineRule="auto"/>
        <w:ind w:right="720"/>
        <w:rPr>
          <w:rFonts w:eastAsia="Times New Roman" w:cs="Times New Roman"/>
          <w:color w:val="000000"/>
          <w:szCs w:val="24"/>
        </w:rPr>
      </w:pPr>
    </w:p>
    <w:p w14:paraId="29DFB01C" w14:textId="342E6241" w:rsidR="008336DD" w:rsidRPr="00063E86" w:rsidRDefault="002E72D7" w:rsidP="006A76E6">
      <w:pPr>
        <w:spacing w:line="240" w:lineRule="auto"/>
        <w:ind w:right="720"/>
        <w:rPr>
          <w:rFonts w:eastAsia="Times New Roman" w:cs="Times New Roman"/>
          <w:color w:val="000000"/>
          <w:szCs w:val="24"/>
        </w:rPr>
      </w:pPr>
      <w:r w:rsidRPr="00063E86">
        <w:rPr>
          <w:rFonts w:eastAsia="Times New Roman" w:cs="Times New Roman"/>
          <w:color w:val="000000"/>
          <w:szCs w:val="24"/>
        </w:rPr>
        <w:t>“</w:t>
      </w:r>
      <w:r w:rsidR="008336DD" w:rsidRPr="00063E86">
        <w:rPr>
          <w:rFonts w:eastAsia="Times New Roman" w:cs="Times New Roman"/>
          <w:color w:val="000000"/>
          <w:szCs w:val="24"/>
        </w:rPr>
        <w:t>Here, defendant</w:t>
      </w:r>
      <w:r w:rsidR="009D5C0D">
        <w:rPr>
          <w:rFonts w:eastAsia="Times New Roman" w:cs="Times New Roman"/>
          <w:color w:val="000000"/>
          <w:szCs w:val="24"/>
        </w:rPr>
        <w:t>’</w:t>
      </w:r>
      <w:r w:rsidR="008336DD" w:rsidRPr="00063E86">
        <w:rPr>
          <w:rFonts w:eastAsia="Times New Roman" w:cs="Times New Roman"/>
          <w:color w:val="000000"/>
          <w:szCs w:val="24"/>
        </w:rPr>
        <w:t>s statement—that he did not have the purse but could get it—was not a direct admission of his guilt of larceny. Rather, defendant</w:t>
      </w:r>
      <w:r w:rsidR="009D5C0D">
        <w:rPr>
          <w:rFonts w:eastAsia="Times New Roman" w:cs="Times New Roman"/>
          <w:color w:val="000000"/>
          <w:szCs w:val="24"/>
        </w:rPr>
        <w:t>’</w:t>
      </w:r>
      <w:r w:rsidR="008336DD" w:rsidRPr="00063E86">
        <w:rPr>
          <w:rFonts w:eastAsia="Times New Roman" w:cs="Times New Roman"/>
          <w:color w:val="000000"/>
          <w:szCs w:val="24"/>
        </w:rPr>
        <w:t>s statement was also consistent with an inference that although he did not steal the purse, he knew where the purse was located and thought he could obtain it. Inasmuch as his statement merely included inculpatory facts from which the jury may or may not have inferred guilt, his statement was circumstantial rather than direct evidence”</w:t>
      </w:r>
      <w:r w:rsidRPr="00063E86">
        <w:rPr>
          <w:rFonts w:eastAsia="Times New Roman" w:cs="Times New Roman"/>
          <w:color w:val="000000"/>
          <w:szCs w:val="24"/>
        </w:rPr>
        <w:t xml:space="preserve"> (internal </w:t>
      </w:r>
      <w:r w:rsidR="008336DD" w:rsidRPr="00063E86">
        <w:rPr>
          <w:rFonts w:eastAsia="Times New Roman" w:cs="Times New Roman"/>
          <w:color w:val="000000"/>
          <w:szCs w:val="24"/>
        </w:rPr>
        <w:t>quotation marks and citations omitted).</w:t>
      </w:r>
    </w:p>
    <w:sectPr w:rsidR="008336DD" w:rsidRPr="00063E86" w:rsidSect="00063E86">
      <w:footerReference w:type="default" r:id="rId7"/>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2158" w14:textId="77777777" w:rsidR="00D92888" w:rsidRDefault="00D92888" w:rsidP="00063E86">
      <w:pPr>
        <w:spacing w:line="240" w:lineRule="auto"/>
      </w:pPr>
      <w:r>
        <w:separator/>
      </w:r>
    </w:p>
  </w:endnote>
  <w:endnote w:type="continuationSeparator" w:id="0">
    <w:p w14:paraId="02810F2B" w14:textId="77777777" w:rsidR="00D92888" w:rsidRDefault="00D92888" w:rsidP="00063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938673"/>
      <w:docPartObj>
        <w:docPartGallery w:val="Page Numbers (Bottom of Page)"/>
        <w:docPartUnique/>
      </w:docPartObj>
    </w:sdtPr>
    <w:sdtEndPr>
      <w:rPr>
        <w:noProof/>
      </w:rPr>
    </w:sdtEndPr>
    <w:sdtContent>
      <w:p w14:paraId="2C52C741" w14:textId="6F6331BE" w:rsidR="00063E86" w:rsidRDefault="00724B7A" w:rsidP="00724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7A2E" w14:textId="77777777" w:rsidR="00D92888" w:rsidRDefault="00D92888" w:rsidP="00063E86">
      <w:pPr>
        <w:spacing w:line="240" w:lineRule="auto"/>
      </w:pPr>
      <w:r>
        <w:separator/>
      </w:r>
    </w:p>
  </w:footnote>
  <w:footnote w:type="continuationSeparator" w:id="0">
    <w:p w14:paraId="7229D057" w14:textId="77777777" w:rsidR="00D92888" w:rsidRDefault="00D92888" w:rsidP="00063E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E94"/>
    <w:multiLevelType w:val="multilevel"/>
    <w:tmpl w:val="CDAE3348"/>
    <w:lvl w:ilvl="0">
      <w:start w:val="1"/>
      <w:numFmt w:val="decimal"/>
      <w:lvlText w:val="%1"/>
      <w:lvlJc w:val="left"/>
      <w:pPr>
        <w:ind w:left="525" w:hanging="525"/>
      </w:pPr>
      <w:rPr>
        <w:rFonts w:hint="default"/>
      </w:rPr>
    </w:lvl>
    <w:lvl w:ilvl="1">
      <w:start w:val="5"/>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2201F2"/>
    <w:multiLevelType w:val="hybridMultilevel"/>
    <w:tmpl w:val="EDB4AEA0"/>
    <w:lvl w:ilvl="0" w:tplc="81F07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10365A"/>
    <w:multiLevelType w:val="multilevel"/>
    <w:tmpl w:val="D0945E80"/>
    <w:lvl w:ilvl="0">
      <w:start w:val="1"/>
      <w:numFmt w:val="decimal"/>
      <w:lvlText w:val="%1"/>
      <w:lvlJc w:val="left"/>
      <w:pPr>
        <w:ind w:left="525" w:hanging="525"/>
      </w:pPr>
      <w:rPr>
        <w:rFonts w:hint="default"/>
      </w:rPr>
    </w:lvl>
    <w:lvl w:ilvl="1">
      <w:start w:val="5"/>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57"/>
    <w:rsid w:val="00011B0E"/>
    <w:rsid w:val="00063E86"/>
    <w:rsid w:val="001673A9"/>
    <w:rsid w:val="001A0145"/>
    <w:rsid w:val="001C0584"/>
    <w:rsid w:val="00200F7D"/>
    <w:rsid w:val="00245FE2"/>
    <w:rsid w:val="002E72D7"/>
    <w:rsid w:val="00367157"/>
    <w:rsid w:val="003955C7"/>
    <w:rsid w:val="003B54BC"/>
    <w:rsid w:val="004372C4"/>
    <w:rsid w:val="004C118F"/>
    <w:rsid w:val="005014F6"/>
    <w:rsid w:val="00520DED"/>
    <w:rsid w:val="00626CC3"/>
    <w:rsid w:val="00692C94"/>
    <w:rsid w:val="006A5F9A"/>
    <w:rsid w:val="006A76E6"/>
    <w:rsid w:val="00724B7A"/>
    <w:rsid w:val="00726FB2"/>
    <w:rsid w:val="008076DD"/>
    <w:rsid w:val="00816948"/>
    <w:rsid w:val="008336DD"/>
    <w:rsid w:val="00932F4D"/>
    <w:rsid w:val="009D5C0D"/>
    <w:rsid w:val="009E040E"/>
    <w:rsid w:val="00A15EC7"/>
    <w:rsid w:val="00A260F6"/>
    <w:rsid w:val="00A36BE5"/>
    <w:rsid w:val="00BD029F"/>
    <w:rsid w:val="00C25890"/>
    <w:rsid w:val="00C333FE"/>
    <w:rsid w:val="00CD67C1"/>
    <w:rsid w:val="00CF2F0D"/>
    <w:rsid w:val="00D15D5F"/>
    <w:rsid w:val="00D92888"/>
    <w:rsid w:val="00E06B90"/>
    <w:rsid w:val="00F84539"/>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402D"/>
  <w15:chartTrackingRefBased/>
  <w15:docId w15:val="{CF9ECB65-C96A-4985-AB5F-D5D4DB6F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E86"/>
    <w:pPr>
      <w:contextualSpacing/>
    </w:pPr>
  </w:style>
  <w:style w:type="paragraph" w:styleId="Header">
    <w:name w:val="header"/>
    <w:basedOn w:val="Normal"/>
    <w:link w:val="HeaderChar"/>
    <w:uiPriority w:val="99"/>
    <w:unhideWhenUsed/>
    <w:rsid w:val="00063E86"/>
    <w:pPr>
      <w:tabs>
        <w:tab w:val="center" w:pos="4680"/>
        <w:tab w:val="right" w:pos="9360"/>
      </w:tabs>
      <w:spacing w:line="240" w:lineRule="auto"/>
    </w:pPr>
  </w:style>
  <w:style w:type="character" w:customStyle="1" w:styleId="HeaderChar">
    <w:name w:val="Header Char"/>
    <w:basedOn w:val="DefaultParagraphFont"/>
    <w:link w:val="Header"/>
    <w:uiPriority w:val="99"/>
    <w:rsid w:val="00063E86"/>
    <w:rPr>
      <w:rFonts w:ascii="Times New Roman" w:hAnsi="Times New Roman"/>
      <w:sz w:val="24"/>
    </w:rPr>
  </w:style>
  <w:style w:type="paragraph" w:styleId="Footer">
    <w:name w:val="footer"/>
    <w:basedOn w:val="Normal"/>
    <w:link w:val="FooterChar"/>
    <w:uiPriority w:val="99"/>
    <w:unhideWhenUsed/>
    <w:rsid w:val="00063E86"/>
    <w:pPr>
      <w:tabs>
        <w:tab w:val="center" w:pos="4680"/>
        <w:tab w:val="right" w:pos="9360"/>
      </w:tabs>
      <w:spacing w:line="240" w:lineRule="auto"/>
    </w:pPr>
  </w:style>
  <w:style w:type="character" w:customStyle="1" w:styleId="FooterChar">
    <w:name w:val="Footer Char"/>
    <w:basedOn w:val="DefaultParagraphFont"/>
    <w:link w:val="Footer"/>
    <w:uiPriority w:val="99"/>
    <w:rsid w:val="00063E86"/>
    <w:rPr>
      <w:rFonts w:ascii="Times New Roman" w:hAnsi="Times New Roman"/>
      <w:sz w:val="24"/>
    </w:rPr>
  </w:style>
  <w:style w:type="paragraph" w:styleId="BalloonText">
    <w:name w:val="Balloon Text"/>
    <w:basedOn w:val="Normal"/>
    <w:link w:val="BalloonTextChar"/>
    <w:uiPriority w:val="99"/>
    <w:semiHidden/>
    <w:unhideWhenUsed/>
    <w:rsid w:val="00520D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18</cp:revision>
  <cp:lastPrinted>2021-05-12T13:16:00Z</cp:lastPrinted>
  <dcterms:created xsi:type="dcterms:W3CDTF">2021-05-04T15:19:00Z</dcterms:created>
  <dcterms:modified xsi:type="dcterms:W3CDTF">2021-07-15T03:22:00Z</dcterms:modified>
</cp:coreProperties>
</file>