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72564" w14:textId="4BD6244C" w:rsidR="001F119F" w:rsidRPr="002A03F4" w:rsidRDefault="001F119F" w:rsidP="001B4991">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8"/>
          <w:szCs w:val="28"/>
        </w:rPr>
      </w:pPr>
      <w:r w:rsidRPr="002A03F4">
        <w:rPr>
          <w:rFonts w:ascii="Times New Roman" w:hAnsi="Times New Roman" w:cs="Times New Roman"/>
          <w:sz w:val="28"/>
          <w:szCs w:val="28"/>
          <w:lang w:val="en-CA"/>
        </w:rPr>
        <w:fldChar w:fldCharType="begin"/>
      </w:r>
      <w:r w:rsidRPr="002A03F4">
        <w:rPr>
          <w:rFonts w:ascii="Times New Roman" w:hAnsi="Times New Roman" w:cs="Times New Roman"/>
          <w:sz w:val="28"/>
          <w:szCs w:val="28"/>
          <w:lang w:val="en-CA"/>
        </w:rPr>
        <w:instrText xml:space="preserve"> SEQ CHAPTER \h \r 1</w:instrText>
      </w:r>
      <w:r w:rsidRPr="002A03F4">
        <w:rPr>
          <w:rFonts w:ascii="Times New Roman" w:hAnsi="Times New Roman" w:cs="Times New Roman"/>
          <w:sz w:val="28"/>
          <w:szCs w:val="28"/>
          <w:lang w:val="en-CA"/>
        </w:rPr>
        <w:fldChar w:fldCharType="end"/>
      </w:r>
      <w:r w:rsidR="00CE7681" w:rsidRPr="002A03F4">
        <w:rPr>
          <w:rFonts w:ascii="Times New Roman" w:hAnsi="Times New Roman" w:cs="Times New Roman"/>
          <w:b/>
          <w:bCs/>
          <w:sz w:val="28"/>
          <w:szCs w:val="28"/>
        </w:rPr>
        <w:t>4.</w:t>
      </w:r>
      <w:r w:rsidR="003A0637">
        <w:rPr>
          <w:rFonts w:ascii="Times New Roman" w:hAnsi="Times New Roman" w:cs="Times New Roman"/>
          <w:b/>
          <w:bCs/>
          <w:sz w:val="28"/>
          <w:szCs w:val="28"/>
        </w:rPr>
        <w:t>07.1</w:t>
      </w:r>
      <w:r w:rsidR="001B5D74">
        <w:rPr>
          <w:rFonts w:ascii="Times New Roman" w:hAnsi="Times New Roman" w:cs="Times New Roman"/>
          <w:b/>
          <w:bCs/>
          <w:sz w:val="28"/>
          <w:szCs w:val="28"/>
        </w:rPr>
        <w:t>.</w:t>
      </w:r>
      <w:r w:rsidRPr="002A03F4">
        <w:rPr>
          <w:rFonts w:ascii="Times New Roman" w:hAnsi="Times New Roman" w:cs="Times New Roman"/>
          <w:b/>
          <w:bCs/>
          <w:sz w:val="28"/>
          <w:szCs w:val="28"/>
        </w:rPr>
        <w:t xml:space="preserve"> Character Evidence</w:t>
      </w:r>
      <w:r w:rsidR="00BA4EEB" w:rsidRPr="002A03F4">
        <w:rPr>
          <w:rStyle w:val="EndnoteReference"/>
          <w:rFonts w:ascii="Times New Roman" w:hAnsi="Times New Roman" w:cs="Times New Roman"/>
          <w:b/>
          <w:bCs/>
          <w:sz w:val="28"/>
          <w:szCs w:val="28"/>
        </w:rPr>
        <w:endnoteReference w:id="2"/>
      </w:r>
    </w:p>
    <w:p w14:paraId="3B725F5F" w14:textId="77777777" w:rsidR="001F119F" w:rsidRPr="002A03F4" w:rsidRDefault="001F119F" w:rsidP="001B4991">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8"/>
          <w:szCs w:val="28"/>
        </w:rPr>
      </w:pPr>
    </w:p>
    <w:p w14:paraId="2DC18486" w14:textId="75034514" w:rsidR="001F119F" w:rsidRPr="002A03F4" w:rsidRDefault="001F119F" w:rsidP="001B4991">
      <w:pPr>
        <w:pStyle w:val="NoSpacing"/>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rPr>
          <w:rFonts w:ascii="Times New Roman" w:hAnsi="Times New Roman" w:cs="Times New Roman"/>
          <w:sz w:val="28"/>
          <w:szCs w:val="28"/>
        </w:rPr>
      </w:pPr>
      <w:r w:rsidRPr="002A03F4">
        <w:rPr>
          <w:rFonts w:ascii="Times New Roman" w:hAnsi="Times New Roman" w:cs="Times New Roman"/>
          <w:b/>
          <w:bCs/>
          <w:sz w:val="28"/>
          <w:szCs w:val="28"/>
        </w:rPr>
        <w:t>(1) Admissibility</w:t>
      </w:r>
      <w:r w:rsidR="008A3328" w:rsidRPr="002A03F4">
        <w:rPr>
          <w:rFonts w:ascii="Times New Roman" w:hAnsi="Times New Roman" w:cs="Times New Roman"/>
          <w:b/>
          <w:bCs/>
          <w:sz w:val="28"/>
          <w:szCs w:val="28"/>
        </w:rPr>
        <w:t xml:space="preserve">. </w:t>
      </w:r>
      <w:r w:rsidRPr="002A03F4">
        <w:rPr>
          <w:rFonts w:ascii="Times New Roman" w:hAnsi="Times New Roman" w:cs="Times New Roman"/>
          <w:b/>
          <w:bCs/>
          <w:sz w:val="28"/>
          <w:szCs w:val="28"/>
        </w:rPr>
        <w:t>Evidence of a person’s character is not admissible to prove that the person acted in conformity therewith on a particular occasion except:</w:t>
      </w:r>
    </w:p>
    <w:p w14:paraId="7405C751" w14:textId="77777777" w:rsidR="00335169" w:rsidRPr="002A03F4" w:rsidRDefault="00335169" w:rsidP="001B4991">
      <w:pPr>
        <w:pStyle w:val="NoSpacing"/>
        <w:widowControl/>
        <w:tabs>
          <w:tab w:val="left" w:pos="1152"/>
          <w:tab w:val="left" w:pos="1440"/>
          <w:tab w:val="left" w:pos="2160"/>
          <w:tab w:val="left" w:pos="2880"/>
          <w:tab w:val="left" w:pos="3600"/>
          <w:tab w:val="left" w:pos="4320"/>
          <w:tab w:val="left" w:pos="5040"/>
          <w:tab w:val="left" w:pos="5760"/>
          <w:tab w:val="left" w:pos="6480"/>
          <w:tab w:val="left" w:pos="7198"/>
        </w:tabs>
        <w:ind w:right="720"/>
        <w:rPr>
          <w:rFonts w:ascii="Times New Roman" w:hAnsi="Times New Roman" w:cs="Times New Roman"/>
          <w:sz w:val="28"/>
          <w:szCs w:val="28"/>
        </w:rPr>
      </w:pPr>
    </w:p>
    <w:p w14:paraId="1CBC68F0" w14:textId="77777777" w:rsidR="001F119F" w:rsidRPr="002A03F4" w:rsidRDefault="00335169" w:rsidP="001B4991">
      <w:pPr>
        <w:pStyle w:val="L11-1"/>
        <w:widowControl/>
        <w:numPr>
          <w:ilvl w:val="0"/>
          <w:numId w:val="1"/>
        </w:numPr>
        <w:tabs>
          <w:tab w:val="left" w:pos="2879"/>
          <w:tab w:val="left" w:pos="3599"/>
          <w:tab w:val="left" w:pos="4319"/>
          <w:tab w:val="left" w:pos="5039"/>
          <w:tab w:val="left" w:pos="5759"/>
          <w:tab w:val="left" w:pos="6479"/>
        </w:tabs>
        <w:ind w:left="1440" w:right="720" w:firstLine="0"/>
        <w:rPr>
          <w:b/>
          <w:bCs/>
          <w:sz w:val="28"/>
          <w:szCs w:val="28"/>
        </w:rPr>
      </w:pPr>
      <w:r w:rsidRPr="002A03F4">
        <w:rPr>
          <w:b/>
          <w:bCs/>
          <w:sz w:val="28"/>
          <w:szCs w:val="28"/>
        </w:rPr>
        <w:t xml:space="preserve"> </w:t>
      </w:r>
      <w:r w:rsidR="001F119F" w:rsidRPr="002A03F4">
        <w:rPr>
          <w:b/>
          <w:bCs/>
          <w:sz w:val="28"/>
          <w:szCs w:val="28"/>
        </w:rPr>
        <w:t>In a civil or criminal proceeding, evidence of a person</w:t>
      </w:r>
      <w:r w:rsidR="002A22DA" w:rsidRPr="002A03F4">
        <w:rPr>
          <w:b/>
          <w:bCs/>
          <w:sz w:val="28"/>
          <w:szCs w:val="28"/>
        </w:rPr>
        <w:t>’</w:t>
      </w:r>
      <w:r w:rsidR="001F119F" w:rsidRPr="002A03F4">
        <w:rPr>
          <w:b/>
          <w:bCs/>
          <w:sz w:val="28"/>
          <w:szCs w:val="28"/>
        </w:rPr>
        <w:t>s character is admissible where that character is an essential element of a crime, charge, claim, or defense.</w:t>
      </w:r>
    </w:p>
    <w:p w14:paraId="03127211" w14:textId="77777777" w:rsidR="001F119F" w:rsidRPr="002A03F4" w:rsidRDefault="001F119F" w:rsidP="001B4991">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6768"/>
        </w:tabs>
        <w:ind w:right="1152"/>
        <w:rPr>
          <w:rFonts w:ascii="Times New Roman" w:hAnsi="Times New Roman" w:cs="Times New Roman"/>
          <w:b/>
          <w:bCs/>
          <w:sz w:val="28"/>
          <w:szCs w:val="28"/>
        </w:rPr>
      </w:pPr>
    </w:p>
    <w:p w14:paraId="3C27BE3C" w14:textId="1EA0AD7A" w:rsidR="0038636B" w:rsidRPr="002A03F4" w:rsidRDefault="00335169" w:rsidP="001B4991">
      <w:pPr>
        <w:pStyle w:val="L11-1"/>
        <w:widowControl/>
        <w:numPr>
          <w:ilvl w:val="0"/>
          <w:numId w:val="1"/>
        </w:numPr>
        <w:tabs>
          <w:tab w:val="left" w:pos="2879"/>
          <w:tab w:val="left" w:pos="3599"/>
          <w:tab w:val="left" w:pos="4319"/>
          <w:tab w:val="left" w:pos="5039"/>
          <w:tab w:val="left" w:pos="5759"/>
          <w:tab w:val="left" w:pos="6479"/>
        </w:tabs>
        <w:ind w:left="1440" w:right="720" w:firstLine="0"/>
        <w:rPr>
          <w:b/>
          <w:bCs/>
          <w:sz w:val="28"/>
          <w:szCs w:val="28"/>
        </w:rPr>
      </w:pPr>
      <w:r w:rsidRPr="002A03F4">
        <w:rPr>
          <w:b/>
          <w:bCs/>
          <w:sz w:val="28"/>
          <w:szCs w:val="28"/>
        </w:rPr>
        <w:t xml:space="preserve"> </w:t>
      </w:r>
      <w:r w:rsidR="001F119F" w:rsidRPr="002A03F4">
        <w:rPr>
          <w:b/>
          <w:bCs/>
          <w:sz w:val="28"/>
          <w:szCs w:val="28"/>
        </w:rPr>
        <w:t>In a criminal proceeding, a defendant may offer evidence of character that is relevant to prove the defendant acted in conformity therewith on a particular occasion, and, if the evidence is admitted, the People may rebut that evidence.</w:t>
      </w:r>
    </w:p>
    <w:p w14:paraId="0E82237E" w14:textId="77777777" w:rsidR="001F119F" w:rsidRPr="002A03F4" w:rsidRDefault="001F119F" w:rsidP="001B4991">
      <w:pPr>
        <w:widowControl/>
        <w:numPr>
          <w:ilvl w:val="12"/>
          <w:numId w:val="0"/>
        </w:numPr>
        <w:tabs>
          <w:tab w:val="left" w:pos="0"/>
          <w:tab w:val="left" w:pos="81"/>
          <w:tab w:val="left" w:pos="801"/>
          <w:tab w:val="left" w:pos="1521"/>
          <w:tab w:val="left" w:pos="2241"/>
          <w:tab w:val="left" w:pos="2961"/>
          <w:tab w:val="left" w:pos="3681"/>
          <w:tab w:val="left" w:pos="4401"/>
          <w:tab w:val="left" w:pos="4977"/>
        </w:tabs>
        <w:ind w:right="864"/>
        <w:jc w:val="both"/>
        <w:rPr>
          <w:b/>
          <w:bCs/>
          <w:sz w:val="28"/>
          <w:szCs w:val="28"/>
        </w:rPr>
      </w:pPr>
    </w:p>
    <w:p w14:paraId="7585A220" w14:textId="58F7345D" w:rsidR="00CB5156" w:rsidRPr="002A03F4" w:rsidRDefault="00335169" w:rsidP="001B4991">
      <w:pPr>
        <w:pStyle w:val="L11-1"/>
        <w:widowControl/>
        <w:numPr>
          <w:ilvl w:val="0"/>
          <w:numId w:val="1"/>
        </w:numPr>
        <w:tabs>
          <w:tab w:val="left" w:pos="2879"/>
          <w:tab w:val="left" w:pos="3599"/>
          <w:tab w:val="left" w:pos="4319"/>
          <w:tab w:val="left" w:pos="5039"/>
          <w:tab w:val="left" w:pos="5759"/>
          <w:tab w:val="left" w:pos="6479"/>
        </w:tabs>
        <w:ind w:left="1440" w:right="720" w:firstLine="0"/>
        <w:rPr>
          <w:b/>
          <w:bCs/>
          <w:sz w:val="28"/>
          <w:szCs w:val="28"/>
        </w:rPr>
      </w:pPr>
      <w:r w:rsidRPr="002A03F4">
        <w:rPr>
          <w:b/>
          <w:bCs/>
          <w:sz w:val="28"/>
          <w:szCs w:val="28"/>
        </w:rPr>
        <w:t xml:space="preserve"> </w:t>
      </w:r>
      <w:r w:rsidR="001F119F" w:rsidRPr="002A03F4">
        <w:rPr>
          <w:b/>
          <w:bCs/>
          <w:sz w:val="28"/>
          <w:szCs w:val="28"/>
        </w:rPr>
        <w:t>In a criminal proceeding where the defendant interposes a defense of justification based on the defense of self or another:</w:t>
      </w:r>
    </w:p>
    <w:p w14:paraId="22A99891" w14:textId="77777777" w:rsidR="00CB5156" w:rsidRPr="002A03F4" w:rsidRDefault="00CB5156" w:rsidP="001B4991">
      <w:pPr>
        <w:rPr>
          <w:b/>
          <w:bCs/>
          <w:sz w:val="28"/>
          <w:szCs w:val="28"/>
        </w:rPr>
      </w:pPr>
    </w:p>
    <w:p w14:paraId="3F9078A2" w14:textId="77777777" w:rsidR="00CB5156" w:rsidRPr="002A03F4" w:rsidRDefault="001F119F" w:rsidP="001B4991">
      <w:pPr>
        <w:pStyle w:val="L11-1"/>
        <w:widowControl/>
        <w:tabs>
          <w:tab w:val="left" w:pos="2879"/>
          <w:tab w:val="left" w:pos="3599"/>
          <w:tab w:val="left" w:pos="4319"/>
          <w:tab w:val="left" w:pos="5039"/>
          <w:tab w:val="left" w:pos="5759"/>
          <w:tab w:val="left" w:pos="6479"/>
        </w:tabs>
        <w:ind w:left="1872" w:right="720" w:firstLine="0"/>
        <w:rPr>
          <w:b/>
          <w:bCs/>
          <w:sz w:val="28"/>
          <w:szCs w:val="28"/>
        </w:rPr>
      </w:pPr>
      <w:r w:rsidRPr="002A03F4">
        <w:rPr>
          <w:b/>
          <w:bCs/>
          <w:sz w:val="28"/>
          <w:szCs w:val="28"/>
        </w:rPr>
        <w:t xml:space="preserve">(i) evidence </w:t>
      </w:r>
      <w:bookmarkStart w:id="0" w:name="_Hlk114495712"/>
      <w:r w:rsidRPr="002A03F4">
        <w:rPr>
          <w:b/>
          <w:bCs/>
          <w:sz w:val="28"/>
          <w:szCs w:val="28"/>
        </w:rPr>
        <w:t xml:space="preserve">of the victim’s reputation for violence </w:t>
      </w:r>
      <w:bookmarkEnd w:id="0"/>
      <w:r w:rsidRPr="002A03F4">
        <w:rPr>
          <w:b/>
          <w:bCs/>
          <w:sz w:val="28"/>
          <w:szCs w:val="28"/>
        </w:rPr>
        <w:t xml:space="preserve">and prior specific acts of violence by the victim against the defendant or others, if known to the defendant and reasonably related to the crime charged, </w:t>
      </w:r>
      <w:r w:rsidR="00B76B20" w:rsidRPr="002A03F4">
        <w:rPr>
          <w:b/>
          <w:bCs/>
          <w:sz w:val="28"/>
          <w:szCs w:val="28"/>
        </w:rPr>
        <w:t>is</w:t>
      </w:r>
      <w:r w:rsidRPr="002A03F4">
        <w:rPr>
          <w:b/>
          <w:bCs/>
          <w:sz w:val="28"/>
          <w:szCs w:val="28"/>
        </w:rPr>
        <w:t xml:space="preserve"> admissible on the issue of the defendant’s belief of the necessity of defending himself or herself or another person from impending harm</w:t>
      </w:r>
      <w:r w:rsidR="00E53801" w:rsidRPr="002A03F4">
        <w:rPr>
          <w:b/>
          <w:bCs/>
          <w:sz w:val="28"/>
          <w:szCs w:val="28"/>
        </w:rPr>
        <w:t>;</w:t>
      </w:r>
    </w:p>
    <w:p w14:paraId="685E2F3D" w14:textId="77777777" w:rsidR="00146A1D" w:rsidRPr="002A03F4" w:rsidRDefault="00146A1D" w:rsidP="001B4991">
      <w:pPr>
        <w:pStyle w:val="L11-1"/>
        <w:widowControl/>
        <w:tabs>
          <w:tab w:val="left" w:pos="2879"/>
          <w:tab w:val="left" w:pos="3599"/>
          <w:tab w:val="left" w:pos="4319"/>
          <w:tab w:val="left" w:pos="5039"/>
          <w:tab w:val="left" w:pos="5759"/>
          <w:tab w:val="left" w:pos="6479"/>
        </w:tabs>
        <w:ind w:left="0" w:right="720" w:firstLine="0"/>
        <w:rPr>
          <w:b/>
          <w:bCs/>
          <w:sz w:val="28"/>
          <w:szCs w:val="28"/>
        </w:rPr>
      </w:pPr>
    </w:p>
    <w:p w14:paraId="3174D743" w14:textId="559379AD" w:rsidR="00CB5156" w:rsidRPr="002A03F4" w:rsidRDefault="00FF2309" w:rsidP="001B4991">
      <w:pPr>
        <w:pStyle w:val="L11-1"/>
        <w:widowControl/>
        <w:tabs>
          <w:tab w:val="left" w:pos="2879"/>
          <w:tab w:val="left" w:pos="3599"/>
          <w:tab w:val="left" w:pos="4319"/>
          <w:tab w:val="left" w:pos="5039"/>
          <w:tab w:val="left" w:pos="5759"/>
          <w:tab w:val="left" w:pos="6479"/>
        </w:tabs>
        <w:ind w:left="1872" w:right="720" w:firstLine="0"/>
        <w:rPr>
          <w:b/>
          <w:bCs/>
          <w:sz w:val="28"/>
          <w:szCs w:val="28"/>
        </w:rPr>
      </w:pPr>
      <w:r w:rsidRPr="002A03F4">
        <w:rPr>
          <w:b/>
          <w:bCs/>
          <w:sz w:val="28"/>
          <w:szCs w:val="28"/>
        </w:rPr>
        <w:t xml:space="preserve">(ii) </w:t>
      </w:r>
      <w:r w:rsidR="001F119F" w:rsidRPr="002A03F4">
        <w:rPr>
          <w:b/>
          <w:bCs/>
          <w:sz w:val="28"/>
          <w:szCs w:val="28"/>
        </w:rPr>
        <w:t xml:space="preserve">evidence of the victim’s prior threats against the defendant, whether known to the defendant or not, </w:t>
      </w:r>
      <w:r w:rsidR="00B76B20" w:rsidRPr="002A03F4">
        <w:rPr>
          <w:b/>
          <w:bCs/>
          <w:sz w:val="28"/>
          <w:szCs w:val="28"/>
        </w:rPr>
        <w:t>is</w:t>
      </w:r>
      <w:r w:rsidR="001F119F" w:rsidRPr="002A03F4">
        <w:rPr>
          <w:b/>
          <w:bCs/>
          <w:sz w:val="28"/>
          <w:szCs w:val="28"/>
        </w:rPr>
        <w:t xml:space="preserve"> admissible to prove that the victim was the initial aggressor</w:t>
      </w:r>
      <w:r w:rsidR="00455076" w:rsidRPr="002A03F4">
        <w:rPr>
          <w:b/>
          <w:bCs/>
          <w:sz w:val="28"/>
          <w:szCs w:val="28"/>
        </w:rPr>
        <w:t>;</w:t>
      </w:r>
      <w:bookmarkStart w:id="1" w:name="_Hlk114498132"/>
    </w:p>
    <w:p w14:paraId="15A2B3DE" w14:textId="77777777" w:rsidR="00AC75E6" w:rsidRPr="002A03F4" w:rsidRDefault="00AC75E6" w:rsidP="001B4991">
      <w:pPr>
        <w:pStyle w:val="L11-1"/>
        <w:widowControl/>
        <w:tabs>
          <w:tab w:val="left" w:pos="2879"/>
          <w:tab w:val="left" w:pos="3599"/>
          <w:tab w:val="left" w:pos="4319"/>
          <w:tab w:val="left" w:pos="5039"/>
          <w:tab w:val="left" w:pos="5759"/>
          <w:tab w:val="left" w:pos="6479"/>
        </w:tabs>
        <w:ind w:left="0" w:right="720" w:firstLine="0"/>
        <w:rPr>
          <w:b/>
          <w:bCs/>
          <w:sz w:val="28"/>
          <w:szCs w:val="28"/>
        </w:rPr>
      </w:pPr>
    </w:p>
    <w:p w14:paraId="588EFB10" w14:textId="1DDAF83C" w:rsidR="00CB5156" w:rsidRPr="002A03F4" w:rsidRDefault="00D36727" w:rsidP="001B4991">
      <w:pPr>
        <w:pStyle w:val="L11-1"/>
        <w:widowControl/>
        <w:tabs>
          <w:tab w:val="left" w:pos="2879"/>
          <w:tab w:val="left" w:pos="3599"/>
          <w:tab w:val="left" w:pos="4319"/>
          <w:tab w:val="left" w:pos="5039"/>
          <w:tab w:val="left" w:pos="5759"/>
          <w:tab w:val="left" w:pos="6479"/>
        </w:tabs>
        <w:ind w:left="1872" w:right="720" w:firstLine="0"/>
        <w:rPr>
          <w:b/>
          <w:bCs/>
          <w:sz w:val="28"/>
          <w:szCs w:val="28"/>
        </w:rPr>
      </w:pPr>
      <w:r w:rsidRPr="002A03F4">
        <w:rPr>
          <w:b/>
          <w:bCs/>
          <w:sz w:val="28"/>
          <w:szCs w:val="28"/>
        </w:rPr>
        <w:t>(i</w:t>
      </w:r>
      <w:r w:rsidR="00E53801" w:rsidRPr="002A03F4">
        <w:rPr>
          <w:b/>
          <w:bCs/>
          <w:sz w:val="28"/>
          <w:szCs w:val="28"/>
        </w:rPr>
        <w:t>i</w:t>
      </w:r>
      <w:r w:rsidRPr="002A03F4">
        <w:rPr>
          <w:b/>
          <w:bCs/>
          <w:sz w:val="28"/>
          <w:szCs w:val="28"/>
        </w:rPr>
        <w:t xml:space="preserve">i) </w:t>
      </w:r>
      <w:bookmarkStart w:id="2" w:name="_Hlk114496059"/>
      <w:r w:rsidRPr="002A03F4">
        <w:rPr>
          <w:b/>
          <w:bCs/>
          <w:sz w:val="28"/>
          <w:szCs w:val="28"/>
        </w:rPr>
        <w:t>evidence of the victim’s reputation for violence is not admissible to prove that the victim was the “initial aggressor”;</w:t>
      </w:r>
      <w:bookmarkEnd w:id="2"/>
      <w:r w:rsidR="00E53801" w:rsidRPr="002A03F4">
        <w:rPr>
          <w:b/>
          <w:bCs/>
          <w:sz w:val="28"/>
          <w:szCs w:val="28"/>
        </w:rPr>
        <w:t xml:space="preserve"> </w:t>
      </w:r>
      <w:bookmarkEnd w:id="1"/>
      <w:r w:rsidR="009748E0" w:rsidRPr="002A03F4">
        <w:rPr>
          <w:b/>
          <w:bCs/>
          <w:sz w:val="28"/>
          <w:szCs w:val="28"/>
        </w:rPr>
        <w:t>and</w:t>
      </w:r>
    </w:p>
    <w:p w14:paraId="43F36130" w14:textId="77777777" w:rsidR="00146A1D" w:rsidRPr="002A03F4" w:rsidRDefault="00146A1D" w:rsidP="001B4991">
      <w:pPr>
        <w:pStyle w:val="L11-1"/>
        <w:widowControl/>
        <w:tabs>
          <w:tab w:val="left" w:pos="2879"/>
          <w:tab w:val="left" w:pos="3599"/>
          <w:tab w:val="left" w:pos="4319"/>
          <w:tab w:val="left" w:pos="5039"/>
          <w:tab w:val="left" w:pos="5759"/>
          <w:tab w:val="left" w:pos="6479"/>
        </w:tabs>
        <w:ind w:left="0" w:right="720" w:firstLine="0"/>
        <w:rPr>
          <w:b/>
          <w:bCs/>
          <w:sz w:val="28"/>
          <w:szCs w:val="28"/>
        </w:rPr>
      </w:pPr>
    </w:p>
    <w:p w14:paraId="2ED9DE4D" w14:textId="6A72FE34" w:rsidR="001F119F" w:rsidRPr="002A03F4" w:rsidRDefault="00455076" w:rsidP="001B4991">
      <w:pPr>
        <w:pStyle w:val="L11-1"/>
        <w:widowControl/>
        <w:tabs>
          <w:tab w:val="left" w:pos="2879"/>
          <w:tab w:val="left" w:pos="3599"/>
          <w:tab w:val="left" w:pos="4319"/>
          <w:tab w:val="left" w:pos="5039"/>
          <w:tab w:val="left" w:pos="5759"/>
          <w:tab w:val="left" w:pos="6479"/>
        </w:tabs>
        <w:ind w:left="1872" w:right="720" w:firstLine="0"/>
        <w:rPr>
          <w:b/>
          <w:bCs/>
          <w:sz w:val="28"/>
          <w:szCs w:val="28"/>
        </w:rPr>
      </w:pPr>
      <w:r w:rsidRPr="002A03F4">
        <w:rPr>
          <w:b/>
          <w:bCs/>
          <w:sz w:val="28"/>
          <w:szCs w:val="28"/>
        </w:rPr>
        <w:lastRenderedPageBreak/>
        <w:t xml:space="preserve">(iv) </w:t>
      </w:r>
      <w:r w:rsidR="00AF1B79" w:rsidRPr="002A03F4">
        <w:rPr>
          <w:b/>
          <w:bCs/>
          <w:sz w:val="28"/>
          <w:szCs w:val="28"/>
        </w:rPr>
        <w:t xml:space="preserve">evidence of the defendant’s reputation for violence </w:t>
      </w:r>
      <w:r w:rsidRPr="002A03F4">
        <w:rPr>
          <w:b/>
          <w:bCs/>
          <w:sz w:val="28"/>
          <w:szCs w:val="28"/>
        </w:rPr>
        <w:t xml:space="preserve">is not </w:t>
      </w:r>
      <w:r w:rsidR="00AF1B79" w:rsidRPr="002A03F4">
        <w:rPr>
          <w:b/>
          <w:bCs/>
          <w:sz w:val="28"/>
          <w:szCs w:val="28"/>
        </w:rPr>
        <w:t>admissible to prove that the defendant was the “initial aggressor</w:t>
      </w:r>
      <w:r w:rsidRPr="002A03F4">
        <w:rPr>
          <w:b/>
          <w:bCs/>
          <w:sz w:val="28"/>
          <w:szCs w:val="28"/>
        </w:rPr>
        <w:t>.</w:t>
      </w:r>
      <w:r w:rsidR="00AF1B79" w:rsidRPr="002A03F4">
        <w:rPr>
          <w:b/>
          <w:bCs/>
          <w:sz w:val="28"/>
          <w:szCs w:val="28"/>
        </w:rPr>
        <w:t>”</w:t>
      </w:r>
    </w:p>
    <w:p w14:paraId="77320ED4" w14:textId="0455145D" w:rsidR="001F119F" w:rsidRPr="002A03F4" w:rsidRDefault="001F119F" w:rsidP="001B4991">
      <w:pPr>
        <w:widowControl/>
        <w:rPr>
          <w:sz w:val="28"/>
          <w:szCs w:val="28"/>
        </w:rPr>
      </w:pPr>
    </w:p>
    <w:p w14:paraId="566FD992" w14:textId="30DA9C09" w:rsidR="001F119F" w:rsidRPr="002A03F4" w:rsidRDefault="00865E39" w:rsidP="001B4991">
      <w:pPr>
        <w:pStyle w:val="L8-1"/>
        <w:widowControl/>
        <w:numPr>
          <w:ilvl w:val="0"/>
          <w:numId w:val="1"/>
        </w:numPr>
        <w:tabs>
          <w:tab w:val="left" w:pos="2160"/>
          <w:tab w:val="left" w:pos="2880"/>
          <w:tab w:val="left" w:pos="3600"/>
          <w:tab w:val="left" w:pos="4320"/>
          <w:tab w:val="left" w:pos="5040"/>
          <w:tab w:val="left" w:pos="5760"/>
          <w:tab w:val="left" w:pos="6480"/>
        </w:tabs>
        <w:ind w:left="1440" w:right="720" w:firstLine="0"/>
        <w:rPr>
          <w:b/>
          <w:bCs/>
          <w:sz w:val="28"/>
          <w:szCs w:val="28"/>
        </w:rPr>
      </w:pPr>
      <w:r w:rsidRPr="002A03F4">
        <w:rPr>
          <w:b/>
          <w:bCs/>
          <w:sz w:val="28"/>
          <w:szCs w:val="28"/>
        </w:rPr>
        <w:t xml:space="preserve"> </w:t>
      </w:r>
      <w:r w:rsidR="001F119F" w:rsidRPr="002A03F4">
        <w:rPr>
          <w:b/>
          <w:bCs/>
          <w:sz w:val="28"/>
          <w:szCs w:val="28"/>
        </w:rPr>
        <w:t xml:space="preserve">In a civil or criminal proceeding, evidence of the character of a witness may be admissible to impeach the witness as provided in </w:t>
      </w:r>
      <w:r w:rsidR="006E3BF2" w:rsidRPr="002A03F4">
        <w:rPr>
          <w:b/>
          <w:bCs/>
          <w:sz w:val="28"/>
          <w:szCs w:val="28"/>
        </w:rPr>
        <w:t xml:space="preserve">Guide to New York Evidence </w:t>
      </w:r>
      <w:r w:rsidR="001F119F" w:rsidRPr="002A03F4">
        <w:rPr>
          <w:b/>
          <w:bCs/>
          <w:sz w:val="28"/>
          <w:szCs w:val="28"/>
        </w:rPr>
        <w:t>article six.</w:t>
      </w:r>
    </w:p>
    <w:p w14:paraId="1BFA87F0" w14:textId="77777777" w:rsidR="001F119F" w:rsidRPr="002A03F4" w:rsidRDefault="001F119F" w:rsidP="001B4991">
      <w:pPr>
        <w:pStyle w:val="NoSpacing"/>
        <w:widowControl/>
        <w:numPr>
          <w:ilvl w:val="12"/>
          <w:numId w:val="0"/>
        </w:numPr>
        <w:tabs>
          <w:tab w:val="left" w:pos="1584"/>
          <w:tab w:val="left" w:pos="2160"/>
          <w:tab w:val="left" w:pos="2880"/>
          <w:tab w:val="left" w:pos="3600"/>
          <w:tab w:val="left" w:pos="4320"/>
          <w:tab w:val="left" w:pos="5040"/>
          <w:tab w:val="left" w:pos="5760"/>
          <w:tab w:val="left" w:pos="6480"/>
          <w:tab w:val="left" w:pos="6768"/>
        </w:tabs>
        <w:ind w:right="1152"/>
        <w:rPr>
          <w:rFonts w:ascii="Times New Roman" w:hAnsi="Times New Roman" w:cs="Times New Roman"/>
          <w:b/>
          <w:bCs/>
          <w:sz w:val="28"/>
          <w:szCs w:val="28"/>
        </w:rPr>
      </w:pPr>
    </w:p>
    <w:p w14:paraId="753DCA1E" w14:textId="3DB85736" w:rsidR="001F119F" w:rsidRPr="002A03F4" w:rsidRDefault="001F119F" w:rsidP="001B4991">
      <w:pPr>
        <w:pStyle w:val="NoSpacing"/>
        <w:widowControl/>
        <w:numPr>
          <w:ilvl w:val="12"/>
          <w:numId w:val="0"/>
        </w:numPr>
        <w:tabs>
          <w:tab w:val="left" w:pos="720"/>
          <w:tab w:val="left" w:pos="1440"/>
          <w:tab w:val="left" w:pos="2160"/>
          <w:tab w:val="left" w:pos="2880"/>
          <w:tab w:val="left" w:pos="3600"/>
          <w:tab w:val="left" w:pos="4320"/>
          <w:tab w:val="left" w:pos="5040"/>
          <w:tab w:val="left" w:pos="5760"/>
          <w:tab w:val="left" w:pos="6480"/>
        </w:tabs>
        <w:ind w:left="720" w:right="720"/>
        <w:rPr>
          <w:rFonts w:ascii="Times New Roman" w:hAnsi="Times New Roman" w:cs="Times New Roman"/>
          <w:b/>
          <w:bCs/>
          <w:sz w:val="28"/>
          <w:szCs w:val="28"/>
        </w:rPr>
      </w:pPr>
      <w:r w:rsidRPr="002A03F4">
        <w:rPr>
          <w:rFonts w:ascii="Times New Roman" w:hAnsi="Times New Roman" w:cs="Times New Roman"/>
          <w:b/>
          <w:bCs/>
          <w:sz w:val="28"/>
          <w:szCs w:val="28"/>
        </w:rPr>
        <w:t>(2) Method of Proof</w:t>
      </w:r>
      <w:r w:rsidR="007405F5" w:rsidRPr="002A03F4">
        <w:rPr>
          <w:rFonts w:ascii="Times New Roman" w:hAnsi="Times New Roman" w:cs="Times New Roman"/>
          <w:b/>
          <w:bCs/>
          <w:sz w:val="28"/>
          <w:szCs w:val="28"/>
        </w:rPr>
        <w:t xml:space="preserve">. </w:t>
      </w:r>
      <w:r w:rsidRPr="002A03F4">
        <w:rPr>
          <w:rFonts w:ascii="Times New Roman" w:hAnsi="Times New Roman" w:cs="Times New Roman"/>
          <w:b/>
          <w:bCs/>
          <w:sz w:val="28"/>
          <w:szCs w:val="28"/>
        </w:rPr>
        <w:t xml:space="preserve">When evidence of a person’s character is admissible, proof thereof may only be by testimony as to that person’s reputation for the relevant character as set forth in </w:t>
      </w:r>
      <w:r w:rsidR="00847A24" w:rsidRPr="002A03F4">
        <w:rPr>
          <w:rFonts w:ascii="Times New Roman" w:hAnsi="Times New Roman" w:cs="Times New Roman"/>
          <w:b/>
          <w:bCs/>
          <w:sz w:val="28"/>
          <w:szCs w:val="28"/>
        </w:rPr>
        <w:t xml:space="preserve">Guide to New York Evidence </w:t>
      </w:r>
      <w:r w:rsidRPr="002A03F4">
        <w:rPr>
          <w:rFonts w:ascii="Times New Roman" w:hAnsi="Times New Roman" w:cs="Times New Roman"/>
          <w:b/>
          <w:bCs/>
          <w:sz w:val="28"/>
          <w:szCs w:val="28"/>
        </w:rPr>
        <w:t>rule 8.3</w:t>
      </w:r>
      <w:r w:rsidR="00BD0345" w:rsidRPr="002A03F4">
        <w:rPr>
          <w:rFonts w:ascii="Times New Roman" w:hAnsi="Times New Roman" w:cs="Times New Roman"/>
          <w:b/>
          <w:bCs/>
          <w:sz w:val="28"/>
          <w:szCs w:val="28"/>
        </w:rPr>
        <w:t>9</w:t>
      </w:r>
      <w:r w:rsidRPr="002A03F4">
        <w:rPr>
          <w:rFonts w:ascii="Times New Roman" w:hAnsi="Times New Roman" w:cs="Times New Roman"/>
          <w:b/>
          <w:bCs/>
          <w:sz w:val="28"/>
          <w:szCs w:val="28"/>
        </w:rPr>
        <w:t xml:space="preserve"> (1), except:</w:t>
      </w:r>
    </w:p>
    <w:p w14:paraId="5E7FC91F" w14:textId="77777777" w:rsidR="001F119F" w:rsidRPr="002A03F4" w:rsidRDefault="001F119F" w:rsidP="001B4991">
      <w:pPr>
        <w:widowControl/>
        <w:rPr>
          <w:sz w:val="28"/>
          <w:szCs w:val="28"/>
        </w:rPr>
      </w:pPr>
    </w:p>
    <w:p w14:paraId="67539D93" w14:textId="1461AEFF" w:rsidR="001F119F" w:rsidRPr="002A03F4" w:rsidRDefault="00865E39" w:rsidP="001B4991">
      <w:pPr>
        <w:pStyle w:val="L10-1"/>
        <w:widowControl/>
        <w:numPr>
          <w:ilvl w:val="0"/>
          <w:numId w:val="3"/>
        </w:numPr>
        <w:tabs>
          <w:tab w:val="left" w:pos="2610"/>
          <w:tab w:val="left" w:pos="3330"/>
          <w:tab w:val="left" w:pos="4050"/>
          <w:tab w:val="left" w:pos="4770"/>
          <w:tab w:val="left" w:pos="5490"/>
          <w:tab w:val="left" w:pos="6210"/>
          <w:tab w:val="left" w:pos="6930"/>
          <w:tab w:val="left" w:pos="7650"/>
          <w:tab w:val="left" w:pos="7938"/>
        </w:tabs>
        <w:ind w:left="1440" w:right="720" w:firstLine="0"/>
        <w:rPr>
          <w:b/>
          <w:bCs/>
          <w:sz w:val="28"/>
          <w:szCs w:val="28"/>
        </w:rPr>
      </w:pPr>
      <w:r w:rsidRPr="002A03F4">
        <w:rPr>
          <w:b/>
          <w:bCs/>
          <w:sz w:val="28"/>
          <w:szCs w:val="28"/>
        </w:rPr>
        <w:t xml:space="preserve"> </w:t>
      </w:r>
      <w:r w:rsidR="001F119F" w:rsidRPr="002A03F4">
        <w:rPr>
          <w:b/>
          <w:bCs/>
          <w:sz w:val="28"/>
          <w:szCs w:val="28"/>
        </w:rPr>
        <w:t>If evidence of character is admissible</w:t>
      </w:r>
      <w:r w:rsidRPr="002A03F4">
        <w:rPr>
          <w:b/>
          <w:bCs/>
          <w:sz w:val="28"/>
          <w:szCs w:val="28"/>
        </w:rPr>
        <w:t xml:space="preserve"> </w:t>
      </w:r>
      <w:r w:rsidR="001F119F" w:rsidRPr="002A03F4">
        <w:rPr>
          <w:b/>
          <w:bCs/>
          <w:sz w:val="28"/>
          <w:szCs w:val="28"/>
        </w:rPr>
        <w:t xml:space="preserve">under subdivision (1) (a) of this </w:t>
      </w:r>
      <w:r w:rsidR="00B76B20" w:rsidRPr="002A03F4">
        <w:rPr>
          <w:b/>
          <w:bCs/>
          <w:sz w:val="28"/>
          <w:szCs w:val="28"/>
        </w:rPr>
        <w:t>r</w:t>
      </w:r>
      <w:r w:rsidR="001F119F" w:rsidRPr="002A03F4">
        <w:rPr>
          <w:b/>
          <w:bCs/>
          <w:sz w:val="28"/>
          <w:szCs w:val="28"/>
        </w:rPr>
        <w:t>ule, the relevant character may be proved by testimony as to that person’s reputation for the relevant character as set forth in rule 8.3</w:t>
      </w:r>
      <w:r w:rsidR="00BD0345" w:rsidRPr="002A03F4">
        <w:rPr>
          <w:b/>
          <w:bCs/>
          <w:sz w:val="28"/>
          <w:szCs w:val="28"/>
        </w:rPr>
        <w:t>9</w:t>
      </w:r>
      <w:r w:rsidR="001F119F" w:rsidRPr="002A03F4">
        <w:rPr>
          <w:b/>
          <w:bCs/>
          <w:sz w:val="28"/>
          <w:szCs w:val="28"/>
        </w:rPr>
        <w:t xml:space="preserve"> (1) and by proof of relevant specific acts.</w:t>
      </w:r>
    </w:p>
    <w:p w14:paraId="0DD0FF26" w14:textId="77777777" w:rsidR="001F119F" w:rsidRPr="002A03F4" w:rsidRDefault="001F119F" w:rsidP="001B4991">
      <w:pPr>
        <w:pStyle w:val="NoSpacing"/>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6768"/>
        </w:tabs>
        <w:ind w:right="1152"/>
        <w:rPr>
          <w:rFonts w:ascii="Times New Roman" w:hAnsi="Times New Roman" w:cs="Times New Roman"/>
          <w:b/>
          <w:bCs/>
          <w:sz w:val="28"/>
          <w:szCs w:val="28"/>
        </w:rPr>
      </w:pPr>
    </w:p>
    <w:p w14:paraId="25D91A1E" w14:textId="77777777" w:rsidR="001F119F" w:rsidRPr="002A03F4" w:rsidRDefault="00865E39" w:rsidP="001B4991">
      <w:pPr>
        <w:pStyle w:val="L10-1"/>
        <w:widowControl/>
        <w:numPr>
          <w:ilvl w:val="0"/>
          <w:numId w:val="3"/>
        </w:numPr>
        <w:tabs>
          <w:tab w:val="left" w:pos="2159"/>
          <w:tab w:val="left" w:pos="2879"/>
          <w:tab w:val="left" w:pos="3599"/>
          <w:tab w:val="left" w:pos="4319"/>
          <w:tab w:val="left" w:pos="5039"/>
          <w:tab w:val="left" w:pos="5759"/>
          <w:tab w:val="left" w:pos="6479"/>
        </w:tabs>
        <w:ind w:left="1440" w:right="720" w:firstLine="0"/>
        <w:rPr>
          <w:b/>
          <w:bCs/>
          <w:sz w:val="28"/>
          <w:szCs w:val="28"/>
        </w:rPr>
      </w:pPr>
      <w:r w:rsidRPr="002A03F4">
        <w:rPr>
          <w:b/>
          <w:bCs/>
          <w:sz w:val="28"/>
          <w:szCs w:val="28"/>
        </w:rPr>
        <w:t xml:space="preserve"> </w:t>
      </w:r>
      <w:r w:rsidR="001F119F" w:rsidRPr="002A03F4">
        <w:rPr>
          <w:b/>
          <w:bCs/>
          <w:sz w:val="28"/>
          <w:szCs w:val="28"/>
        </w:rPr>
        <w:t>If a defendant in a criminal proceeding, through the testimony of a witness called by the defendant, offers evidence of his good character, the People may independently prove any previous conviction of the defendant for an offense that would tend to negate any character trait or quality attributed to the defendant in that witness</w:t>
      </w:r>
      <w:r w:rsidR="002A22DA" w:rsidRPr="002A03F4">
        <w:rPr>
          <w:b/>
          <w:bCs/>
          <w:sz w:val="28"/>
          <w:szCs w:val="28"/>
        </w:rPr>
        <w:t>’</w:t>
      </w:r>
      <w:r w:rsidR="001F119F" w:rsidRPr="002A03F4">
        <w:rPr>
          <w:b/>
          <w:bCs/>
          <w:sz w:val="28"/>
          <w:szCs w:val="28"/>
        </w:rPr>
        <w:t xml:space="preserve"> testimony.</w:t>
      </w:r>
    </w:p>
    <w:p w14:paraId="14CBA50D" w14:textId="77777777" w:rsidR="001F119F" w:rsidRPr="002A03F4" w:rsidRDefault="001F119F" w:rsidP="001B4991">
      <w:pPr>
        <w:pStyle w:val="NoSpacing"/>
        <w:widowControl/>
        <w:numPr>
          <w:ilvl w:val="12"/>
          <w:numId w:val="0"/>
        </w:numPr>
        <w:tabs>
          <w:tab w:val="left" w:pos="720"/>
          <w:tab w:val="left" w:pos="1395"/>
          <w:tab w:val="left" w:pos="2115"/>
          <w:tab w:val="left" w:pos="2835"/>
          <w:tab w:val="left" w:pos="3555"/>
          <w:tab w:val="left" w:pos="4275"/>
          <w:tab w:val="left" w:pos="4995"/>
          <w:tab w:val="left" w:pos="5715"/>
          <w:tab w:val="left" w:pos="6003"/>
        </w:tabs>
        <w:ind w:right="1152"/>
        <w:rPr>
          <w:rFonts w:ascii="Times New Roman" w:hAnsi="Times New Roman" w:cs="Times New Roman"/>
          <w:b/>
          <w:bCs/>
          <w:sz w:val="28"/>
          <w:szCs w:val="28"/>
        </w:rPr>
      </w:pPr>
    </w:p>
    <w:p w14:paraId="6387A762" w14:textId="033544AA" w:rsidR="001F119F" w:rsidRDefault="001F119F" w:rsidP="001B4991">
      <w:pPr>
        <w:pStyle w:val="NoSpacing"/>
        <w:widowControl/>
        <w:numPr>
          <w:ilvl w:val="12"/>
          <w:numId w:val="0"/>
        </w:numPr>
        <w:tabs>
          <w:tab w:val="left" w:pos="720"/>
          <w:tab w:val="left" w:pos="1395"/>
          <w:tab w:val="left" w:pos="2115"/>
          <w:tab w:val="left" w:pos="2835"/>
          <w:tab w:val="left" w:pos="3555"/>
          <w:tab w:val="left" w:pos="4275"/>
          <w:tab w:val="left" w:pos="4995"/>
          <w:tab w:val="left" w:pos="5715"/>
          <w:tab w:val="left" w:pos="6003"/>
        </w:tabs>
        <w:ind w:left="720" w:right="720"/>
        <w:rPr>
          <w:rFonts w:ascii="Times New Roman" w:hAnsi="Times New Roman" w:cs="Times New Roman"/>
          <w:b/>
          <w:bCs/>
          <w:sz w:val="28"/>
          <w:szCs w:val="28"/>
        </w:rPr>
      </w:pPr>
      <w:r w:rsidRPr="002A03F4">
        <w:rPr>
          <w:rFonts w:ascii="Times New Roman" w:hAnsi="Times New Roman" w:cs="Times New Roman"/>
          <w:b/>
          <w:bCs/>
          <w:sz w:val="28"/>
          <w:szCs w:val="28"/>
        </w:rPr>
        <w:t>(3) Cross-Examination</w:t>
      </w:r>
      <w:r w:rsidR="007405F5" w:rsidRPr="002A03F4">
        <w:rPr>
          <w:rFonts w:ascii="Times New Roman" w:hAnsi="Times New Roman" w:cs="Times New Roman"/>
          <w:b/>
          <w:bCs/>
          <w:sz w:val="28"/>
          <w:szCs w:val="28"/>
        </w:rPr>
        <w:t xml:space="preserve">. </w:t>
      </w:r>
      <w:r w:rsidRPr="002A03F4">
        <w:rPr>
          <w:rFonts w:ascii="Times New Roman" w:hAnsi="Times New Roman" w:cs="Times New Roman"/>
          <w:b/>
          <w:bCs/>
          <w:sz w:val="28"/>
          <w:szCs w:val="28"/>
        </w:rPr>
        <w:t>If a witness offers reputation evidence as to a person’s character, that witness may be asked on cross-examination whether the witness has heard that the person has been convicted of a crime or engaged in conduct, other than the crime(s) or conduct with which the defendant is charged, that is inconsistent with that reputation.</w:t>
      </w:r>
    </w:p>
    <w:p w14:paraId="378A2C03" w14:textId="77777777" w:rsidR="00AF3D64" w:rsidRPr="002A03F4" w:rsidRDefault="00AF3D64" w:rsidP="001B4991">
      <w:pPr>
        <w:pStyle w:val="NoSpacing"/>
        <w:widowControl/>
        <w:numPr>
          <w:ilvl w:val="12"/>
          <w:numId w:val="0"/>
        </w:numPr>
        <w:tabs>
          <w:tab w:val="left" w:pos="720"/>
          <w:tab w:val="left" w:pos="1395"/>
          <w:tab w:val="left" w:pos="2115"/>
          <w:tab w:val="left" w:pos="2835"/>
          <w:tab w:val="left" w:pos="3555"/>
          <w:tab w:val="left" w:pos="4275"/>
          <w:tab w:val="left" w:pos="4995"/>
          <w:tab w:val="left" w:pos="5715"/>
          <w:tab w:val="left" w:pos="6003"/>
        </w:tabs>
        <w:ind w:left="720" w:right="720"/>
        <w:rPr>
          <w:rFonts w:ascii="Times New Roman" w:hAnsi="Times New Roman" w:cs="Times New Roman"/>
          <w:b/>
          <w:bCs/>
          <w:sz w:val="28"/>
          <w:szCs w:val="28"/>
        </w:rPr>
      </w:pPr>
    </w:p>
    <w:p w14:paraId="662D3543" w14:textId="77777777" w:rsidR="001F119F" w:rsidRPr="002A03F4" w:rsidRDefault="001F119F" w:rsidP="001B4991">
      <w:pPr>
        <w:pStyle w:val="NoSpacing"/>
        <w:widowControl/>
        <w:numPr>
          <w:ilvl w:val="12"/>
          <w:numId w:val="0"/>
        </w:numPr>
        <w:tabs>
          <w:tab w:val="left" w:pos="720"/>
          <w:tab w:val="left" w:pos="1395"/>
          <w:tab w:val="left" w:pos="2115"/>
          <w:tab w:val="left" w:pos="2835"/>
          <w:tab w:val="left" w:pos="3555"/>
          <w:tab w:val="left" w:pos="4275"/>
          <w:tab w:val="left" w:pos="4995"/>
          <w:tab w:val="left" w:pos="5715"/>
          <w:tab w:val="left" w:pos="6003"/>
        </w:tabs>
        <w:ind w:right="1152"/>
        <w:rPr>
          <w:rFonts w:ascii="Times New Roman" w:hAnsi="Times New Roman" w:cs="Times New Roman"/>
          <w:b/>
          <w:bCs/>
          <w:sz w:val="28"/>
          <w:szCs w:val="28"/>
        </w:rPr>
      </w:pPr>
    </w:p>
    <w:p w14:paraId="6F61434C" w14:textId="77777777" w:rsidR="001F119F" w:rsidRPr="007405F5" w:rsidRDefault="001F119F" w:rsidP="007405F5">
      <w:pPr>
        <w:pStyle w:val="NoSpacing"/>
        <w:widowControl/>
        <w:numPr>
          <w:ilvl w:val="12"/>
          <w:numId w:val="0"/>
        </w:numPr>
        <w:tabs>
          <w:tab w:val="left" w:pos="3600"/>
          <w:tab w:val="left" w:pos="4320"/>
          <w:tab w:val="left" w:pos="5040"/>
          <w:tab w:val="left" w:pos="5760"/>
          <w:tab w:val="left" w:pos="6480"/>
          <w:tab w:val="left" w:pos="7200"/>
          <w:tab w:val="left" w:pos="7918"/>
        </w:tabs>
        <w:spacing w:line="276" w:lineRule="auto"/>
        <w:jc w:val="center"/>
        <w:rPr>
          <w:rFonts w:ascii="Times New Roman" w:hAnsi="Times New Roman" w:cs="Times New Roman"/>
          <w:b/>
          <w:bCs/>
          <w:sz w:val="24"/>
          <w:szCs w:val="24"/>
        </w:rPr>
      </w:pPr>
      <w:r w:rsidRPr="007405F5">
        <w:rPr>
          <w:rFonts w:ascii="Times New Roman" w:hAnsi="Times New Roman" w:cs="Times New Roman"/>
          <w:b/>
          <w:bCs/>
          <w:sz w:val="24"/>
          <w:szCs w:val="24"/>
        </w:rPr>
        <w:lastRenderedPageBreak/>
        <w:t>N</w:t>
      </w:r>
      <w:r w:rsidR="00865E39" w:rsidRPr="007405F5">
        <w:rPr>
          <w:rFonts w:ascii="Times New Roman" w:hAnsi="Times New Roman" w:cs="Times New Roman"/>
          <w:b/>
          <w:bCs/>
          <w:sz w:val="24"/>
          <w:szCs w:val="24"/>
        </w:rPr>
        <w:t>ote</w:t>
      </w:r>
    </w:p>
    <w:p w14:paraId="015FB366" w14:textId="77777777" w:rsidR="001F119F" w:rsidRPr="007405F5" w:rsidRDefault="001F119F" w:rsidP="00740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rFonts w:ascii="Times New Roman" w:hAnsi="Times New Roman" w:cs="Times New Roman"/>
          <w:b/>
          <w:bCs/>
          <w:sz w:val="24"/>
          <w:szCs w:val="24"/>
        </w:rPr>
      </w:pPr>
    </w:p>
    <w:p w14:paraId="4F71FC09" w14:textId="49E1EAE4" w:rsidR="001F119F" w:rsidRPr="007405F5" w:rsidRDefault="001F119F" w:rsidP="00740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rFonts w:ascii="Times New Roman" w:hAnsi="Times New Roman" w:cs="Times New Roman"/>
          <w:sz w:val="24"/>
          <w:szCs w:val="24"/>
        </w:rPr>
      </w:pPr>
      <w:r w:rsidRPr="007405F5">
        <w:rPr>
          <w:rFonts w:ascii="Times New Roman" w:hAnsi="Times New Roman" w:cs="Times New Roman"/>
          <w:b/>
          <w:bCs/>
          <w:sz w:val="24"/>
          <w:szCs w:val="24"/>
        </w:rPr>
        <w:tab/>
        <w:t>Subdivision (1)</w:t>
      </w:r>
      <w:r w:rsidR="007405F5" w:rsidRPr="007405F5">
        <w:rPr>
          <w:rFonts w:ascii="Times New Roman" w:hAnsi="Times New Roman" w:cs="Times New Roman"/>
          <w:bCs/>
          <w:sz w:val="24"/>
          <w:szCs w:val="24"/>
        </w:rPr>
        <w:t>.</w:t>
      </w:r>
      <w:r w:rsidR="007405F5" w:rsidRPr="007405F5">
        <w:rPr>
          <w:rFonts w:ascii="Times New Roman" w:hAnsi="Times New Roman" w:cs="Times New Roman"/>
          <w:b/>
          <w:bCs/>
          <w:sz w:val="24"/>
          <w:szCs w:val="24"/>
        </w:rPr>
        <w:t xml:space="preserve"> </w:t>
      </w:r>
      <w:r w:rsidRPr="007405F5">
        <w:rPr>
          <w:rFonts w:ascii="Times New Roman" w:hAnsi="Times New Roman" w:cs="Times New Roman"/>
          <w:sz w:val="24"/>
          <w:szCs w:val="24"/>
        </w:rPr>
        <w:t>The general rule stated in subdivision (1) is derived from Court of Appeals precedent that has long recognized that in civil and criminal proceedings the character or a character trait of a person may not be proved to raise an inference that the person acted in conformity therewith on the occasion in issue</w:t>
      </w:r>
      <w:r w:rsidR="00566407" w:rsidRPr="007405F5">
        <w:rPr>
          <w:rFonts w:ascii="Times New Roman" w:hAnsi="Times New Roman" w:cs="Times New Roman"/>
          <w:sz w:val="24"/>
          <w:szCs w:val="24"/>
        </w:rPr>
        <w:t xml:space="preserve"> </w:t>
      </w:r>
      <w:r w:rsidRPr="007405F5">
        <w:rPr>
          <w:rFonts w:ascii="Times New Roman" w:hAnsi="Times New Roman" w:cs="Times New Roman"/>
          <w:sz w:val="24"/>
          <w:szCs w:val="24"/>
        </w:rPr>
        <w:t>(</w:t>
      </w:r>
      <w:r w:rsidR="00566407" w:rsidRPr="007405F5">
        <w:rPr>
          <w:rFonts w:ascii="Times New Roman" w:hAnsi="Times New Roman" w:cs="Times New Roman"/>
          <w:i/>
          <w:iCs/>
          <w:sz w:val="24"/>
          <w:szCs w:val="24"/>
        </w:rPr>
        <w:t>s</w:t>
      </w:r>
      <w:r w:rsidRPr="007405F5">
        <w:rPr>
          <w:rFonts w:ascii="Times New Roman" w:hAnsi="Times New Roman" w:cs="Times New Roman"/>
          <w:i/>
          <w:iCs/>
          <w:sz w:val="24"/>
          <w:szCs w:val="24"/>
        </w:rPr>
        <w:t xml:space="preserve">ee </w:t>
      </w:r>
      <w:r w:rsidR="00CE4D08" w:rsidRPr="007405F5">
        <w:rPr>
          <w:rFonts w:ascii="Times New Roman" w:hAnsi="Times New Roman" w:cs="Times New Roman"/>
          <w:i/>
          <w:iCs/>
          <w:sz w:val="24"/>
          <w:szCs w:val="24"/>
        </w:rPr>
        <w:t xml:space="preserve">e.g. </w:t>
      </w:r>
      <w:r w:rsidRPr="007405F5">
        <w:rPr>
          <w:rFonts w:ascii="Times New Roman" w:hAnsi="Times New Roman" w:cs="Times New Roman"/>
          <w:i/>
          <w:iCs/>
          <w:sz w:val="24"/>
          <w:szCs w:val="24"/>
        </w:rPr>
        <w:t>People v Zackowitz</w:t>
      </w:r>
      <w:r w:rsidRPr="007405F5">
        <w:rPr>
          <w:rFonts w:ascii="Times New Roman" w:hAnsi="Times New Roman" w:cs="Times New Roman"/>
          <w:sz w:val="24"/>
          <w:szCs w:val="24"/>
        </w:rPr>
        <w:t>, 254 NY 192, 197 [1930</w:t>
      </w:r>
      <w:r w:rsidRPr="007405F5">
        <w:rPr>
          <w:rFonts w:ascii="Times New Roman" w:hAnsi="Times New Roman" w:cs="Times New Roman"/>
          <w:iCs/>
          <w:sz w:val="24"/>
          <w:szCs w:val="24"/>
        </w:rPr>
        <w:t>];</w:t>
      </w:r>
      <w:r w:rsidRPr="007405F5">
        <w:rPr>
          <w:rFonts w:ascii="Times New Roman" w:hAnsi="Times New Roman" w:cs="Times New Roman"/>
          <w:i/>
          <w:iCs/>
          <w:sz w:val="24"/>
          <w:szCs w:val="24"/>
        </w:rPr>
        <w:t xml:space="preserve"> Noonan v Luther</w:t>
      </w:r>
      <w:r w:rsidRPr="007405F5">
        <w:rPr>
          <w:rFonts w:ascii="Times New Roman" w:hAnsi="Times New Roman" w:cs="Times New Roman"/>
          <w:sz w:val="24"/>
          <w:szCs w:val="24"/>
        </w:rPr>
        <w:t xml:space="preserve">, 206 NY 105, 108 [1912]; </w:t>
      </w:r>
      <w:r w:rsidRPr="007405F5">
        <w:rPr>
          <w:rFonts w:ascii="Times New Roman" w:hAnsi="Times New Roman" w:cs="Times New Roman"/>
          <w:i/>
          <w:iCs/>
          <w:sz w:val="24"/>
          <w:szCs w:val="24"/>
        </w:rPr>
        <w:t>McKane v Howard</w:t>
      </w:r>
      <w:r w:rsidRPr="007405F5">
        <w:rPr>
          <w:rFonts w:ascii="Times New Roman" w:hAnsi="Times New Roman" w:cs="Times New Roman"/>
          <w:sz w:val="24"/>
          <w:szCs w:val="24"/>
        </w:rPr>
        <w:t>, 202 NY 181, 186-187 [1911])</w:t>
      </w:r>
      <w:r w:rsidR="00566407" w:rsidRPr="007405F5">
        <w:rPr>
          <w:rFonts w:ascii="Times New Roman" w:hAnsi="Times New Roman" w:cs="Times New Roman"/>
          <w:sz w:val="24"/>
          <w:szCs w:val="24"/>
        </w:rPr>
        <w:t xml:space="preserve">. </w:t>
      </w:r>
      <w:r w:rsidRPr="007405F5">
        <w:rPr>
          <w:rFonts w:ascii="Times New Roman" w:hAnsi="Times New Roman" w:cs="Times New Roman"/>
          <w:sz w:val="24"/>
          <w:szCs w:val="24"/>
        </w:rPr>
        <w:t>In the words of the Court of Appeals: “This court has declared that ‘[i]nflexibly the law has set its face against the endeavor to fasten guilt upon [a defendant] by proof of character or experience predisposing to an act of crime . . . The endeavor has been often made, but always it has failed’</w:t>
      </w:r>
      <w:r w:rsidR="002A22DA" w:rsidRPr="007405F5">
        <w:rPr>
          <w:rFonts w:ascii="Times New Roman" w:hAnsi="Times New Roman" w:cs="Times New Roman"/>
          <w:sz w:val="24"/>
          <w:szCs w:val="24"/>
        </w:rPr>
        <w:t xml:space="preserve"> ”</w:t>
      </w:r>
      <w:r w:rsidRPr="007405F5">
        <w:rPr>
          <w:rFonts w:ascii="Times New Roman" w:hAnsi="Times New Roman" w:cs="Times New Roman"/>
          <w:sz w:val="24"/>
          <w:szCs w:val="24"/>
        </w:rPr>
        <w:t xml:space="preserve"> (</w:t>
      </w:r>
      <w:r w:rsidRPr="007405F5">
        <w:rPr>
          <w:rFonts w:ascii="Times New Roman" w:hAnsi="Times New Roman" w:cs="Times New Roman"/>
          <w:i/>
          <w:iCs/>
          <w:sz w:val="24"/>
          <w:szCs w:val="24"/>
        </w:rPr>
        <w:t>People v Mullin</w:t>
      </w:r>
      <w:r w:rsidR="004C071E" w:rsidRPr="007405F5">
        <w:rPr>
          <w:rFonts w:ascii="Times New Roman" w:hAnsi="Times New Roman" w:cs="Times New Roman"/>
          <w:sz w:val="24"/>
          <w:szCs w:val="24"/>
        </w:rPr>
        <w:t>, 41 NY2d 475, 479 [1977])</w:t>
      </w:r>
      <w:r w:rsidR="00566407" w:rsidRPr="007405F5">
        <w:rPr>
          <w:rFonts w:ascii="Times New Roman" w:hAnsi="Times New Roman" w:cs="Times New Roman"/>
          <w:sz w:val="24"/>
          <w:szCs w:val="24"/>
        </w:rPr>
        <w:t>.</w:t>
      </w:r>
      <w:r w:rsidRPr="007405F5">
        <w:rPr>
          <w:rFonts w:ascii="Times New Roman" w:hAnsi="Times New Roman" w:cs="Times New Roman"/>
          <w:sz w:val="24"/>
          <w:szCs w:val="24"/>
        </w:rPr>
        <w:t xml:space="preserve"> This exclusionary rule is “one, not of logic, but of policy</w:t>
      </w:r>
      <w:r w:rsidR="002A22DA" w:rsidRPr="007405F5">
        <w:rPr>
          <w:rFonts w:ascii="Times New Roman" w:hAnsi="Times New Roman" w:cs="Times New Roman"/>
          <w:sz w:val="24"/>
          <w:szCs w:val="24"/>
        </w:rPr>
        <w:t>”</w:t>
      </w:r>
      <w:r w:rsidRPr="007405F5">
        <w:rPr>
          <w:rFonts w:ascii="Times New Roman" w:hAnsi="Times New Roman" w:cs="Times New Roman"/>
          <w:sz w:val="24"/>
          <w:szCs w:val="24"/>
        </w:rPr>
        <w:t xml:space="preserve"> (</w:t>
      </w:r>
      <w:r w:rsidRPr="007405F5">
        <w:rPr>
          <w:rFonts w:ascii="Times New Roman" w:hAnsi="Times New Roman" w:cs="Times New Roman"/>
          <w:i/>
          <w:iCs/>
          <w:sz w:val="24"/>
          <w:szCs w:val="24"/>
        </w:rPr>
        <w:t>Zackowitz</w:t>
      </w:r>
      <w:r w:rsidR="00A870C1" w:rsidRPr="007405F5">
        <w:rPr>
          <w:rFonts w:ascii="Times New Roman" w:hAnsi="Times New Roman" w:cs="Times New Roman"/>
          <w:sz w:val="24"/>
          <w:szCs w:val="24"/>
        </w:rPr>
        <w:t>, 254 NY at 198)</w:t>
      </w:r>
      <w:r w:rsidR="00566407" w:rsidRPr="007405F5">
        <w:rPr>
          <w:rFonts w:ascii="Times New Roman" w:hAnsi="Times New Roman" w:cs="Times New Roman"/>
          <w:sz w:val="24"/>
          <w:szCs w:val="24"/>
        </w:rPr>
        <w:t>.</w:t>
      </w:r>
    </w:p>
    <w:p w14:paraId="62DED703" w14:textId="77777777" w:rsidR="001F119F" w:rsidRPr="007405F5" w:rsidRDefault="001F119F" w:rsidP="00740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rFonts w:ascii="Times New Roman" w:hAnsi="Times New Roman" w:cs="Times New Roman"/>
          <w:sz w:val="24"/>
          <w:szCs w:val="24"/>
        </w:rPr>
      </w:pPr>
    </w:p>
    <w:p w14:paraId="19EB690E" w14:textId="77777777" w:rsidR="001F119F" w:rsidRPr="007405F5" w:rsidRDefault="001F119F" w:rsidP="00740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rFonts w:ascii="Times New Roman" w:hAnsi="Times New Roman" w:cs="Times New Roman"/>
          <w:sz w:val="24"/>
          <w:szCs w:val="24"/>
        </w:rPr>
      </w:pPr>
      <w:r w:rsidRPr="007405F5">
        <w:rPr>
          <w:rFonts w:ascii="Times New Roman" w:hAnsi="Times New Roman" w:cs="Times New Roman"/>
          <w:sz w:val="24"/>
          <w:szCs w:val="24"/>
        </w:rPr>
        <w:tab/>
        <w:t>Evidence of a rape victim’s prior sexual conduct to prove conduct, e.g., consent, is governed by CPL 60.42; and evidence of a victim’s sexual conduct in prosecutions for any offense is governed by CPL 60.43.</w:t>
      </w:r>
    </w:p>
    <w:p w14:paraId="772A0531" w14:textId="77777777" w:rsidR="001F119F" w:rsidRPr="007405F5" w:rsidRDefault="001F119F" w:rsidP="00740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rFonts w:ascii="Times New Roman" w:hAnsi="Times New Roman" w:cs="Times New Roman"/>
          <w:sz w:val="24"/>
          <w:szCs w:val="24"/>
        </w:rPr>
      </w:pPr>
    </w:p>
    <w:p w14:paraId="2216111A" w14:textId="7B9DC628" w:rsidR="001F119F" w:rsidRPr="007405F5" w:rsidRDefault="00865E39" w:rsidP="00740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rFonts w:ascii="Times New Roman" w:hAnsi="Times New Roman" w:cs="Times New Roman"/>
          <w:sz w:val="24"/>
          <w:szCs w:val="24"/>
        </w:rPr>
      </w:pPr>
      <w:r w:rsidRPr="007405F5">
        <w:rPr>
          <w:rFonts w:ascii="Times New Roman" w:hAnsi="Times New Roman" w:cs="Times New Roman"/>
          <w:sz w:val="24"/>
          <w:szCs w:val="24"/>
        </w:rPr>
        <w:tab/>
      </w:r>
      <w:r w:rsidR="001F119F" w:rsidRPr="007405F5">
        <w:rPr>
          <w:rFonts w:ascii="Times New Roman" w:hAnsi="Times New Roman" w:cs="Times New Roman"/>
          <w:sz w:val="24"/>
          <w:szCs w:val="24"/>
        </w:rPr>
        <w:t>The remaining paragraphs of subdivision (1) set forth the exceptions to the rule’s bar to character evidence.</w:t>
      </w:r>
    </w:p>
    <w:p w14:paraId="439AE64A" w14:textId="77777777" w:rsidR="001F119F" w:rsidRPr="007405F5" w:rsidRDefault="001F119F" w:rsidP="00740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rFonts w:ascii="Times New Roman" w:hAnsi="Times New Roman" w:cs="Times New Roman"/>
          <w:sz w:val="24"/>
          <w:szCs w:val="24"/>
        </w:rPr>
      </w:pPr>
    </w:p>
    <w:p w14:paraId="2881888A" w14:textId="6EC7E889" w:rsidR="001F119F" w:rsidRPr="007405F5" w:rsidRDefault="00865E39" w:rsidP="00740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rFonts w:ascii="Times New Roman" w:hAnsi="Times New Roman" w:cs="Times New Roman"/>
          <w:sz w:val="24"/>
          <w:szCs w:val="24"/>
        </w:rPr>
      </w:pPr>
      <w:r w:rsidRPr="007405F5">
        <w:rPr>
          <w:rFonts w:ascii="Times New Roman" w:hAnsi="Times New Roman" w:cs="Times New Roman"/>
          <w:b/>
          <w:bCs/>
          <w:sz w:val="24"/>
          <w:szCs w:val="24"/>
        </w:rPr>
        <w:tab/>
      </w:r>
      <w:r w:rsidR="001F119F" w:rsidRPr="007405F5">
        <w:rPr>
          <w:rFonts w:ascii="Times New Roman" w:hAnsi="Times New Roman" w:cs="Times New Roman"/>
          <w:b/>
          <w:bCs/>
          <w:sz w:val="24"/>
          <w:szCs w:val="24"/>
        </w:rPr>
        <w:t>Subdivision (1) (a)</w:t>
      </w:r>
      <w:r w:rsidR="00CE4D08" w:rsidRPr="007405F5">
        <w:rPr>
          <w:rFonts w:ascii="Times New Roman" w:hAnsi="Times New Roman" w:cs="Times New Roman"/>
          <w:sz w:val="24"/>
          <w:szCs w:val="24"/>
        </w:rPr>
        <w:t xml:space="preserve">. </w:t>
      </w:r>
      <w:r w:rsidR="001F119F" w:rsidRPr="007405F5">
        <w:rPr>
          <w:rFonts w:ascii="Times New Roman" w:hAnsi="Times New Roman" w:cs="Times New Roman"/>
          <w:sz w:val="24"/>
          <w:szCs w:val="24"/>
        </w:rPr>
        <w:t>Paragraph (a) of subdivision (1) sets forth the common</w:t>
      </w:r>
      <w:r w:rsidR="008C7C02" w:rsidRPr="007405F5">
        <w:rPr>
          <w:rFonts w:ascii="Times New Roman" w:hAnsi="Times New Roman" w:cs="Times New Roman"/>
          <w:sz w:val="24"/>
          <w:szCs w:val="24"/>
        </w:rPr>
        <w:t>-</w:t>
      </w:r>
      <w:r w:rsidR="001F119F" w:rsidRPr="007405F5">
        <w:rPr>
          <w:rFonts w:ascii="Times New Roman" w:hAnsi="Times New Roman" w:cs="Times New Roman"/>
          <w:sz w:val="24"/>
          <w:szCs w:val="24"/>
        </w:rPr>
        <w:t>law rule that where the character or a trait of character of a person is, as a matter of substantive law, an essential element of a crime, charge, claim, or defense, that character or trait of character may be proved</w:t>
      </w:r>
      <w:r w:rsidR="00566407" w:rsidRPr="007405F5">
        <w:rPr>
          <w:rFonts w:ascii="Times New Roman" w:hAnsi="Times New Roman" w:cs="Times New Roman"/>
          <w:sz w:val="24"/>
          <w:szCs w:val="24"/>
        </w:rPr>
        <w:t xml:space="preserve"> </w:t>
      </w:r>
      <w:r w:rsidR="001F119F" w:rsidRPr="007405F5">
        <w:rPr>
          <w:rFonts w:ascii="Times New Roman" w:hAnsi="Times New Roman" w:cs="Times New Roman"/>
          <w:sz w:val="24"/>
          <w:szCs w:val="24"/>
        </w:rPr>
        <w:t>(</w:t>
      </w:r>
      <w:r w:rsidR="00566407" w:rsidRPr="007405F5">
        <w:rPr>
          <w:rFonts w:ascii="Times New Roman" w:hAnsi="Times New Roman" w:cs="Times New Roman"/>
          <w:i/>
          <w:iCs/>
          <w:sz w:val="24"/>
          <w:szCs w:val="24"/>
        </w:rPr>
        <w:t>s</w:t>
      </w:r>
      <w:r w:rsidR="001F119F" w:rsidRPr="007405F5">
        <w:rPr>
          <w:rFonts w:ascii="Times New Roman" w:hAnsi="Times New Roman" w:cs="Times New Roman"/>
          <w:i/>
          <w:iCs/>
          <w:sz w:val="24"/>
          <w:szCs w:val="24"/>
        </w:rPr>
        <w:t xml:space="preserve">ee </w:t>
      </w:r>
      <w:r w:rsidR="00CE4D08" w:rsidRPr="007405F5">
        <w:rPr>
          <w:rFonts w:ascii="Times New Roman" w:hAnsi="Times New Roman" w:cs="Times New Roman"/>
          <w:i/>
          <w:iCs/>
          <w:sz w:val="24"/>
          <w:szCs w:val="24"/>
        </w:rPr>
        <w:t>e.g.</w:t>
      </w:r>
      <w:r w:rsidR="00566407" w:rsidRPr="007405F5">
        <w:rPr>
          <w:rFonts w:ascii="Times New Roman" w:hAnsi="Times New Roman" w:cs="Times New Roman"/>
          <w:i/>
          <w:iCs/>
          <w:sz w:val="24"/>
          <w:szCs w:val="24"/>
        </w:rPr>
        <w:t xml:space="preserve"> </w:t>
      </w:r>
      <w:r w:rsidR="001F119F" w:rsidRPr="007405F5">
        <w:rPr>
          <w:rFonts w:ascii="Times New Roman" w:hAnsi="Times New Roman" w:cs="Times New Roman"/>
          <w:i/>
          <w:iCs/>
          <w:sz w:val="24"/>
          <w:szCs w:val="24"/>
        </w:rPr>
        <w:t>People v Mann</w:t>
      </w:r>
      <w:r w:rsidR="001F119F" w:rsidRPr="007405F5">
        <w:rPr>
          <w:rFonts w:ascii="Times New Roman" w:hAnsi="Times New Roman" w:cs="Times New Roman"/>
          <w:iCs/>
          <w:sz w:val="24"/>
          <w:szCs w:val="24"/>
        </w:rPr>
        <w:t>,</w:t>
      </w:r>
      <w:r w:rsidR="001F119F" w:rsidRPr="007405F5">
        <w:rPr>
          <w:rFonts w:ascii="Times New Roman" w:hAnsi="Times New Roman" w:cs="Times New Roman"/>
          <w:i/>
          <w:iCs/>
          <w:sz w:val="24"/>
          <w:szCs w:val="24"/>
        </w:rPr>
        <w:t xml:space="preserve"> </w:t>
      </w:r>
      <w:r w:rsidR="001F119F" w:rsidRPr="007405F5">
        <w:rPr>
          <w:rFonts w:ascii="Times New Roman" w:hAnsi="Times New Roman" w:cs="Times New Roman"/>
          <w:sz w:val="24"/>
          <w:szCs w:val="24"/>
        </w:rPr>
        <w:t xml:space="preserve">31 NY2d 253 [1972]; </w:t>
      </w:r>
      <w:r w:rsidR="001F119F" w:rsidRPr="007405F5">
        <w:rPr>
          <w:rFonts w:ascii="Times New Roman" w:hAnsi="Times New Roman" w:cs="Times New Roman"/>
          <w:i/>
          <w:iCs/>
          <w:sz w:val="24"/>
          <w:szCs w:val="24"/>
        </w:rPr>
        <w:t>Park v New York Cent</w:t>
      </w:r>
      <w:r w:rsidR="00CE4D08" w:rsidRPr="007405F5">
        <w:rPr>
          <w:rFonts w:ascii="Times New Roman" w:hAnsi="Times New Roman" w:cs="Times New Roman"/>
          <w:i/>
          <w:iCs/>
          <w:sz w:val="24"/>
          <w:szCs w:val="24"/>
        </w:rPr>
        <w:t xml:space="preserve">. </w:t>
      </w:r>
      <w:r w:rsidR="001F119F" w:rsidRPr="007405F5">
        <w:rPr>
          <w:rFonts w:ascii="Times New Roman" w:hAnsi="Times New Roman" w:cs="Times New Roman"/>
          <w:i/>
          <w:iCs/>
          <w:sz w:val="24"/>
          <w:szCs w:val="24"/>
        </w:rPr>
        <w:t>&amp; Hudson Riv. R.R. Co.</w:t>
      </w:r>
      <w:r w:rsidR="001F119F" w:rsidRPr="007405F5">
        <w:rPr>
          <w:rFonts w:ascii="Times New Roman" w:hAnsi="Times New Roman" w:cs="Times New Roman"/>
          <w:iCs/>
          <w:sz w:val="24"/>
          <w:szCs w:val="24"/>
        </w:rPr>
        <w:t>,</w:t>
      </w:r>
      <w:r w:rsidR="001F119F" w:rsidRPr="007405F5">
        <w:rPr>
          <w:rFonts w:ascii="Times New Roman" w:hAnsi="Times New Roman" w:cs="Times New Roman"/>
          <w:sz w:val="24"/>
          <w:szCs w:val="24"/>
        </w:rPr>
        <w:t xml:space="preserve"> 155 NY 215, 219 [1898]; </w:t>
      </w:r>
      <w:r w:rsidR="001F119F" w:rsidRPr="007405F5">
        <w:rPr>
          <w:rFonts w:ascii="Times New Roman" w:hAnsi="Times New Roman" w:cs="Times New Roman"/>
          <w:i/>
          <w:iCs/>
          <w:sz w:val="24"/>
          <w:szCs w:val="24"/>
        </w:rPr>
        <w:t>Cleghorn v New York Cent. &amp; Hudson Riv. R.R. Co.</w:t>
      </w:r>
      <w:r w:rsidR="001F119F" w:rsidRPr="007405F5">
        <w:rPr>
          <w:rFonts w:ascii="Times New Roman" w:hAnsi="Times New Roman" w:cs="Times New Roman"/>
          <w:iCs/>
          <w:sz w:val="24"/>
          <w:szCs w:val="24"/>
        </w:rPr>
        <w:t>,</w:t>
      </w:r>
      <w:r w:rsidR="001F119F" w:rsidRPr="007405F5">
        <w:rPr>
          <w:rFonts w:ascii="Times New Roman" w:hAnsi="Times New Roman" w:cs="Times New Roman"/>
          <w:sz w:val="24"/>
          <w:szCs w:val="24"/>
        </w:rPr>
        <w:t xml:space="preserve"> 56 NY 44, 46-47 [1874])</w:t>
      </w:r>
      <w:r w:rsidR="00566407" w:rsidRPr="007405F5">
        <w:rPr>
          <w:rFonts w:ascii="Times New Roman" w:hAnsi="Times New Roman" w:cs="Times New Roman"/>
          <w:sz w:val="24"/>
          <w:szCs w:val="24"/>
        </w:rPr>
        <w:t>.</w:t>
      </w:r>
    </w:p>
    <w:p w14:paraId="0C5FDFF1" w14:textId="77777777" w:rsidR="001F119F" w:rsidRPr="007405F5" w:rsidRDefault="001F119F" w:rsidP="00740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rFonts w:ascii="Times New Roman" w:hAnsi="Times New Roman" w:cs="Times New Roman"/>
          <w:sz w:val="24"/>
          <w:szCs w:val="24"/>
        </w:rPr>
      </w:pPr>
    </w:p>
    <w:p w14:paraId="551ED0CE" w14:textId="10AB58FD" w:rsidR="001F119F" w:rsidRPr="007405F5" w:rsidRDefault="00865E39" w:rsidP="00740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rFonts w:ascii="Times New Roman" w:hAnsi="Times New Roman" w:cs="Times New Roman"/>
          <w:sz w:val="24"/>
          <w:szCs w:val="24"/>
        </w:rPr>
      </w:pPr>
      <w:r w:rsidRPr="007405F5">
        <w:rPr>
          <w:rFonts w:ascii="Times New Roman" w:hAnsi="Times New Roman" w:cs="Times New Roman"/>
          <w:b/>
          <w:bCs/>
          <w:sz w:val="24"/>
          <w:szCs w:val="24"/>
        </w:rPr>
        <w:tab/>
      </w:r>
      <w:r w:rsidR="001F119F" w:rsidRPr="007405F5">
        <w:rPr>
          <w:rFonts w:ascii="Times New Roman" w:hAnsi="Times New Roman" w:cs="Times New Roman"/>
          <w:b/>
          <w:bCs/>
          <w:sz w:val="24"/>
          <w:szCs w:val="24"/>
        </w:rPr>
        <w:t>Subdivision (1) (b)</w:t>
      </w:r>
      <w:r w:rsidR="00C4725D" w:rsidRPr="007405F5">
        <w:rPr>
          <w:rFonts w:ascii="Times New Roman" w:hAnsi="Times New Roman" w:cs="Times New Roman"/>
          <w:sz w:val="24"/>
          <w:szCs w:val="24"/>
        </w:rPr>
        <w:t xml:space="preserve">. </w:t>
      </w:r>
      <w:r w:rsidR="001F119F" w:rsidRPr="007405F5">
        <w:rPr>
          <w:rFonts w:ascii="Times New Roman" w:hAnsi="Times New Roman" w:cs="Times New Roman"/>
          <w:sz w:val="24"/>
          <w:szCs w:val="24"/>
        </w:rPr>
        <w:t>Paragraph (b) of subdivision (1) is derived from Court of Appeals precedent which gives a defendant in a criminal proceeding the option to introduce reputation evidence as to defendant’s own good character for the purpose of raising an inference that defendant would not be likely to commit the crime charged</w:t>
      </w:r>
      <w:r w:rsidR="00566407" w:rsidRPr="007405F5">
        <w:rPr>
          <w:rFonts w:ascii="Times New Roman" w:hAnsi="Times New Roman" w:cs="Times New Roman"/>
          <w:sz w:val="24"/>
          <w:szCs w:val="24"/>
        </w:rPr>
        <w:t xml:space="preserve"> </w:t>
      </w:r>
      <w:r w:rsidR="001F119F" w:rsidRPr="007405F5">
        <w:rPr>
          <w:rFonts w:ascii="Times New Roman" w:hAnsi="Times New Roman" w:cs="Times New Roman"/>
          <w:sz w:val="24"/>
          <w:szCs w:val="24"/>
        </w:rPr>
        <w:t>(</w:t>
      </w:r>
      <w:r w:rsidR="00566407" w:rsidRPr="007405F5">
        <w:rPr>
          <w:rFonts w:ascii="Times New Roman" w:hAnsi="Times New Roman" w:cs="Times New Roman"/>
          <w:i/>
          <w:iCs/>
          <w:sz w:val="24"/>
          <w:szCs w:val="24"/>
        </w:rPr>
        <w:t>s</w:t>
      </w:r>
      <w:r w:rsidR="001F119F" w:rsidRPr="007405F5">
        <w:rPr>
          <w:rFonts w:ascii="Times New Roman" w:hAnsi="Times New Roman" w:cs="Times New Roman"/>
          <w:i/>
          <w:iCs/>
          <w:sz w:val="24"/>
          <w:szCs w:val="24"/>
        </w:rPr>
        <w:t xml:space="preserve">ee </w:t>
      </w:r>
      <w:r w:rsidR="00C320DD" w:rsidRPr="007405F5">
        <w:rPr>
          <w:rFonts w:ascii="Times New Roman" w:hAnsi="Times New Roman" w:cs="Times New Roman"/>
          <w:i/>
          <w:iCs/>
          <w:sz w:val="24"/>
          <w:szCs w:val="24"/>
        </w:rPr>
        <w:t>e.g.</w:t>
      </w:r>
      <w:r w:rsidR="00566407" w:rsidRPr="007405F5">
        <w:rPr>
          <w:rFonts w:ascii="Times New Roman" w:hAnsi="Times New Roman" w:cs="Times New Roman"/>
          <w:i/>
          <w:iCs/>
          <w:sz w:val="24"/>
          <w:szCs w:val="24"/>
        </w:rPr>
        <w:t xml:space="preserve"> </w:t>
      </w:r>
      <w:r w:rsidR="001F119F" w:rsidRPr="007405F5">
        <w:rPr>
          <w:rFonts w:ascii="Times New Roman" w:hAnsi="Times New Roman" w:cs="Times New Roman"/>
          <w:i/>
          <w:iCs/>
          <w:sz w:val="24"/>
          <w:szCs w:val="24"/>
        </w:rPr>
        <w:t>People v Aharonowicz</w:t>
      </w:r>
      <w:r w:rsidR="001F119F" w:rsidRPr="007405F5">
        <w:rPr>
          <w:rFonts w:ascii="Times New Roman" w:hAnsi="Times New Roman" w:cs="Times New Roman"/>
          <w:sz w:val="24"/>
          <w:szCs w:val="24"/>
        </w:rPr>
        <w:t xml:space="preserve">, 71 NY2d 678, 681 [1988] [“The principle has long been that in a criminal prosecution, the accused may introduce evidence as to his own good character to show that it is unlikely that he committed the particular offense charged”]; </w:t>
      </w:r>
      <w:r w:rsidR="001F119F" w:rsidRPr="007405F5">
        <w:rPr>
          <w:rFonts w:ascii="Times New Roman" w:hAnsi="Times New Roman" w:cs="Times New Roman"/>
          <w:i/>
          <w:iCs/>
          <w:sz w:val="24"/>
          <w:szCs w:val="24"/>
        </w:rPr>
        <w:t>People v Van Gaasbeck</w:t>
      </w:r>
      <w:r w:rsidR="001F119F" w:rsidRPr="007405F5">
        <w:rPr>
          <w:rFonts w:ascii="Times New Roman" w:hAnsi="Times New Roman" w:cs="Times New Roman"/>
          <w:sz w:val="24"/>
          <w:szCs w:val="24"/>
        </w:rPr>
        <w:t>,</w:t>
      </w:r>
      <w:r w:rsidR="001F119F" w:rsidRPr="007405F5">
        <w:rPr>
          <w:rFonts w:ascii="Times New Roman" w:hAnsi="Times New Roman" w:cs="Times New Roman"/>
          <w:i/>
          <w:iCs/>
          <w:sz w:val="24"/>
          <w:szCs w:val="24"/>
        </w:rPr>
        <w:t xml:space="preserve"> </w:t>
      </w:r>
      <w:r w:rsidR="001F119F" w:rsidRPr="007405F5">
        <w:rPr>
          <w:rFonts w:ascii="Times New Roman" w:hAnsi="Times New Roman" w:cs="Times New Roman"/>
          <w:sz w:val="24"/>
          <w:szCs w:val="24"/>
        </w:rPr>
        <w:t>189 NY 408, 413-414 [1907])</w:t>
      </w:r>
      <w:r w:rsidR="00C4725D" w:rsidRPr="007405F5">
        <w:rPr>
          <w:rFonts w:ascii="Times New Roman" w:hAnsi="Times New Roman" w:cs="Times New Roman"/>
          <w:sz w:val="24"/>
          <w:szCs w:val="24"/>
        </w:rPr>
        <w:t xml:space="preserve">. </w:t>
      </w:r>
      <w:r w:rsidR="001F119F" w:rsidRPr="007405F5">
        <w:rPr>
          <w:rFonts w:ascii="Times New Roman" w:hAnsi="Times New Roman" w:cs="Times New Roman"/>
          <w:sz w:val="24"/>
          <w:szCs w:val="24"/>
        </w:rPr>
        <w:t>When the defendant opts to introduce evidence of good character, “such testimony must relate to the traits involved in the charge against him</w:t>
      </w:r>
      <w:r w:rsidR="002A22DA" w:rsidRPr="007405F5">
        <w:rPr>
          <w:rFonts w:ascii="Times New Roman" w:hAnsi="Times New Roman" w:cs="Times New Roman"/>
          <w:sz w:val="24"/>
          <w:szCs w:val="24"/>
        </w:rPr>
        <w:t>”</w:t>
      </w:r>
      <w:r w:rsidR="001F119F" w:rsidRPr="007405F5">
        <w:rPr>
          <w:rFonts w:ascii="Times New Roman" w:hAnsi="Times New Roman" w:cs="Times New Roman"/>
          <w:sz w:val="24"/>
          <w:szCs w:val="24"/>
        </w:rPr>
        <w:t xml:space="preserve"> (</w:t>
      </w:r>
      <w:r w:rsidR="001F119F" w:rsidRPr="007405F5">
        <w:rPr>
          <w:rFonts w:ascii="Times New Roman" w:hAnsi="Times New Roman" w:cs="Times New Roman"/>
          <w:i/>
          <w:iCs/>
          <w:sz w:val="24"/>
          <w:szCs w:val="24"/>
        </w:rPr>
        <w:t>People v Miller</w:t>
      </w:r>
      <w:r w:rsidR="001F119F" w:rsidRPr="007405F5">
        <w:rPr>
          <w:rFonts w:ascii="Times New Roman" w:hAnsi="Times New Roman" w:cs="Times New Roman"/>
          <w:sz w:val="24"/>
          <w:szCs w:val="24"/>
        </w:rPr>
        <w:t>, 35 NY2d 65, 68 [1974])</w:t>
      </w:r>
      <w:r w:rsidR="00137094" w:rsidRPr="007405F5">
        <w:rPr>
          <w:rFonts w:ascii="Times New Roman" w:hAnsi="Times New Roman" w:cs="Times New Roman"/>
          <w:sz w:val="24"/>
          <w:szCs w:val="24"/>
        </w:rPr>
        <w:t>.</w:t>
      </w:r>
    </w:p>
    <w:p w14:paraId="1A3D47C7" w14:textId="77777777" w:rsidR="001F119F" w:rsidRPr="007405F5" w:rsidRDefault="001F119F" w:rsidP="00740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rFonts w:ascii="Times New Roman" w:hAnsi="Times New Roman" w:cs="Times New Roman"/>
          <w:sz w:val="24"/>
          <w:szCs w:val="24"/>
        </w:rPr>
      </w:pPr>
    </w:p>
    <w:p w14:paraId="3BF76812" w14:textId="03875601" w:rsidR="001F119F" w:rsidRPr="007405F5" w:rsidRDefault="00865E39" w:rsidP="00740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rFonts w:ascii="Times New Roman" w:hAnsi="Times New Roman" w:cs="Times New Roman"/>
          <w:sz w:val="24"/>
          <w:szCs w:val="24"/>
        </w:rPr>
      </w:pPr>
      <w:r w:rsidRPr="007405F5">
        <w:rPr>
          <w:rFonts w:ascii="Times New Roman" w:hAnsi="Times New Roman" w:cs="Times New Roman"/>
          <w:sz w:val="24"/>
          <w:szCs w:val="24"/>
        </w:rPr>
        <w:lastRenderedPageBreak/>
        <w:tab/>
      </w:r>
      <w:r w:rsidR="001F119F" w:rsidRPr="007405F5">
        <w:rPr>
          <w:rFonts w:ascii="Times New Roman" w:hAnsi="Times New Roman" w:cs="Times New Roman"/>
          <w:sz w:val="24"/>
          <w:szCs w:val="24"/>
        </w:rPr>
        <w:t>Additionally, the rule as stated recognizes that when the defendant puts his or her character in issue, the People may, in rebuttal, challenge the “good” character or character trait elicited by defendant</w:t>
      </w:r>
      <w:r w:rsidR="00137094" w:rsidRPr="007405F5">
        <w:rPr>
          <w:rFonts w:ascii="Times New Roman" w:hAnsi="Times New Roman" w:cs="Times New Roman"/>
          <w:sz w:val="24"/>
          <w:szCs w:val="24"/>
        </w:rPr>
        <w:t xml:space="preserve"> </w:t>
      </w:r>
      <w:r w:rsidR="001F119F" w:rsidRPr="007405F5">
        <w:rPr>
          <w:rFonts w:ascii="Times New Roman" w:hAnsi="Times New Roman" w:cs="Times New Roman"/>
          <w:iCs/>
          <w:sz w:val="24"/>
          <w:szCs w:val="24"/>
        </w:rPr>
        <w:t>(</w:t>
      </w:r>
      <w:r w:rsidR="00137094" w:rsidRPr="007405F5">
        <w:rPr>
          <w:rFonts w:ascii="Times New Roman" w:hAnsi="Times New Roman" w:cs="Times New Roman"/>
          <w:i/>
          <w:iCs/>
          <w:sz w:val="24"/>
          <w:szCs w:val="24"/>
        </w:rPr>
        <w:t>s</w:t>
      </w:r>
      <w:r w:rsidR="001F119F" w:rsidRPr="007405F5">
        <w:rPr>
          <w:rFonts w:ascii="Times New Roman" w:hAnsi="Times New Roman" w:cs="Times New Roman"/>
          <w:i/>
          <w:iCs/>
          <w:sz w:val="24"/>
          <w:szCs w:val="24"/>
        </w:rPr>
        <w:t xml:space="preserve">ee </w:t>
      </w:r>
      <w:r w:rsidR="00C320DD" w:rsidRPr="007405F5">
        <w:rPr>
          <w:rFonts w:ascii="Times New Roman" w:hAnsi="Times New Roman" w:cs="Times New Roman"/>
          <w:i/>
          <w:iCs/>
          <w:sz w:val="24"/>
          <w:szCs w:val="24"/>
        </w:rPr>
        <w:t>e.g.</w:t>
      </w:r>
      <w:r w:rsidR="00137094" w:rsidRPr="007405F5">
        <w:rPr>
          <w:rFonts w:ascii="Times New Roman" w:hAnsi="Times New Roman" w:cs="Times New Roman"/>
          <w:i/>
          <w:iCs/>
          <w:sz w:val="24"/>
          <w:szCs w:val="24"/>
        </w:rPr>
        <w:t xml:space="preserve"> </w:t>
      </w:r>
      <w:r w:rsidR="001F119F" w:rsidRPr="007405F5">
        <w:rPr>
          <w:rFonts w:ascii="Times New Roman" w:hAnsi="Times New Roman" w:cs="Times New Roman"/>
          <w:i/>
          <w:iCs/>
          <w:sz w:val="24"/>
          <w:szCs w:val="24"/>
        </w:rPr>
        <w:t>People v Richardson</w:t>
      </w:r>
      <w:r w:rsidR="001F119F" w:rsidRPr="007405F5">
        <w:rPr>
          <w:rFonts w:ascii="Times New Roman" w:hAnsi="Times New Roman" w:cs="Times New Roman"/>
          <w:sz w:val="24"/>
          <w:szCs w:val="24"/>
        </w:rPr>
        <w:t xml:space="preserve">, 222 NY 103, 107 [1917]; </w:t>
      </w:r>
      <w:r w:rsidR="001F119F" w:rsidRPr="007405F5">
        <w:rPr>
          <w:rFonts w:ascii="Times New Roman" w:hAnsi="Times New Roman" w:cs="Times New Roman"/>
          <w:i/>
          <w:iCs/>
          <w:sz w:val="24"/>
          <w:szCs w:val="24"/>
        </w:rPr>
        <w:t>People v Hinksman</w:t>
      </w:r>
      <w:r w:rsidR="001F119F" w:rsidRPr="007405F5">
        <w:rPr>
          <w:rFonts w:ascii="Times New Roman" w:hAnsi="Times New Roman" w:cs="Times New Roman"/>
          <w:sz w:val="24"/>
          <w:szCs w:val="24"/>
        </w:rPr>
        <w:t>, 192 NY 421, 430-431 [1908])</w:t>
      </w:r>
      <w:r w:rsidR="00137094" w:rsidRPr="007405F5">
        <w:rPr>
          <w:rFonts w:ascii="Times New Roman" w:hAnsi="Times New Roman" w:cs="Times New Roman"/>
          <w:sz w:val="24"/>
          <w:szCs w:val="24"/>
        </w:rPr>
        <w:t>.</w:t>
      </w:r>
    </w:p>
    <w:p w14:paraId="1D605F05" w14:textId="77777777" w:rsidR="001F119F" w:rsidRPr="007405F5" w:rsidRDefault="001F119F" w:rsidP="00740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rFonts w:ascii="Times New Roman" w:hAnsi="Times New Roman" w:cs="Times New Roman"/>
          <w:sz w:val="24"/>
          <w:szCs w:val="24"/>
        </w:rPr>
      </w:pPr>
    </w:p>
    <w:p w14:paraId="56925B1F" w14:textId="1FB7AC24" w:rsidR="00EC5A5E" w:rsidRPr="004B6D09" w:rsidRDefault="00865E39" w:rsidP="00740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rFonts w:ascii="Times New Roman" w:hAnsi="Times New Roman" w:cs="Times New Roman"/>
          <w:sz w:val="24"/>
          <w:szCs w:val="24"/>
        </w:rPr>
      </w:pPr>
      <w:r w:rsidRPr="007405F5">
        <w:rPr>
          <w:rFonts w:ascii="Times New Roman" w:hAnsi="Times New Roman" w:cs="Times New Roman"/>
          <w:b/>
          <w:bCs/>
          <w:sz w:val="24"/>
          <w:szCs w:val="24"/>
        </w:rPr>
        <w:tab/>
      </w:r>
      <w:r w:rsidR="001F119F" w:rsidRPr="007405F5">
        <w:rPr>
          <w:rFonts w:ascii="Times New Roman" w:hAnsi="Times New Roman" w:cs="Times New Roman"/>
          <w:b/>
          <w:bCs/>
          <w:sz w:val="24"/>
          <w:szCs w:val="24"/>
        </w:rPr>
        <w:t>Subdivision (1) (c)</w:t>
      </w:r>
      <w:r w:rsidR="00C4725D" w:rsidRPr="007405F5">
        <w:rPr>
          <w:rFonts w:ascii="Times New Roman" w:hAnsi="Times New Roman" w:cs="Times New Roman"/>
          <w:bCs/>
          <w:sz w:val="24"/>
          <w:szCs w:val="24"/>
        </w:rPr>
        <w:t>.</w:t>
      </w:r>
      <w:r w:rsidR="00C4725D" w:rsidRPr="007405F5">
        <w:rPr>
          <w:rFonts w:ascii="Times New Roman" w:hAnsi="Times New Roman" w:cs="Times New Roman"/>
          <w:sz w:val="24"/>
          <w:szCs w:val="24"/>
        </w:rPr>
        <w:t xml:space="preserve"> </w:t>
      </w:r>
      <w:r w:rsidR="001F119F" w:rsidRPr="007405F5">
        <w:rPr>
          <w:rFonts w:ascii="Times New Roman" w:hAnsi="Times New Roman" w:cs="Times New Roman"/>
          <w:sz w:val="24"/>
          <w:szCs w:val="24"/>
        </w:rPr>
        <w:t xml:space="preserve">Paragraph (c) of subdivision (1) is derived from Court of Appeals decisions </w:t>
      </w:r>
      <w:r w:rsidR="008844E0" w:rsidRPr="007405F5">
        <w:rPr>
          <w:rFonts w:ascii="Times New Roman" w:hAnsi="Times New Roman" w:cs="Times New Roman"/>
          <w:sz w:val="24"/>
          <w:szCs w:val="24"/>
        </w:rPr>
        <w:t xml:space="preserve">holding </w:t>
      </w:r>
      <w:r w:rsidR="001F119F" w:rsidRPr="007405F5">
        <w:rPr>
          <w:rFonts w:ascii="Times New Roman" w:hAnsi="Times New Roman" w:cs="Times New Roman"/>
          <w:sz w:val="24"/>
          <w:szCs w:val="24"/>
        </w:rPr>
        <w:t xml:space="preserve">that when the defendant interposes a justification defense of self-defense, evidence of the victim’s </w:t>
      </w:r>
      <w:r w:rsidR="001F119F" w:rsidRPr="007405F5">
        <w:rPr>
          <w:rFonts w:ascii="Times New Roman" w:hAnsi="Times New Roman" w:cs="Times New Roman"/>
          <w:i/>
          <w:iCs/>
          <w:sz w:val="24"/>
          <w:szCs w:val="24"/>
        </w:rPr>
        <w:t>reputation</w:t>
      </w:r>
      <w:r w:rsidR="001F119F" w:rsidRPr="007405F5">
        <w:rPr>
          <w:rFonts w:ascii="Times New Roman" w:hAnsi="Times New Roman" w:cs="Times New Roman"/>
          <w:sz w:val="24"/>
          <w:szCs w:val="24"/>
        </w:rPr>
        <w:t xml:space="preserve"> for being a violent person and evidence of the victim’s prior violent acts against others, when known to the defendant, are admissible to show the defendant’s state of mind as to the necessity of defending himself or herself (</w:t>
      </w:r>
      <w:r w:rsidR="001F119F" w:rsidRPr="007405F5">
        <w:rPr>
          <w:rFonts w:ascii="Times New Roman" w:hAnsi="Times New Roman" w:cs="Times New Roman"/>
          <w:i/>
          <w:iCs/>
          <w:sz w:val="24"/>
          <w:szCs w:val="24"/>
        </w:rPr>
        <w:t>People v Rodawald</w:t>
      </w:r>
      <w:r w:rsidR="001F119F" w:rsidRPr="007405F5">
        <w:rPr>
          <w:rFonts w:ascii="Times New Roman" w:hAnsi="Times New Roman" w:cs="Times New Roman"/>
          <w:sz w:val="24"/>
          <w:szCs w:val="24"/>
        </w:rPr>
        <w:t xml:space="preserve">, 177 NY 408, 423 [1904]); and further, that evidence of the victim’s past violent </w:t>
      </w:r>
      <w:r w:rsidR="001F119F" w:rsidRPr="007405F5">
        <w:rPr>
          <w:rFonts w:ascii="Times New Roman" w:hAnsi="Times New Roman" w:cs="Times New Roman"/>
          <w:i/>
          <w:sz w:val="24"/>
          <w:szCs w:val="24"/>
        </w:rPr>
        <w:t>acts</w:t>
      </w:r>
      <w:r w:rsidR="001F119F" w:rsidRPr="007405F5">
        <w:rPr>
          <w:rFonts w:ascii="Times New Roman" w:hAnsi="Times New Roman" w:cs="Times New Roman"/>
          <w:sz w:val="24"/>
          <w:szCs w:val="24"/>
        </w:rPr>
        <w:t xml:space="preserve"> against others, when known to the defendant, is admissible as to the reasonableness of defendant’s conduct, provided the evidence is reasonably related to the crime charged (</w:t>
      </w:r>
      <w:r w:rsidR="001F119F" w:rsidRPr="007405F5">
        <w:rPr>
          <w:rFonts w:ascii="Times New Roman" w:hAnsi="Times New Roman" w:cs="Times New Roman"/>
          <w:i/>
          <w:iCs/>
          <w:sz w:val="24"/>
          <w:szCs w:val="24"/>
        </w:rPr>
        <w:t xml:space="preserve">see e.g. </w:t>
      </w:r>
      <w:r w:rsidR="0099393D" w:rsidRPr="007405F5">
        <w:rPr>
          <w:rFonts w:ascii="Times New Roman" w:hAnsi="Times New Roman" w:cs="Times New Roman"/>
          <w:i/>
          <w:iCs/>
          <w:sz w:val="24"/>
          <w:szCs w:val="24"/>
        </w:rPr>
        <w:t>People v Miller</w:t>
      </w:r>
      <w:r w:rsidR="0099393D" w:rsidRPr="007405F5">
        <w:rPr>
          <w:rFonts w:ascii="Times New Roman" w:hAnsi="Times New Roman" w:cs="Times New Roman"/>
          <w:sz w:val="24"/>
          <w:szCs w:val="24"/>
        </w:rPr>
        <w:t>, 39 NY2d 543, 551-552 [1976]</w:t>
      </w:r>
      <w:r w:rsidR="0099393D">
        <w:rPr>
          <w:rFonts w:ascii="Times New Roman" w:hAnsi="Times New Roman" w:cs="Times New Roman"/>
          <w:sz w:val="24"/>
          <w:szCs w:val="24"/>
        </w:rPr>
        <w:t xml:space="preserve">; </w:t>
      </w:r>
      <w:r w:rsidR="001F119F" w:rsidRPr="007405F5">
        <w:rPr>
          <w:rFonts w:ascii="Times New Roman" w:hAnsi="Times New Roman" w:cs="Times New Roman"/>
          <w:i/>
          <w:iCs/>
          <w:sz w:val="24"/>
          <w:szCs w:val="24"/>
        </w:rPr>
        <w:t>Matter of Robert S</w:t>
      </w:r>
      <w:r w:rsidR="001F119F" w:rsidRPr="007405F5">
        <w:rPr>
          <w:rFonts w:ascii="Times New Roman" w:hAnsi="Times New Roman" w:cs="Times New Roman"/>
          <w:sz w:val="24"/>
          <w:szCs w:val="24"/>
        </w:rPr>
        <w:t>., 52 NY2d 1046 [1981];</w:t>
      </w:r>
      <w:r w:rsidR="003724F9">
        <w:rPr>
          <w:rFonts w:ascii="Times New Roman" w:hAnsi="Times New Roman" w:cs="Times New Roman"/>
          <w:sz w:val="24"/>
          <w:szCs w:val="24"/>
        </w:rPr>
        <w:t xml:space="preserve"> </w:t>
      </w:r>
      <w:r w:rsidR="00CB44D2" w:rsidRPr="004B6D09">
        <w:rPr>
          <w:rFonts w:ascii="Times New Roman" w:eastAsia="Times New Roman" w:hAnsi="Times New Roman" w:cs="Times New Roman"/>
          <w:i/>
          <w:sz w:val="24"/>
          <w:szCs w:val="24"/>
        </w:rPr>
        <w:t>People v Guerra</w:t>
      </w:r>
      <w:r w:rsidR="00CB44D2" w:rsidRPr="004B6D09">
        <w:rPr>
          <w:rFonts w:ascii="Times New Roman" w:eastAsia="Times New Roman" w:hAnsi="Times New Roman" w:cs="Times New Roman"/>
          <w:sz w:val="24"/>
          <w:szCs w:val="24"/>
        </w:rPr>
        <w:t>, 2023 NY Slip Op 01352, 2023 WL 2529524 [2023]</w:t>
      </w:r>
      <w:r w:rsidR="001F119F" w:rsidRPr="004B6D09">
        <w:rPr>
          <w:rFonts w:ascii="Times New Roman" w:hAnsi="Times New Roman" w:cs="Times New Roman"/>
          <w:sz w:val="24"/>
          <w:szCs w:val="24"/>
        </w:rPr>
        <w:t>).</w:t>
      </w:r>
    </w:p>
    <w:p w14:paraId="015EA5AE" w14:textId="77777777" w:rsidR="006057F3" w:rsidRPr="006057F3" w:rsidRDefault="006057F3" w:rsidP="00740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rFonts w:ascii="Times New Roman" w:hAnsi="Times New Roman" w:cs="Times New Roman"/>
          <w:color w:val="009242"/>
          <w:sz w:val="24"/>
          <w:szCs w:val="24"/>
        </w:rPr>
      </w:pPr>
    </w:p>
    <w:p w14:paraId="1EF453E1" w14:textId="729C87B1" w:rsidR="00CE19D3" w:rsidRPr="007405F5" w:rsidRDefault="00AC75E6" w:rsidP="007405F5">
      <w:pPr>
        <w:widowControl/>
        <w:shd w:val="clear" w:color="auto" w:fill="FFFFFF"/>
        <w:tabs>
          <w:tab w:val="left" w:pos="720"/>
        </w:tabs>
        <w:autoSpaceDE/>
        <w:autoSpaceDN/>
        <w:adjustRightInd/>
        <w:spacing w:line="276" w:lineRule="auto"/>
        <w:jc w:val="both"/>
        <w:rPr>
          <w:sz w:val="24"/>
          <w:szCs w:val="24"/>
        </w:rPr>
      </w:pPr>
      <w:r w:rsidRPr="007405F5">
        <w:rPr>
          <w:sz w:val="24"/>
          <w:szCs w:val="24"/>
        </w:rPr>
        <w:tab/>
      </w:r>
      <w:r w:rsidR="001F119F" w:rsidRPr="007405F5">
        <w:rPr>
          <w:sz w:val="24"/>
          <w:szCs w:val="24"/>
        </w:rPr>
        <w:t xml:space="preserve">On the question of who was the “initial aggressor,” </w:t>
      </w:r>
      <w:r w:rsidR="00CE19D3" w:rsidRPr="007405F5">
        <w:rPr>
          <w:i/>
          <w:iCs/>
          <w:sz w:val="24"/>
          <w:szCs w:val="24"/>
        </w:rPr>
        <w:t>People v Petty</w:t>
      </w:r>
      <w:r w:rsidR="00CE19D3" w:rsidRPr="007405F5">
        <w:rPr>
          <w:sz w:val="24"/>
          <w:szCs w:val="24"/>
        </w:rPr>
        <w:t xml:space="preserve"> (7 NY3d 277 [2006]) permits evidence of the victim’s threats against the defendant, whether the defendant was aware of the threats or not</w:t>
      </w:r>
      <w:r w:rsidR="00C4725D" w:rsidRPr="007405F5">
        <w:rPr>
          <w:sz w:val="24"/>
          <w:szCs w:val="24"/>
        </w:rPr>
        <w:t xml:space="preserve">. </w:t>
      </w:r>
      <w:r w:rsidR="00CE19D3" w:rsidRPr="007405F5">
        <w:rPr>
          <w:sz w:val="24"/>
          <w:szCs w:val="24"/>
        </w:rPr>
        <w:t>That evidence permits an inference of the victim’s “intent” to “act upon [the uttered threats]” and that he or she did so as the initial aggressor (</w:t>
      </w:r>
      <w:r w:rsidR="00CE19D3" w:rsidRPr="007405F5">
        <w:rPr>
          <w:i/>
          <w:sz w:val="24"/>
          <w:szCs w:val="24"/>
        </w:rPr>
        <w:t>id</w:t>
      </w:r>
      <w:r w:rsidR="00C320DD" w:rsidRPr="007405F5">
        <w:rPr>
          <w:i/>
          <w:sz w:val="24"/>
          <w:szCs w:val="24"/>
        </w:rPr>
        <w:t>.</w:t>
      </w:r>
      <w:r w:rsidR="00C320DD" w:rsidRPr="007405F5">
        <w:rPr>
          <w:sz w:val="24"/>
          <w:szCs w:val="24"/>
        </w:rPr>
        <w:t xml:space="preserve"> </w:t>
      </w:r>
      <w:r w:rsidR="00CE19D3" w:rsidRPr="007405F5">
        <w:rPr>
          <w:sz w:val="24"/>
          <w:szCs w:val="24"/>
        </w:rPr>
        <w:t>at 285).</w:t>
      </w:r>
    </w:p>
    <w:p w14:paraId="2391151C" w14:textId="77777777" w:rsidR="001556D7" w:rsidRPr="007405F5" w:rsidRDefault="001556D7" w:rsidP="007405F5">
      <w:pPr>
        <w:widowControl/>
        <w:shd w:val="clear" w:color="auto" w:fill="FFFFFF"/>
        <w:autoSpaceDE/>
        <w:autoSpaceDN/>
        <w:adjustRightInd/>
        <w:spacing w:line="276" w:lineRule="auto"/>
        <w:jc w:val="both"/>
        <w:rPr>
          <w:sz w:val="24"/>
          <w:szCs w:val="24"/>
        </w:rPr>
      </w:pPr>
    </w:p>
    <w:p w14:paraId="7238DA16" w14:textId="7EC9FFD9" w:rsidR="00451553" w:rsidRPr="007405F5" w:rsidRDefault="00AC75E6" w:rsidP="007405F5">
      <w:pPr>
        <w:widowControl/>
        <w:shd w:val="clear" w:color="auto" w:fill="FFFFFF"/>
        <w:tabs>
          <w:tab w:val="left" w:pos="720"/>
        </w:tabs>
        <w:autoSpaceDE/>
        <w:autoSpaceDN/>
        <w:adjustRightInd/>
        <w:spacing w:line="276" w:lineRule="auto"/>
        <w:jc w:val="both"/>
        <w:rPr>
          <w:rFonts w:eastAsia="Times New Roman"/>
          <w:sz w:val="24"/>
          <w:szCs w:val="24"/>
        </w:rPr>
      </w:pPr>
      <w:r w:rsidRPr="007405F5">
        <w:rPr>
          <w:sz w:val="24"/>
          <w:szCs w:val="24"/>
        </w:rPr>
        <w:tab/>
      </w:r>
      <w:r w:rsidR="00CE19D3" w:rsidRPr="007405F5">
        <w:rPr>
          <w:sz w:val="24"/>
          <w:szCs w:val="24"/>
        </w:rPr>
        <w:t>T</w:t>
      </w:r>
      <w:r w:rsidR="006E68E3" w:rsidRPr="007405F5">
        <w:rPr>
          <w:sz w:val="24"/>
          <w:szCs w:val="24"/>
        </w:rPr>
        <w:t>he “general reputation” of the victim as “quarrelsome, vindictive or violent</w:t>
      </w:r>
      <w:r w:rsidR="001556D7" w:rsidRPr="007405F5">
        <w:rPr>
          <w:sz w:val="24"/>
          <w:szCs w:val="24"/>
        </w:rPr>
        <w:t>,</w:t>
      </w:r>
      <w:r w:rsidR="006E68E3" w:rsidRPr="007405F5">
        <w:rPr>
          <w:sz w:val="24"/>
          <w:szCs w:val="24"/>
        </w:rPr>
        <w:t xml:space="preserve">” </w:t>
      </w:r>
      <w:r w:rsidR="001556D7" w:rsidRPr="007405F5">
        <w:rPr>
          <w:sz w:val="24"/>
          <w:szCs w:val="24"/>
        </w:rPr>
        <w:t xml:space="preserve">however, </w:t>
      </w:r>
      <w:r w:rsidR="006E68E3" w:rsidRPr="007405F5">
        <w:rPr>
          <w:sz w:val="24"/>
          <w:szCs w:val="24"/>
        </w:rPr>
        <w:t>is “not received to show” that the victim “was the aggressor” nor is similar evidence of the reputation of the defendant admissible to show the defendant was the aggressor</w:t>
      </w:r>
      <w:r w:rsidR="00137094" w:rsidRPr="007405F5">
        <w:rPr>
          <w:sz w:val="24"/>
          <w:szCs w:val="24"/>
        </w:rPr>
        <w:t xml:space="preserve"> </w:t>
      </w:r>
      <w:r w:rsidR="00EF7771" w:rsidRPr="007405F5">
        <w:rPr>
          <w:sz w:val="24"/>
          <w:szCs w:val="24"/>
        </w:rPr>
        <w:t>(</w:t>
      </w:r>
      <w:r w:rsidR="006E68E3" w:rsidRPr="007405F5">
        <w:rPr>
          <w:i/>
          <w:iCs/>
          <w:sz w:val="24"/>
          <w:szCs w:val="24"/>
        </w:rPr>
        <w:t>People v Rodawald</w:t>
      </w:r>
      <w:r w:rsidR="006E68E3" w:rsidRPr="007405F5">
        <w:rPr>
          <w:sz w:val="24"/>
          <w:szCs w:val="24"/>
        </w:rPr>
        <w:t>, 177 NY</w:t>
      </w:r>
      <w:r w:rsidR="00137094" w:rsidRPr="007405F5">
        <w:rPr>
          <w:sz w:val="24"/>
          <w:szCs w:val="24"/>
        </w:rPr>
        <w:t xml:space="preserve"> </w:t>
      </w:r>
      <w:r w:rsidR="006E68E3" w:rsidRPr="007405F5">
        <w:rPr>
          <w:sz w:val="24"/>
          <w:szCs w:val="24"/>
        </w:rPr>
        <w:t>408, 423 [1904]</w:t>
      </w:r>
      <w:r w:rsidR="00006E9D" w:rsidRPr="007405F5">
        <w:rPr>
          <w:sz w:val="24"/>
          <w:szCs w:val="24"/>
        </w:rPr>
        <w:t>;</w:t>
      </w:r>
      <w:r w:rsidR="00137094" w:rsidRPr="007405F5">
        <w:rPr>
          <w:sz w:val="24"/>
          <w:szCs w:val="24"/>
        </w:rPr>
        <w:t xml:space="preserve"> </w:t>
      </w:r>
      <w:r w:rsidR="00C13300" w:rsidRPr="007405F5">
        <w:rPr>
          <w:rFonts w:eastAsia="Times New Roman"/>
          <w:sz w:val="24"/>
          <w:szCs w:val="24"/>
          <w:bdr w:val="none" w:sz="0" w:space="0" w:color="auto" w:frame="1"/>
        </w:rPr>
        <w:t xml:space="preserve">Prince, Richardson </w:t>
      </w:r>
      <w:r w:rsidR="00137094" w:rsidRPr="007405F5">
        <w:rPr>
          <w:rFonts w:eastAsia="Times New Roman"/>
          <w:sz w:val="24"/>
          <w:szCs w:val="24"/>
          <w:bdr w:val="none" w:sz="0" w:space="0" w:color="auto" w:frame="1"/>
        </w:rPr>
        <w:t>o</w:t>
      </w:r>
      <w:r w:rsidR="00C13300" w:rsidRPr="007405F5">
        <w:rPr>
          <w:rFonts w:eastAsia="Times New Roman"/>
          <w:sz w:val="24"/>
          <w:szCs w:val="24"/>
          <w:bdr w:val="none" w:sz="0" w:space="0" w:color="auto" w:frame="1"/>
        </w:rPr>
        <w:t>n Evidence § 4</w:t>
      </w:r>
      <w:r w:rsidR="00137094" w:rsidRPr="007405F5">
        <w:rPr>
          <w:rFonts w:eastAsia="Times New Roman"/>
          <w:sz w:val="24"/>
          <w:szCs w:val="24"/>
          <w:bdr w:val="none" w:sz="0" w:space="0" w:color="auto" w:frame="1"/>
        </w:rPr>
        <w:t>-</w:t>
      </w:r>
      <w:r w:rsidR="00C13300" w:rsidRPr="007405F5">
        <w:rPr>
          <w:rFonts w:eastAsia="Times New Roman"/>
          <w:sz w:val="24"/>
          <w:szCs w:val="24"/>
          <w:bdr w:val="none" w:sz="0" w:space="0" w:color="auto" w:frame="1"/>
        </w:rPr>
        <w:t>409</w:t>
      </w:r>
      <w:r w:rsidR="00137094" w:rsidRPr="007405F5">
        <w:rPr>
          <w:rFonts w:eastAsia="Times New Roman"/>
          <w:sz w:val="24"/>
          <w:szCs w:val="24"/>
          <w:bdr w:val="none" w:sz="0" w:space="0" w:color="auto" w:frame="1"/>
        </w:rPr>
        <w:t xml:space="preserve"> at </w:t>
      </w:r>
      <w:r w:rsidR="00C13300" w:rsidRPr="007405F5">
        <w:rPr>
          <w:rFonts w:eastAsia="Times New Roman"/>
          <w:sz w:val="24"/>
          <w:szCs w:val="24"/>
          <w:bdr w:val="none" w:sz="0" w:space="0" w:color="auto" w:frame="1"/>
        </w:rPr>
        <w:t xml:space="preserve">172 </w:t>
      </w:r>
      <w:r w:rsidR="00137094" w:rsidRPr="007405F5">
        <w:rPr>
          <w:rFonts w:eastAsia="Times New Roman"/>
          <w:sz w:val="24"/>
          <w:szCs w:val="24"/>
          <w:bdr w:val="none" w:sz="0" w:space="0" w:color="auto" w:frame="1"/>
        </w:rPr>
        <w:t>[</w:t>
      </w:r>
      <w:r w:rsidR="00C13300" w:rsidRPr="007405F5">
        <w:rPr>
          <w:rFonts w:eastAsia="Times New Roman"/>
          <w:sz w:val="24"/>
          <w:szCs w:val="24"/>
          <w:bdr w:val="none" w:sz="0" w:space="0" w:color="auto" w:frame="1"/>
        </w:rPr>
        <w:t>Farrell</w:t>
      </w:r>
      <w:r w:rsidR="00137094" w:rsidRPr="007405F5">
        <w:rPr>
          <w:rFonts w:eastAsia="Times New Roman"/>
          <w:sz w:val="24"/>
          <w:szCs w:val="24"/>
          <w:bdr w:val="none" w:sz="0" w:space="0" w:color="auto" w:frame="1"/>
        </w:rPr>
        <w:t xml:space="preserve"> 11</w:t>
      </w:r>
      <w:r w:rsidR="00F95074" w:rsidRPr="007405F5">
        <w:rPr>
          <w:rFonts w:eastAsia="Times New Roman"/>
          <w:sz w:val="24"/>
          <w:szCs w:val="24"/>
          <w:bdr w:val="none" w:sz="0" w:space="0" w:color="auto" w:frame="1"/>
        </w:rPr>
        <w:t>th</w:t>
      </w:r>
      <w:r w:rsidR="00F95074" w:rsidRPr="007405F5">
        <w:rPr>
          <w:rFonts w:eastAsia="Times New Roman"/>
          <w:sz w:val="24"/>
          <w:szCs w:val="24"/>
          <w:bdr w:val="none" w:sz="0" w:space="0" w:color="auto" w:frame="1"/>
          <w:vertAlign w:val="superscript"/>
        </w:rPr>
        <w:t xml:space="preserve"> </w:t>
      </w:r>
      <w:r w:rsidR="00137094" w:rsidRPr="007405F5">
        <w:rPr>
          <w:rFonts w:eastAsia="Times New Roman"/>
          <w:sz w:val="24"/>
          <w:szCs w:val="24"/>
          <w:bdr w:val="none" w:sz="0" w:space="0" w:color="auto" w:frame="1"/>
        </w:rPr>
        <w:t xml:space="preserve">ed]; </w:t>
      </w:r>
      <w:r w:rsidR="00137094" w:rsidRPr="007405F5">
        <w:rPr>
          <w:i/>
          <w:iCs/>
          <w:sz w:val="24"/>
          <w:szCs w:val="24"/>
        </w:rPr>
        <w:t>c</w:t>
      </w:r>
      <w:r w:rsidR="00AA113B" w:rsidRPr="007405F5">
        <w:rPr>
          <w:i/>
          <w:iCs/>
          <w:sz w:val="24"/>
          <w:szCs w:val="24"/>
        </w:rPr>
        <w:t>f.</w:t>
      </w:r>
      <w:r w:rsidR="00006E9D" w:rsidRPr="007405F5">
        <w:rPr>
          <w:sz w:val="24"/>
          <w:szCs w:val="24"/>
        </w:rPr>
        <w:t xml:space="preserve"> </w:t>
      </w:r>
      <w:r w:rsidR="00F957EE" w:rsidRPr="007405F5">
        <w:rPr>
          <w:i/>
          <w:iCs/>
          <w:sz w:val="24"/>
          <w:szCs w:val="24"/>
          <w:bdr w:val="none" w:sz="0" w:space="0" w:color="auto" w:frame="1"/>
        </w:rPr>
        <w:t>Matter of Robert S.</w:t>
      </w:r>
      <w:r w:rsidR="00F957EE" w:rsidRPr="007405F5">
        <w:rPr>
          <w:sz w:val="24"/>
          <w:szCs w:val="24"/>
        </w:rPr>
        <w:t xml:space="preserve">, 52 NY2d 1046 [1981]; </w:t>
      </w:r>
      <w:r w:rsidR="00F957EE" w:rsidRPr="007405F5">
        <w:rPr>
          <w:i/>
          <w:iCs/>
          <w:sz w:val="24"/>
          <w:szCs w:val="24"/>
          <w:bdr w:val="none" w:sz="0" w:space="0" w:color="auto" w:frame="1"/>
        </w:rPr>
        <w:t>People v Miller</w:t>
      </w:r>
      <w:r w:rsidR="00F957EE" w:rsidRPr="007405F5">
        <w:rPr>
          <w:sz w:val="24"/>
          <w:szCs w:val="24"/>
        </w:rPr>
        <w:t>, 39 NY2d 543 [1976]</w:t>
      </w:r>
      <w:r w:rsidR="00137094" w:rsidRPr="007405F5">
        <w:rPr>
          <w:sz w:val="24"/>
          <w:szCs w:val="24"/>
        </w:rPr>
        <w:t xml:space="preserve">; </w:t>
      </w:r>
      <w:r w:rsidR="00137094" w:rsidRPr="007405F5">
        <w:rPr>
          <w:i/>
          <w:iCs/>
          <w:sz w:val="24"/>
          <w:szCs w:val="24"/>
        </w:rPr>
        <w:t>b</w:t>
      </w:r>
      <w:r w:rsidR="00634B45" w:rsidRPr="007405F5">
        <w:rPr>
          <w:i/>
          <w:iCs/>
          <w:sz w:val="24"/>
          <w:szCs w:val="24"/>
        </w:rPr>
        <w:t>ut see</w:t>
      </w:r>
      <w:r w:rsidR="00634B45" w:rsidRPr="007405F5">
        <w:rPr>
          <w:sz w:val="24"/>
          <w:szCs w:val="24"/>
        </w:rPr>
        <w:t xml:space="preserve"> </w:t>
      </w:r>
      <w:r w:rsidR="00F81B4F" w:rsidRPr="007405F5">
        <w:rPr>
          <w:rFonts w:eastAsia="Times New Roman"/>
          <w:i/>
          <w:iCs/>
          <w:sz w:val="24"/>
          <w:szCs w:val="24"/>
        </w:rPr>
        <w:t>Williams v Lord</w:t>
      </w:r>
      <w:r w:rsidR="00F81B4F" w:rsidRPr="007405F5">
        <w:rPr>
          <w:rFonts w:eastAsia="Times New Roman"/>
          <w:sz w:val="24"/>
          <w:szCs w:val="24"/>
        </w:rPr>
        <w:t>, 996 F2d 1481, 1484 [2d Cir 1993</w:t>
      </w:r>
      <w:r w:rsidR="00137094" w:rsidRPr="007405F5">
        <w:rPr>
          <w:rFonts w:eastAsia="Times New Roman"/>
          <w:sz w:val="24"/>
          <w:szCs w:val="24"/>
        </w:rPr>
        <w:t xml:space="preserve">, </w:t>
      </w:r>
      <w:r w:rsidR="00F81B4F" w:rsidRPr="007405F5">
        <w:rPr>
          <w:rFonts w:eastAsia="Times New Roman"/>
          <w:sz w:val="24"/>
          <w:szCs w:val="24"/>
        </w:rPr>
        <w:t>concurring op]</w:t>
      </w:r>
      <w:r w:rsidR="00137094" w:rsidRPr="007405F5">
        <w:rPr>
          <w:rFonts w:eastAsia="Times New Roman"/>
          <w:sz w:val="24"/>
          <w:szCs w:val="24"/>
        </w:rPr>
        <w:t>)</w:t>
      </w:r>
      <w:r w:rsidR="00014436" w:rsidRPr="007405F5">
        <w:rPr>
          <w:rFonts w:eastAsia="Times New Roman"/>
          <w:sz w:val="24"/>
          <w:szCs w:val="24"/>
        </w:rPr>
        <w:t>.</w:t>
      </w:r>
    </w:p>
    <w:p w14:paraId="450DAC5B" w14:textId="77777777" w:rsidR="00F81B4F" w:rsidRPr="007405F5" w:rsidRDefault="00F81B4F" w:rsidP="007405F5">
      <w:pPr>
        <w:widowControl/>
        <w:shd w:val="clear" w:color="auto" w:fill="FFFFFF"/>
        <w:autoSpaceDE/>
        <w:autoSpaceDN/>
        <w:adjustRightInd/>
        <w:spacing w:line="276" w:lineRule="auto"/>
        <w:jc w:val="both"/>
        <w:rPr>
          <w:rFonts w:eastAsia="Times New Roman"/>
          <w:sz w:val="24"/>
          <w:szCs w:val="24"/>
        </w:rPr>
      </w:pPr>
    </w:p>
    <w:p w14:paraId="36B1ABA7" w14:textId="1C0AB805" w:rsidR="001F119F" w:rsidRPr="007405F5" w:rsidRDefault="001F119F" w:rsidP="00740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rFonts w:ascii="Times New Roman" w:hAnsi="Times New Roman" w:cs="Times New Roman"/>
          <w:sz w:val="24"/>
          <w:szCs w:val="24"/>
        </w:rPr>
      </w:pPr>
      <w:r w:rsidRPr="007405F5">
        <w:rPr>
          <w:rFonts w:ascii="Times New Roman" w:hAnsi="Times New Roman" w:cs="Times New Roman"/>
          <w:sz w:val="24"/>
          <w:szCs w:val="24"/>
        </w:rPr>
        <w:tab/>
      </w:r>
      <w:r w:rsidRPr="007405F5">
        <w:rPr>
          <w:rFonts w:ascii="Times New Roman" w:hAnsi="Times New Roman" w:cs="Times New Roman"/>
          <w:b/>
          <w:bCs/>
          <w:sz w:val="24"/>
          <w:szCs w:val="24"/>
        </w:rPr>
        <w:t xml:space="preserve">Subdivision (1) (d) </w:t>
      </w:r>
      <w:r w:rsidRPr="007405F5">
        <w:rPr>
          <w:rFonts w:ascii="Times New Roman" w:hAnsi="Times New Roman" w:cs="Times New Roman"/>
          <w:sz w:val="24"/>
          <w:szCs w:val="24"/>
        </w:rPr>
        <w:t xml:space="preserve">notes that when character evidence is admitted for impeachment purposes, </w:t>
      </w:r>
      <w:r w:rsidR="006076FA" w:rsidRPr="007405F5">
        <w:rPr>
          <w:rFonts w:ascii="Times New Roman" w:hAnsi="Times New Roman" w:cs="Times New Roman"/>
          <w:sz w:val="24"/>
          <w:szCs w:val="24"/>
        </w:rPr>
        <w:t>it may be admissible under the rules set forth in this Guide’s article six.</w:t>
      </w:r>
    </w:p>
    <w:p w14:paraId="5892FC64" w14:textId="77777777" w:rsidR="006076FA" w:rsidRPr="007405F5" w:rsidRDefault="006076FA" w:rsidP="00740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rFonts w:ascii="Times New Roman" w:hAnsi="Times New Roman" w:cs="Times New Roman"/>
          <w:sz w:val="24"/>
          <w:szCs w:val="24"/>
        </w:rPr>
      </w:pPr>
    </w:p>
    <w:p w14:paraId="5912F384" w14:textId="2ABE8FCC" w:rsidR="001F119F" w:rsidRPr="007405F5" w:rsidRDefault="00865E39" w:rsidP="00740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rFonts w:ascii="Times New Roman" w:hAnsi="Times New Roman" w:cs="Times New Roman"/>
          <w:sz w:val="24"/>
          <w:szCs w:val="24"/>
        </w:rPr>
      </w:pPr>
      <w:r w:rsidRPr="007405F5">
        <w:rPr>
          <w:rFonts w:ascii="Times New Roman" w:hAnsi="Times New Roman" w:cs="Times New Roman"/>
          <w:b/>
          <w:bCs/>
          <w:sz w:val="24"/>
          <w:szCs w:val="24"/>
        </w:rPr>
        <w:tab/>
      </w:r>
      <w:r w:rsidR="001F119F" w:rsidRPr="007405F5">
        <w:rPr>
          <w:rFonts w:ascii="Times New Roman" w:hAnsi="Times New Roman" w:cs="Times New Roman"/>
          <w:b/>
          <w:bCs/>
          <w:sz w:val="24"/>
          <w:szCs w:val="24"/>
        </w:rPr>
        <w:t>Subdivision (2)</w:t>
      </w:r>
      <w:r w:rsidR="00C4725D" w:rsidRPr="007405F5">
        <w:rPr>
          <w:rFonts w:ascii="Times New Roman" w:hAnsi="Times New Roman" w:cs="Times New Roman"/>
          <w:sz w:val="24"/>
          <w:szCs w:val="24"/>
        </w:rPr>
        <w:t xml:space="preserve">. </w:t>
      </w:r>
      <w:r w:rsidR="001F119F" w:rsidRPr="007405F5">
        <w:rPr>
          <w:rFonts w:ascii="Times New Roman" w:hAnsi="Times New Roman" w:cs="Times New Roman"/>
          <w:sz w:val="24"/>
          <w:szCs w:val="24"/>
        </w:rPr>
        <w:t xml:space="preserve">This subdivision is derived from the well-established rule in New York that when a person’s character or character trait is admissible it must be proved by reputation testimony as set forth in </w:t>
      </w:r>
      <w:r w:rsidR="006E3BF2" w:rsidRPr="007405F5">
        <w:rPr>
          <w:rFonts w:ascii="Times New Roman" w:hAnsi="Times New Roman" w:cs="Times New Roman"/>
          <w:sz w:val="24"/>
          <w:szCs w:val="24"/>
        </w:rPr>
        <w:t xml:space="preserve">Guide to New York Evidence </w:t>
      </w:r>
      <w:r w:rsidR="001F119F" w:rsidRPr="007405F5">
        <w:rPr>
          <w:rFonts w:ascii="Times New Roman" w:hAnsi="Times New Roman" w:cs="Times New Roman"/>
          <w:sz w:val="24"/>
          <w:szCs w:val="24"/>
        </w:rPr>
        <w:t>rule 8.3</w:t>
      </w:r>
      <w:r w:rsidR="00BD0345" w:rsidRPr="007405F5">
        <w:rPr>
          <w:rFonts w:ascii="Times New Roman" w:hAnsi="Times New Roman" w:cs="Times New Roman"/>
          <w:sz w:val="24"/>
          <w:szCs w:val="24"/>
        </w:rPr>
        <w:t>9</w:t>
      </w:r>
      <w:r w:rsidR="001F119F" w:rsidRPr="007405F5">
        <w:rPr>
          <w:rFonts w:ascii="Times New Roman" w:hAnsi="Times New Roman" w:cs="Times New Roman"/>
          <w:sz w:val="24"/>
          <w:szCs w:val="24"/>
        </w:rPr>
        <w:t xml:space="preserve"> (1)</w:t>
      </w:r>
      <w:r w:rsidR="00C4725D" w:rsidRPr="007405F5">
        <w:rPr>
          <w:rFonts w:ascii="Times New Roman" w:hAnsi="Times New Roman" w:cs="Times New Roman"/>
          <w:sz w:val="24"/>
          <w:szCs w:val="24"/>
        </w:rPr>
        <w:t xml:space="preserve">. </w:t>
      </w:r>
      <w:r w:rsidR="001F119F" w:rsidRPr="007405F5">
        <w:rPr>
          <w:rFonts w:ascii="Times New Roman" w:hAnsi="Times New Roman" w:cs="Times New Roman"/>
          <w:sz w:val="24"/>
          <w:szCs w:val="24"/>
        </w:rPr>
        <w:t xml:space="preserve">Reputation testimony is the only form of proof permitted, and that reputation evidence must relate to the trait or traits involved in the charge against </w:t>
      </w:r>
      <w:r w:rsidR="001F119F" w:rsidRPr="007405F5">
        <w:rPr>
          <w:rFonts w:ascii="Times New Roman" w:hAnsi="Times New Roman" w:cs="Times New Roman"/>
          <w:sz w:val="24"/>
          <w:szCs w:val="24"/>
        </w:rPr>
        <w:lastRenderedPageBreak/>
        <w:t>the defendant (</w:t>
      </w:r>
      <w:r w:rsidR="001F119F" w:rsidRPr="007405F5">
        <w:rPr>
          <w:rFonts w:ascii="Times New Roman" w:hAnsi="Times New Roman" w:cs="Times New Roman"/>
          <w:i/>
          <w:iCs/>
          <w:sz w:val="24"/>
          <w:szCs w:val="24"/>
        </w:rPr>
        <w:t xml:space="preserve">see </w:t>
      </w:r>
      <w:r w:rsidR="005C4EE0" w:rsidRPr="007405F5">
        <w:rPr>
          <w:rFonts w:ascii="Times New Roman" w:hAnsi="Times New Roman" w:cs="Times New Roman"/>
          <w:i/>
          <w:iCs/>
          <w:sz w:val="24"/>
          <w:szCs w:val="24"/>
        </w:rPr>
        <w:t xml:space="preserve">e.g. </w:t>
      </w:r>
      <w:r w:rsidR="001F119F" w:rsidRPr="007405F5">
        <w:rPr>
          <w:rFonts w:ascii="Times New Roman" w:hAnsi="Times New Roman" w:cs="Times New Roman"/>
          <w:i/>
          <w:iCs/>
          <w:sz w:val="24"/>
          <w:szCs w:val="24"/>
        </w:rPr>
        <w:t>People v Miller</w:t>
      </w:r>
      <w:r w:rsidR="001F119F" w:rsidRPr="007405F5">
        <w:rPr>
          <w:rFonts w:ascii="Times New Roman" w:hAnsi="Times New Roman" w:cs="Times New Roman"/>
          <w:sz w:val="24"/>
          <w:szCs w:val="24"/>
        </w:rPr>
        <w:t xml:space="preserve">, 35 NY2d 65, 68 [1974]; </w:t>
      </w:r>
      <w:r w:rsidR="001F119F" w:rsidRPr="007405F5">
        <w:rPr>
          <w:rFonts w:ascii="Times New Roman" w:hAnsi="Times New Roman" w:cs="Times New Roman"/>
          <w:i/>
          <w:iCs/>
          <w:sz w:val="24"/>
          <w:szCs w:val="24"/>
        </w:rPr>
        <w:t>People v Kuss</w:t>
      </w:r>
      <w:r w:rsidR="001F119F" w:rsidRPr="007405F5">
        <w:rPr>
          <w:rFonts w:ascii="Times New Roman" w:hAnsi="Times New Roman" w:cs="Times New Roman"/>
          <w:sz w:val="24"/>
          <w:szCs w:val="24"/>
        </w:rPr>
        <w:t xml:space="preserve">, 32 NY2d 436, 443 [1973]; </w:t>
      </w:r>
      <w:r w:rsidR="001F119F" w:rsidRPr="007405F5">
        <w:rPr>
          <w:rFonts w:ascii="Times New Roman" w:hAnsi="Times New Roman" w:cs="Times New Roman"/>
          <w:i/>
          <w:iCs/>
          <w:sz w:val="24"/>
          <w:szCs w:val="24"/>
        </w:rPr>
        <w:t>People v Van Gaasbeck</w:t>
      </w:r>
      <w:r w:rsidR="001F119F" w:rsidRPr="007405F5">
        <w:rPr>
          <w:rFonts w:ascii="Times New Roman" w:hAnsi="Times New Roman" w:cs="Times New Roman"/>
          <w:sz w:val="24"/>
          <w:szCs w:val="24"/>
        </w:rPr>
        <w:t xml:space="preserve">, 189 NY 408, 413-415 [1907]). </w:t>
      </w:r>
    </w:p>
    <w:p w14:paraId="47150497" w14:textId="77777777" w:rsidR="001F119F" w:rsidRPr="007405F5" w:rsidRDefault="001F119F" w:rsidP="00740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rFonts w:ascii="Times New Roman" w:hAnsi="Times New Roman" w:cs="Times New Roman"/>
          <w:sz w:val="24"/>
          <w:szCs w:val="24"/>
        </w:rPr>
      </w:pPr>
    </w:p>
    <w:p w14:paraId="0C5DF571" w14:textId="3F353D22" w:rsidR="001F119F" w:rsidRPr="007405F5" w:rsidRDefault="00865E39" w:rsidP="00740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rFonts w:ascii="Times New Roman" w:hAnsi="Times New Roman" w:cs="Times New Roman"/>
          <w:sz w:val="24"/>
          <w:szCs w:val="24"/>
        </w:rPr>
      </w:pPr>
      <w:r w:rsidRPr="007405F5">
        <w:rPr>
          <w:rFonts w:ascii="Times New Roman" w:hAnsi="Times New Roman" w:cs="Times New Roman"/>
          <w:sz w:val="24"/>
          <w:szCs w:val="24"/>
        </w:rPr>
        <w:tab/>
      </w:r>
      <w:r w:rsidR="001F119F" w:rsidRPr="007405F5">
        <w:rPr>
          <w:rFonts w:ascii="Times New Roman" w:hAnsi="Times New Roman" w:cs="Times New Roman"/>
          <w:sz w:val="24"/>
          <w:szCs w:val="24"/>
        </w:rPr>
        <w:t>The witness may testify, upon an adequate foundation, that “I have heard the reputation for the relevant character or character trait is good,” or to the fact that since the witness has never heard anything contrary to the relevant character or character trait, defendant’s reputation must be “good</w:t>
      </w:r>
      <w:r w:rsidR="002A22DA" w:rsidRPr="007405F5">
        <w:rPr>
          <w:rFonts w:ascii="Times New Roman" w:hAnsi="Times New Roman" w:cs="Times New Roman"/>
          <w:sz w:val="24"/>
          <w:szCs w:val="24"/>
        </w:rPr>
        <w:t>”</w:t>
      </w:r>
      <w:r w:rsidR="001F119F" w:rsidRPr="007405F5">
        <w:rPr>
          <w:rFonts w:ascii="Times New Roman" w:hAnsi="Times New Roman" w:cs="Times New Roman"/>
          <w:sz w:val="24"/>
          <w:szCs w:val="24"/>
        </w:rPr>
        <w:t xml:space="preserve"> (</w:t>
      </w:r>
      <w:r w:rsidR="001F119F" w:rsidRPr="007405F5">
        <w:rPr>
          <w:rFonts w:ascii="Times New Roman" w:hAnsi="Times New Roman" w:cs="Times New Roman"/>
          <w:i/>
          <w:iCs/>
          <w:sz w:val="24"/>
          <w:szCs w:val="24"/>
        </w:rPr>
        <w:t>Van Ga</w:t>
      </w:r>
      <w:r w:rsidR="00C82165" w:rsidRPr="007405F5">
        <w:rPr>
          <w:rFonts w:ascii="Times New Roman" w:hAnsi="Times New Roman" w:cs="Times New Roman"/>
          <w:i/>
          <w:iCs/>
          <w:sz w:val="24"/>
          <w:szCs w:val="24"/>
        </w:rPr>
        <w:t>a</w:t>
      </w:r>
      <w:r w:rsidR="001F119F" w:rsidRPr="007405F5">
        <w:rPr>
          <w:rFonts w:ascii="Times New Roman" w:hAnsi="Times New Roman" w:cs="Times New Roman"/>
          <w:i/>
          <w:iCs/>
          <w:sz w:val="24"/>
          <w:szCs w:val="24"/>
        </w:rPr>
        <w:t>sbeck</w:t>
      </w:r>
      <w:r w:rsidR="001F119F" w:rsidRPr="007405F5">
        <w:rPr>
          <w:rFonts w:ascii="Times New Roman" w:hAnsi="Times New Roman" w:cs="Times New Roman"/>
          <w:iCs/>
          <w:sz w:val="24"/>
          <w:szCs w:val="24"/>
        </w:rPr>
        <w:t>,</w:t>
      </w:r>
      <w:r w:rsidR="001F119F" w:rsidRPr="007405F5">
        <w:rPr>
          <w:rFonts w:ascii="Times New Roman" w:hAnsi="Times New Roman" w:cs="Times New Roman"/>
          <w:i/>
          <w:iCs/>
          <w:sz w:val="24"/>
          <w:szCs w:val="24"/>
        </w:rPr>
        <w:t xml:space="preserve"> </w:t>
      </w:r>
      <w:r w:rsidR="001F119F" w:rsidRPr="007405F5">
        <w:rPr>
          <w:rFonts w:ascii="Times New Roman" w:hAnsi="Times New Roman" w:cs="Times New Roman"/>
          <w:sz w:val="24"/>
          <w:szCs w:val="24"/>
        </w:rPr>
        <w:t xml:space="preserve">189 NY at 420; </w:t>
      </w:r>
      <w:r w:rsidR="001F119F" w:rsidRPr="007405F5">
        <w:rPr>
          <w:rFonts w:ascii="Times New Roman" w:hAnsi="Times New Roman" w:cs="Times New Roman"/>
          <w:i/>
          <w:iCs/>
          <w:sz w:val="24"/>
          <w:szCs w:val="24"/>
        </w:rPr>
        <w:t xml:space="preserve">see also </w:t>
      </w:r>
      <w:r w:rsidR="009E7924" w:rsidRPr="007405F5">
        <w:rPr>
          <w:rFonts w:ascii="Times New Roman" w:hAnsi="Times New Roman" w:cs="Times New Roman"/>
          <w:i/>
          <w:iCs/>
          <w:sz w:val="24"/>
          <w:szCs w:val="24"/>
        </w:rPr>
        <w:t xml:space="preserve">People v </w:t>
      </w:r>
      <w:r w:rsidR="001F119F" w:rsidRPr="007405F5">
        <w:rPr>
          <w:rFonts w:ascii="Times New Roman" w:hAnsi="Times New Roman" w:cs="Times New Roman"/>
          <w:i/>
          <w:iCs/>
          <w:sz w:val="24"/>
          <w:szCs w:val="24"/>
        </w:rPr>
        <w:t>Bouton</w:t>
      </w:r>
      <w:r w:rsidR="001F119F" w:rsidRPr="007405F5">
        <w:rPr>
          <w:rFonts w:ascii="Times New Roman" w:hAnsi="Times New Roman" w:cs="Times New Roman"/>
          <w:sz w:val="24"/>
          <w:szCs w:val="24"/>
        </w:rPr>
        <w:t>, 50 NY2d 130, 140 [1980] [“And, the fact that the offer consisted solely of ‘negative evidence’—i.e., the absence of adverse comment on the pertinent aspects of de</w:t>
      </w:r>
      <w:r w:rsidR="002A22DA" w:rsidRPr="007405F5">
        <w:rPr>
          <w:rFonts w:ascii="Times New Roman" w:hAnsi="Times New Roman" w:cs="Times New Roman"/>
          <w:sz w:val="24"/>
          <w:szCs w:val="24"/>
        </w:rPr>
        <w:t>fendant’</w:t>
      </w:r>
      <w:r w:rsidR="001F119F" w:rsidRPr="007405F5">
        <w:rPr>
          <w:rFonts w:ascii="Times New Roman" w:hAnsi="Times New Roman" w:cs="Times New Roman"/>
          <w:sz w:val="24"/>
          <w:szCs w:val="24"/>
        </w:rPr>
        <w:t>s character—could not in itself be the basis for an exclusionary ruling”])</w:t>
      </w:r>
      <w:r w:rsidR="006E3BF2" w:rsidRPr="007405F5">
        <w:rPr>
          <w:rFonts w:ascii="Times New Roman" w:hAnsi="Times New Roman" w:cs="Times New Roman"/>
          <w:sz w:val="24"/>
          <w:szCs w:val="24"/>
        </w:rPr>
        <w:t>.</w:t>
      </w:r>
    </w:p>
    <w:p w14:paraId="31C8E1B5" w14:textId="77777777" w:rsidR="00D641EF" w:rsidRPr="007405F5" w:rsidRDefault="00D641EF" w:rsidP="00740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rFonts w:ascii="Times New Roman" w:hAnsi="Times New Roman" w:cs="Times New Roman"/>
          <w:sz w:val="24"/>
          <w:szCs w:val="24"/>
        </w:rPr>
      </w:pPr>
    </w:p>
    <w:p w14:paraId="3A5D9ACB" w14:textId="56C35EBB" w:rsidR="001F119F" w:rsidRPr="007405F5" w:rsidRDefault="00865E39" w:rsidP="00740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rFonts w:ascii="Times New Roman" w:hAnsi="Times New Roman" w:cs="Times New Roman"/>
          <w:sz w:val="24"/>
          <w:szCs w:val="24"/>
        </w:rPr>
      </w:pPr>
      <w:r w:rsidRPr="007405F5">
        <w:rPr>
          <w:rFonts w:ascii="Times New Roman" w:hAnsi="Times New Roman" w:cs="Times New Roman"/>
          <w:sz w:val="24"/>
          <w:szCs w:val="24"/>
        </w:rPr>
        <w:tab/>
      </w:r>
      <w:r w:rsidR="001F119F" w:rsidRPr="007405F5">
        <w:rPr>
          <w:rFonts w:ascii="Times New Roman" w:hAnsi="Times New Roman" w:cs="Times New Roman"/>
          <w:sz w:val="24"/>
          <w:szCs w:val="24"/>
        </w:rPr>
        <w:t>The opinions of those who know defendant personally and have firsthand knowledge of defendant’s character as well as proof of defendant’s commission of specific acts that may implicate the trait are inadmissible</w:t>
      </w:r>
      <w:r w:rsidR="001F119F" w:rsidRPr="007405F5">
        <w:rPr>
          <w:rFonts w:ascii="Times New Roman" w:hAnsi="Times New Roman" w:cs="Times New Roman"/>
          <w:i/>
          <w:iCs/>
          <w:sz w:val="24"/>
          <w:szCs w:val="24"/>
        </w:rPr>
        <w:t xml:space="preserve"> </w:t>
      </w:r>
      <w:r w:rsidR="001F119F" w:rsidRPr="007405F5">
        <w:rPr>
          <w:rFonts w:ascii="Times New Roman" w:hAnsi="Times New Roman" w:cs="Times New Roman"/>
          <w:iCs/>
          <w:sz w:val="24"/>
          <w:szCs w:val="24"/>
        </w:rPr>
        <w:t>(</w:t>
      </w:r>
      <w:r w:rsidR="001F119F" w:rsidRPr="007405F5">
        <w:rPr>
          <w:rFonts w:ascii="Times New Roman" w:hAnsi="Times New Roman" w:cs="Times New Roman"/>
          <w:i/>
          <w:iCs/>
          <w:sz w:val="24"/>
          <w:szCs w:val="24"/>
        </w:rPr>
        <w:t>Van Ga</w:t>
      </w:r>
      <w:r w:rsidR="000735C6" w:rsidRPr="007405F5">
        <w:rPr>
          <w:rFonts w:ascii="Times New Roman" w:hAnsi="Times New Roman" w:cs="Times New Roman"/>
          <w:i/>
          <w:iCs/>
          <w:sz w:val="24"/>
          <w:szCs w:val="24"/>
        </w:rPr>
        <w:t>a</w:t>
      </w:r>
      <w:r w:rsidR="001F119F" w:rsidRPr="007405F5">
        <w:rPr>
          <w:rFonts w:ascii="Times New Roman" w:hAnsi="Times New Roman" w:cs="Times New Roman"/>
          <w:i/>
          <w:iCs/>
          <w:sz w:val="24"/>
          <w:szCs w:val="24"/>
        </w:rPr>
        <w:t>sbeck</w:t>
      </w:r>
      <w:r w:rsidR="001F119F" w:rsidRPr="007405F5">
        <w:rPr>
          <w:rFonts w:ascii="Times New Roman" w:hAnsi="Times New Roman" w:cs="Times New Roman"/>
          <w:sz w:val="24"/>
          <w:szCs w:val="24"/>
        </w:rPr>
        <w:t>,</w:t>
      </w:r>
      <w:r w:rsidR="001F119F" w:rsidRPr="007405F5">
        <w:rPr>
          <w:rFonts w:ascii="Times New Roman" w:hAnsi="Times New Roman" w:cs="Times New Roman"/>
          <w:i/>
          <w:iCs/>
          <w:sz w:val="24"/>
          <w:szCs w:val="24"/>
        </w:rPr>
        <w:t xml:space="preserve"> </w:t>
      </w:r>
      <w:r w:rsidR="001F119F" w:rsidRPr="007405F5">
        <w:rPr>
          <w:rFonts w:ascii="Times New Roman" w:hAnsi="Times New Roman" w:cs="Times New Roman"/>
          <w:sz w:val="24"/>
          <w:szCs w:val="24"/>
        </w:rPr>
        <w:t>189 NY at 415-416)</w:t>
      </w:r>
      <w:r w:rsidR="00C4725D" w:rsidRPr="007405F5">
        <w:rPr>
          <w:rFonts w:ascii="Times New Roman" w:hAnsi="Times New Roman" w:cs="Times New Roman"/>
          <w:sz w:val="24"/>
          <w:szCs w:val="24"/>
        </w:rPr>
        <w:t xml:space="preserve">. </w:t>
      </w:r>
      <w:r w:rsidR="001F119F" w:rsidRPr="007405F5">
        <w:rPr>
          <w:rFonts w:ascii="Times New Roman" w:hAnsi="Times New Roman" w:cs="Times New Roman"/>
          <w:sz w:val="24"/>
          <w:szCs w:val="24"/>
        </w:rPr>
        <w:t xml:space="preserve">The basis for this limitation as stated by the Court of Appeals in </w:t>
      </w:r>
      <w:r w:rsidR="001F119F" w:rsidRPr="007405F5">
        <w:rPr>
          <w:rFonts w:ascii="Times New Roman" w:hAnsi="Times New Roman" w:cs="Times New Roman"/>
          <w:i/>
          <w:iCs/>
          <w:sz w:val="24"/>
          <w:szCs w:val="24"/>
        </w:rPr>
        <w:t xml:space="preserve">Van Gaasbeck </w:t>
      </w:r>
      <w:r w:rsidR="001F119F" w:rsidRPr="007405F5">
        <w:rPr>
          <w:rFonts w:ascii="Times New Roman" w:hAnsi="Times New Roman" w:cs="Times New Roman"/>
          <w:sz w:val="24"/>
          <w:szCs w:val="24"/>
        </w:rPr>
        <w:t>is that “its admission would lead to the introduction into the case of innumerable collateral issues which could not be tried out without introducing the utmost complication and confusion into the trial, tending to distract the minds of the jurymen and befog the chief issue in litigation</w:t>
      </w:r>
      <w:r w:rsidR="002A22DA" w:rsidRPr="007405F5">
        <w:rPr>
          <w:rFonts w:ascii="Times New Roman" w:hAnsi="Times New Roman" w:cs="Times New Roman"/>
          <w:sz w:val="24"/>
          <w:szCs w:val="24"/>
        </w:rPr>
        <w:t>”</w:t>
      </w:r>
      <w:r w:rsidR="001F119F" w:rsidRPr="007405F5">
        <w:rPr>
          <w:rFonts w:ascii="Times New Roman" w:hAnsi="Times New Roman" w:cs="Times New Roman"/>
          <w:sz w:val="24"/>
          <w:szCs w:val="24"/>
        </w:rPr>
        <w:t xml:space="preserve"> (</w:t>
      </w:r>
      <w:r w:rsidR="001F119F" w:rsidRPr="007405F5">
        <w:rPr>
          <w:rFonts w:ascii="Times New Roman" w:hAnsi="Times New Roman" w:cs="Times New Roman"/>
          <w:i/>
          <w:iCs/>
          <w:sz w:val="24"/>
          <w:szCs w:val="24"/>
        </w:rPr>
        <w:t>id.</w:t>
      </w:r>
      <w:r w:rsidR="001F119F" w:rsidRPr="007405F5">
        <w:rPr>
          <w:rFonts w:ascii="Times New Roman" w:hAnsi="Times New Roman" w:cs="Times New Roman"/>
          <w:sz w:val="24"/>
          <w:szCs w:val="24"/>
        </w:rPr>
        <w:t xml:space="preserve"> at 418).</w:t>
      </w:r>
    </w:p>
    <w:p w14:paraId="34082754" w14:textId="77777777" w:rsidR="00865E39" w:rsidRPr="007405F5" w:rsidRDefault="00865E39" w:rsidP="00740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rFonts w:ascii="Times New Roman" w:hAnsi="Times New Roman" w:cs="Times New Roman"/>
          <w:sz w:val="24"/>
          <w:szCs w:val="24"/>
        </w:rPr>
      </w:pPr>
    </w:p>
    <w:p w14:paraId="37D9833B" w14:textId="0AA5AF0D" w:rsidR="001F119F" w:rsidRPr="007405F5" w:rsidRDefault="00865E39" w:rsidP="007405F5">
      <w:pPr>
        <w:pStyle w:val="NormalWeb"/>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before="0" w:after="0" w:line="276" w:lineRule="auto"/>
      </w:pPr>
      <w:r w:rsidRPr="007405F5">
        <w:tab/>
      </w:r>
      <w:r w:rsidR="001F119F" w:rsidRPr="007405F5">
        <w:t>Additionally, the rule as stated in subdivision (2) recognizes that, when the defendant puts his or her character in issue pursuant to subdivision (1) (b), the People may now, in rebuttal, challenge the “good” character or character trait elicited by defendant</w:t>
      </w:r>
      <w:r w:rsidR="00C4725D" w:rsidRPr="007405F5">
        <w:t xml:space="preserve">. </w:t>
      </w:r>
      <w:r w:rsidR="001F119F" w:rsidRPr="007405F5">
        <w:t>As derived from the common law, the People may introduce reputation evidence that defendant’s reputation for the relevant character or character trait placed in issue is “bad.</w:t>
      </w:r>
      <w:r w:rsidR="002A22DA" w:rsidRPr="007405F5">
        <w:t>”</w:t>
      </w:r>
      <w:r w:rsidR="001F119F" w:rsidRPr="007405F5">
        <w:t xml:space="preserve"> (</w:t>
      </w:r>
      <w:r w:rsidR="001F119F" w:rsidRPr="007405F5">
        <w:rPr>
          <w:i/>
          <w:iCs/>
        </w:rPr>
        <w:t>See e.g. Richardson</w:t>
      </w:r>
      <w:r w:rsidR="001F119F" w:rsidRPr="007405F5">
        <w:t>, 222 NY at 107;</w:t>
      </w:r>
      <w:r w:rsidR="001F119F" w:rsidRPr="007405F5">
        <w:rPr>
          <w:i/>
          <w:iCs/>
        </w:rPr>
        <w:t xml:space="preserve"> Hinksman</w:t>
      </w:r>
      <w:r w:rsidR="00B26F72" w:rsidRPr="007405F5">
        <w:t>, 192 NY at 430-431.)</w:t>
      </w:r>
    </w:p>
    <w:p w14:paraId="2E8C2D60" w14:textId="77777777" w:rsidR="00865E39" w:rsidRPr="007405F5" w:rsidRDefault="00865E39" w:rsidP="007405F5">
      <w:pPr>
        <w:pStyle w:val="NormalWeb"/>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before="0" w:after="0" w:line="276" w:lineRule="auto"/>
      </w:pPr>
    </w:p>
    <w:p w14:paraId="52B58587" w14:textId="5A0C79F1" w:rsidR="001F119F" w:rsidRPr="007405F5" w:rsidRDefault="00865E39" w:rsidP="00740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rFonts w:ascii="Times New Roman" w:hAnsi="Times New Roman" w:cs="Times New Roman"/>
          <w:sz w:val="24"/>
          <w:szCs w:val="24"/>
        </w:rPr>
      </w:pPr>
      <w:r w:rsidRPr="007405F5">
        <w:rPr>
          <w:rFonts w:ascii="Times New Roman" w:hAnsi="Times New Roman" w:cs="Times New Roman"/>
          <w:sz w:val="24"/>
          <w:szCs w:val="24"/>
        </w:rPr>
        <w:tab/>
      </w:r>
      <w:r w:rsidR="001F119F" w:rsidRPr="007405F5">
        <w:rPr>
          <w:rFonts w:ascii="Times New Roman" w:hAnsi="Times New Roman" w:cs="Times New Roman"/>
          <w:sz w:val="24"/>
          <w:szCs w:val="24"/>
        </w:rPr>
        <w:t xml:space="preserve">The remaining paragraphs </w:t>
      </w:r>
      <w:r w:rsidR="00C4725D" w:rsidRPr="007405F5">
        <w:rPr>
          <w:rFonts w:ascii="Times New Roman" w:hAnsi="Times New Roman" w:cs="Times New Roman"/>
          <w:sz w:val="24"/>
          <w:szCs w:val="24"/>
        </w:rPr>
        <w:t>set</w:t>
      </w:r>
      <w:r w:rsidR="001F119F" w:rsidRPr="007405F5">
        <w:rPr>
          <w:rFonts w:ascii="Times New Roman" w:hAnsi="Times New Roman" w:cs="Times New Roman"/>
          <w:sz w:val="24"/>
          <w:szCs w:val="24"/>
        </w:rPr>
        <w:t xml:space="preserve"> forth specific proof rules applicable in limited situations.</w:t>
      </w:r>
    </w:p>
    <w:p w14:paraId="18D07B17" w14:textId="77777777" w:rsidR="001F119F" w:rsidRPr="007405F5" w:rsidRDefault="001F119F" w:rsidP="00740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rFonts w:ascii="Times New Roman" w:hAnsi="Times New Roman" w:cs="Times New Roman"/>
          <w:sz w:val="24"/>
          <w:szCs w:val="24"/>
        </w:rPr>
      </w:pPr>
    </w:p>
    <w:p w14:paraId="110EDC2D" w14:textId="228CF30E" w:rsidR="001F119F" w:rsidRPr="007405F5" w:rsidRDefault="00865E39" w:rsidP="00740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rFonts w:ascii="Times New Roman" w:hAnsi="Times New Roman" w:cs="Times New Roman"/>
          <w:sz w:val="24"/>
          <w:szCs w:val="24"/>
        </w:rPr>
      </w:pPr>
      <w:r w:rsidRPr="007405F5">
        <w:rPr>
          <w:rFonts w:ascii="Times New Roman" w:hAnsi="Times New Roman" w:cs="Times New Roman"/>
          <w:b/>
          <w:bCs/>
          <w:sz w:val="24"/>
          <w:szCs w:val="24"/>
        </w:rPr>
        <w:tab/>
      </w:r>
      <w:r w:rsidR="001F119F" w:rsidRPr="007405F5">
        <w:rPr>
          <w:rFonts w:ascii="Times New Roman" w:hAnsi="Times New Roman" w:cs="Times New Roman"/>
          <w:b/>
          <w:bCs/>
          <w:sz w:val="24"/>
          <w:szCs w:val="24"/>
        </w:rPr>
        <w:t>Subdivision (2) (a)</w:t>
      </w:r>
      <w:r w:rsidR="00C4725D" w:rsidRPr="007405F5">
        <w:rPr>
          <w:rFonts w:ascii="Times New Roman" w:hAnsi="Times New Roman" w:cs="Times New Roman"/>
          <w:sz w:val="24"/>
          <w:szCs w:val="24"/>
        </w:rPr>
        <w:t xml:space="preserve">. </w:t>
      </w:r>
      <w:r w:rsidR="001F119F" w:rsidRPr="007405F5">
        <w:rPr>
          <w:rFonts w:ascii="Times New Roman" w:hAnsi="Times New Roman" w:cs="Times New Roman"/>
          <w:sz w:val="24"/>
          <w:szCs w:val="24"/>
        </w:rPr>
        <w:t>Paragraph (a) of subdivision (2) is derived from Court of Appeals precedent that, where a person’s character is an element of a crime, charge, claim, or defense, the character may be proved by relevant specific acts</w:t>
      </w:r>
      <w:r w:rsidR="005C4EE0" w:rsidRPr="007405F5">
        <w:rPr>
          <w:rFonts w:ascii="Times New Roman" w:hAnsi="Times New Roman" w:cs="Times New Roman"/>
          <w:sz w:val="24"/>
          <w:szCs w:val="24"/>
        </w:rPr>
        <w:t xml:space="preserve"> </w:t>
      </w:r>
      <w:r w:rsidR="001F119F" w:rsidRPr="007405F5">
        <w:rPr>
          <w:rFonts w:ascii="Times New Roman" w:hAnsi="Times New Roman" w:cs="Times New Roman"/>
          <w:sz w:val="24"/>
          <w:szCs w:val="24"/>
        </w:rPr>
        <w:t>(</w:t>
      </w:r>
      <w:r w:rsidR="00775B66" w:rsidRPr="007405F5">
        <w:rPr>
          <w:rFonts w:ascii="Times New Roman" w:hAnsi="Times New Roman" w:cs="Times New Roman"/>
          <w:i/>
          <w:iCs/>
          <w:sz w:val="24"/>
          <w:szCs w:val="24"/>
        </w:rPr>
        <w:t>s</w:t>
      </w:r>
      <w:r w:rsidR="001F119F" w:rsidRPr="007405F5">
        <w:rPr>
          <w:rFonts w:ascii="Times New Roman" w:hAnsi="Times New Roman" w:cs="Times New Roman"/>
          <w:i/>
          <w:iCs/>
          <w:sz w:val="24"/>
          <w:szCs w:val="24"/>
        </w:rPr>
        <w:t>ee e.g. Mann</w:t>
      </w:r>
      <w:r w:rsidR="001F119F" w:rsidRPr="007405F5">
        <w:rPr>
          <w:rFonts w:ascii="Times New Roman" w:hAnsi="Times New Roman" w:cs="Times New Roman"/>
          <w:iCs/>
          <w:sz w:val="24"/>
          <w:szCs w:val="24"/>
        </w:rPr>
        <w:t>,</w:t>
      </w:r>
      <w:r w:rsidR="001F119F" w:rsidRPr="007405F5">
        <w:rPr>
          <w:rFonts w:ascii="Times New Roman" w:hAnsi="Times New Roman" w:cs="Times New Roman"/>
          <w:i/>
          <w:iCs/>
          <w:sz w:val="24"/>
          <w:szCs w:val="24"/>
        </w:rPr>
        <w:t xml:space="preserve"> </w:t>
      </w:r>
      <w:r w:rsidR="001F119F" w:rsidRPr="007405F5">
        <w:rPr>
          <w:rFonts w:ascii="Times New Roman" w:hAnsi="Times New Roman" w:cs="Times New Roman"/>
          <w:sz w:val="24"/>
          <w:szCs w:val="24"/>
        </w:rPr>
        <w:t>31 NY2d at 259;</w:t>
      </w:r>
      <w:r w:rsidR="001F119F" w:rsidRPr="007405F5">
        <w:rPr>
          <w:rFonts w:ascii="Times New Roman" w:hAnsi="Times New Roman" w:cs="Times New Roman"/>
          <w:i/>
          <w:iCs/>
          <w:sz w:val="24"/>
          <w:szCs w:val="24"/>
        </w:rPr>
        <w:t xml:space="preserve"> Park</w:t>
      </w:r>
      <w:r w:rsidR="001F119F" w:rsidRPr="007405F5">
        <w:rPr>
          <w:rFonts w:ascii="Times New Roman" w:hAnsi="Times New Roman" w:cs="Times New Roman"/>
          <w:iCs/>
          <w:sz w:val="24"/>
          <w:szCs w:val="24"/>
        </w:rPr>
        <w:t>,</w:t>
      </w:r>
      <w:r w:rsidR="001F119F" w:rsidRPr="007405F5">
        <w:rPr>
          <w:rFonts w:ascii="Times New Roman" w:hAnsi="Times New Roman" w:cs="Times New Roman"/>
          <w:sz w:val="24"/>
          <w:szCs w:val="24"/>
        </w:rPr>
        <w:t xml:space="preserve"> 155 NY at 219; </w:t>
      </w:r>
      <w:r w:rsidR="001F119F" w:rsidRPr="007405F5">
        <w:rPr>
          <w:rFonts w:ascii="Times New Roman" w:hAnsi="Times New Roman" w:cs="Times New Roman"/>
          <w:i/>
          <w:iCs/>
          <w:sz w:val="24"/>
          <w:szCs w:val="24"/>
        </w:rPr>
        <w:t>Cleghorn</w:t>
      </w:r>
      <w:r w:rsidR="001F119F" w:rsidRPr="007405F5">
        <w:rPr>
          <w:rFonts w:ascii="Times New Roman" w:hAnsi="Times New Roman" w:cs="Times New Roman"/>
          <w:iCs/>
          <w:sz w:val="24"/>
          <w:szCs w:val="24"/>
        </w:rPr>
        <w:t>,</w:t>
      </w:r>
      <w:r w:rsidR="001F119F" w:rsidRPr="007405F5">
        <w:rPr>
          <w:rFonts w:ascii="Times New Roman" w:hAnsi="Times New Roman" w:cs="Times New Roman"/>
          <w:sz w:val="24"/>
          <w:szCs w:val="24"/>
        </w:rPr>
        <w:t xml:space="preserve"> 56 NY at 46-47)</w:t>
      </w:r>
      <w:r w:rsidR="00C4725D" w:rsidRPr="007405F5">
        <w:rPr>
          <w:rFonts w:ascii="Times New Roman" w:hAnsi="Times New Roman" w:cs="Times New Roman"/>
          <w:sz w:val="24"/>
          <w:szCs w:val="24"/>
        </w:rPr>
        <w:t xml:space="preserve">. </w:t>
      </w:r>
      <w:r w:rsidR="001F119F" w:rsidRPr="007405F5">
        <w:rPr>
          <w:rFonts w:ascii="Times New Roman" w:hAnsi="Times New Roman" w:cs="Times New Roman"/>
          <w:sz w:val="24"/>
          <w:szCs w:val="24"/>
        </w:rPr>
        <w:t>Although the case law is limited, courts have also permitted the character to be proved by reputation</w:t>
      </w:r>
      <w:r w:rsidR="008A3328" w:rsidRPr="007405F5">
        <w:rPr>
          <w:rFonts w:ascii="Times New Roman" w:hAnsi="Times New Roman" w:cs="Times New Roman"/>
          <w:sz w:val="24"/>
          <w:szCs w:val="24"/>
        </w:rPr>
        <w:t xml:space="preserve">. </w:t>
      </w:r>
      <w:r w:rsidR="001F119F" w:rsidRPr="007405F5">
        <w:rPr>
          <w:rFonts w:ascii="Times New Roman" w:hAnsi="Times New Roman" w:cs="Times New Roman"/>
          <w:sz w:val="24"/>
          <w:szCs w:val="24"/>
        </w:rPr>
        <w:t>(</w:t>
      </w:r>
      <w:r w:rsidR="001F119F" w:rsidRPr="007405F5">
        <w:rPr>
          <w:rFonts w:ascii="Times New Roman" w:hAnsi="Times New Roman" w:cs="Times New Roman"/>
          <w:i/>
          <w:iCs/>
          <w:sz w:val="24"/>
          <w:szCs w:val="24"/>
        </w:rPr>
        <w:t>See e.g. Wuensch v Morning Journal Assn</w:t>
      </w:r>
      <w:r w:rsidR="001F119F" w:rsidRPr="007405F5">
        <w:rPr>
          <w:rFonts w:ascii="Times New Roman" w:hAnsi="Times New Roman" w:cs="Times New Roman"/>
          <w:sz w:val="24"/>
          <w:szCs w:val="24"/>
        </w:rPr>
        <w:t>., 4 App Di</w:t>
      </w:r>
      <w:r w:rsidR="005033D6" w:rsidRPr="007405F5">
        <w:rPr>
          <w:rFonts w:ascii="Times New Roman" w:hAnsi="Times New Roman" w:cs="Times New Roman"/>
          <w:sz w:val="24"/>
          <w:szCs w:val="24"/>
        </w:rPr>
        <w:t>v 110, 115-11</w:t>
      </w:r>
      <w:r w:rsidR="00775B66" w:rsidRPr="007405F5">
        <w:rPr>
          <w:rFonts w:ascii="Times New Roman" w:hAnsi="Times New Roman" w:cs="Times New Roman"/>
          <w:sz w:val="24"/>
          <w:szCs w:val="24"/>
        </w:rPr>
        <w:t>6</w:t>
      </w:r>
      <w:r w:rsidR="005033D6" w:rsidRPr="007405F5">
        <w:rPr>
          <w:rFonts w:ascii="Times New Roman" w:hAnsi="Times New Roman" w:cs="Times New Roman"/>
          <w:sz w:val="24"/>
          <w:szCs w:val="24"/>
        </w:rPr>
        <w:t xml:space="preserve"> [1st Dept 1896].)</w:t>
      </w:r>
      <w:r w:rsidR="001F119F" w:rsidRPr="007405F5">
        <w:rPr>
          <w:rFonts w:ascii="Times New Roman" w:hAnsi="Times New Roman" w:cs="Times New Roman"/>
          <w:sz w:val="24"/>
          <w:szCs w:val="24"/>
        </w:rPr>
        <w:t xml:space="preserve"> However, the Court of Appeals has held to the contrary in an action where the defendant was alleged to have been negligent in hiring or </w:t>
      </w:r>
      <w:r w:rsidR="001F119F" w:rsidRPr="007405F5">
        <w:rPr>
          <w:rFonts w:ascii="Times New Roman" w:hAnsi="Times New Roman" w:cs="Times New Roman"/>
          <w:sz w:val="24"/>
          <w:szCs w:val="24"/>
        </w:rPr>
        <w:lastRenderedPageBreak/>
        <w:t>retaining an incompetent employee</w:t>
      </w:r>
      <w:r w:rsidR="008A3328" w:rsidRPr="007405F5">
        <w:rPr>
          <w:rFonts w:ascii="Times New Roman" w:hAnsi="Times New Roman" w:cs="Times New Roman"/>
          <w:sz w:val="24"/>
          <w:szCs w:val="24"/>
        </w:rPr>
        <w:t xml:space="preserve">. </w:t>
      </w:r>
      <w:r w:rsidR="001F119F" w:rsidRPr="007405F5">
        <w:rPr>
          <w:rFonts w:ascii="Times New Roman" w:hAnsi="Times New Roman" w:cs="Times New Roman"/>
          <w:sz w:val="24"/>
          <w:szCs w:val="24"/>
        </w:rPr>
        <w:t>(</w:t>
      </w:r>
      <w:r w:rsidR="001F119F" w:rsidRPr="007405F5">
        <w:rPr>
          <w:rFonts w:ascii="Times New Roman" w:hAnsi="Times New Roman" w:cs="Times New Roman"/>
          <w:i/>
          <w:iCs/>
          <w:sz w:val="24"/>
          <w:szCs w:val="24"/>
        </w:rPr>
        <w:t>See</w:t>
      </w:r>
      <w:r w:rsidR="001F119F" w:rsidRPr="007405F5">
        <w:rPr>
          <w:rFonts w:ascii="Times New Roman" w:hAnsi="Times New Roman" w:cs="Times New Roman"/>
          <w:sz w:val="24"/>
          <w:szCs w:val="24"/>
        </w:rPr>
        <w:t xml:space="preserve"> </w:t>
      </w:r>
      <w:r w:rsidR="001F119F" w:rsidRPr="007405F5">
        <w:rPr>
          <w:rFonts w:ascii="Times New Roman" w:hAnsi="Times New Roman" w:cs="Times New Roman"/>
          <w:i/>
          <w:iCs/>
          <w:sz w:val="24"/>
          <w:szCs w:val="24"/>
        </w:rPr>
        <w:t>Park</w:t>
      </w:r>
      <w:r w:rsidR="001F119F" w:rsidRPr="007405F5">
        <w:rPr>
          <w:rFonts w:ascii="Times New Roman" w:hAnsi="Times New Roman" w:cs="Times New Roman"/>
          <w:iCs/>
          <w:sz w:val="24"/>
          <w:szCs w:val="24"/>
        </w:rPr>
        <w:t>,</w:t>
      </w:r>
      <w:r w:rsidR="001F119F" w:rsidRPr="007405F5">
        <w:rPr>
          <w:rFonts w:ascii="Times New Roman" w:hAnsi="Times New Roman" w:cs="Times New Roman"/>
          <w:i/>
          <w:iCs/>
          <w:sz w:val="24"/>
          <w:szCs w:val="24"/>
        </w:rPr>
        <w:t xml:space="preserve"> </w:t>
      </w:r>
      <w:r w:rsidR="001F119F" w:rsidRPr="007405F5">
        <w:rPr>
          <w:rFonts w:ascii="Times New Roman" w:hAnsi="Times New Roman" w:cs="Times New Roman"/>
          <w:sz w:val="24"/>
          <w:szCs w:val="24"/>
        </w:rPr>
        <w:t>155 NY at 218-219 [“We are aware that in some states the courts have permitted incompetency of servants to be shown by general reputation, but we have never gone to that extent in this state</w:t>
      </w:r>
      <w:r w:rsidR="008A3328" w:rsidRPr="007405F5">
        <w:rPr>
          <w:rFonts w:ascii="Times New Roman" w:hAnsi="Times New Roman" w:cs="Times New Roman"/>
          <w:sz w:val="24"/>
          <w:szCs w:val="24"/>
        </w:rPr>
        <w:t xml:space="preserve">. </w:t>
      </w:r>
      <w:r w:rsidR="001F119F" w:rsidRPr="007405F5">
        <w:rPr>
          <w:rFonts w:ascii="Times New Roman" w:hAnsi="Times New Roman" w:cs="Times New Roman"/>
          <w:sz w:val="24"/>
          <w:szCs w:val="24"/>
        </w:rPr>
        <w:t>It appears to us that the safer and better rule is to require incompetency to be shown by the specific acts of the servant, and then, that the master knew or ought to have known of such incompetency</w:t>
      </w:r>
      <w:r w:rsidR="008A3328" w:rsidRPr="007405F5">
        <w:rPr>
          <w:rFonts w:ascii="Times New Roman" w:hAnsi="Times New Roman" w:cs="Times New Roman"/>
          <w:sz w:val="24"/>
          <w:szCs w:val="24"/>
        </w:rPr>
        <w:t xml:space="preserve">. </w:t>
      </w:r>
      <w:r w:rsidR="001F119F" w:rsidRPr="007405F5">
        <w:rPr>
          <w:rFonts w:ascii="Times New Roman" w:hAnsi="Times New Roman" w:cs="Times New Roman"/>
          <w:sz w:val="24"/>
          <w:szCs w:val="24"/>
        </w:rPr>
        <w:t>The latter may be shown by evidence tending to establish that such incompetency was generally known in the community”].)</w:t>
      </w:r>
    </w:p>
    <w:p w14:paraId="02217462" w14:textId="77777777" w:rsidR="001F119F" w:rsidRPr="007405F5" w:rsidRDefault="001F119F" w:rsidP="00740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rFonts w:ascii="Times New Roman" w:hAnsi="Times New Roman" w:cs="Times New Roman"/>
          <w:sz w:val="24"/>
          <w:szCs w:val="24"/>
        </w:rPr>
      </w:pPr>
    </w:p>
    <w:p w14:paraId="587A7265" w14:textId="500A6043" w:rsidR="001F119F" w:rsidRPr="007405F5" w:rsidRDefault="00865E39" w:rsidP="00740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rFonts w:ascii="Times New Roman" w:hAnsi="Times New Roman" w:cs="Times New Roman"/>
          <w:sz w:val="24"/>
          <w:szCs w:val="24"/>
        </w:rPr>
      </w:pPr>
      <w:r w:rsidRPr="007405F5">
        <w:rPr>
          <w:rFonts w:ascii="Times New Roman" w:hAnsi="Times New Roman" w:cs="Times New Roman"/>
          <w:sz w:val="24"/>
          <w:szCs w:val="24"/>
        </w:rPr>
        <w:tab/>
      </w:r>
      <w:r w:rsidR="001F119F" w:rsidRPr="007405F5">
        <w:rPr>
          <w:rFonts w:ascii="Times New Roman" w:hAnsi="Times New Roman" w:cs="Times New Roman"/>
          <w:sz w:val="24"/>
          <w:szCs w:val="24"/>
        </w:rPr>
        <w:t>It should also be noted that CPL 60.40 (3) states the rule that where a prior criminal conviction is an element of the charged crime, the prior conviction necessary to the proof of the charged crime may be independently proved unless the defendant has availed himself or herself of the procedural protections set forth in CPL 200.60 or CPL 200.63. (</w:t>
      </w:r>
      <w:r w:rsidR="001F119F" w:rsidRPr="007405F5">
        <w:rPr>
          <w:rFonts w:ascii="Times New Roman" w:hAnsi="Times New Roman" w:cs="Times New Roman"/>
          <w:i/>
          <w:iCs/>
          <w:sz w:val="24"/>
          <w:szCs w:val="24"/>
        </w:rPr>
        <w:t>See</w:t>
      </w:r>
      <w:r w:rsidR="001F119F" w:rsidRPr="007405F5">
        <w:rPr>
          <w:rFonts w:ascii="Times New Roman" w:hAnsi="Times New Roman" w:cs="Times New Roman"/>
          <w:sz w:val="24"/>
          <w:szCs w:val="24"/>
        </w:rPr>
        <w:t xml:space="preserve"> William C. Donnino, Practice Commentar</w:t>
      </w:r>
      <w:r w:rsidR="00775B66" w:rsidRPr="007405F5">
        <w:rPr>
          <w:rFonts w:ascii="Times New Roman" w:hAnsi="Times New Roman" w:cs="Times New Roman"/>
          <w:sz w:val="24"/>
          <w:szCs w:val="24"/>
        </w:rPr>
        <w:t>y</w:t>
      </w:r>
      <w:r w:rsidR="001F119F" w:rsidRPr="007405F5">
        <w:rPr>
          <w:rFonts w:ascii="Times New Roman" w:hAnsi="Times New Roman" w:cs="Times New Roman"/>
          <w:sz w:val="24"/>
          <w:szCs w:val="24"/>
        </w:rPr>
        <w:t>, McKinney’s Con</w:t>
      </w:r>
      <w:r w:rsidR="001A3EDF" w:rsidRPr="007405F5">
        <w:rPr>
          <w:rFonts w:ascii="Times New Roman" w:hAnsi="Times New Roman" w:cs="Times New Roman"/>
          <w:sz w:val="24"/>
          <w:szCs w:val="24"/>
        </w:rPr>
        <w:t>s</w:t>
      </w:r>
      <w:r w:rsidR="001F119F" w:rsidRPr="007405F5">
        <w:rPr>
          <w:rFonts w:ascii="Times New Roman" w:hAnsi="Times New Roman" w:cs="Times New Roman"/>
          <w:sz w:val="24"/>
          <w:szCs w:val="24"/>
        </w:rPr>
        <w:t xml:space="preserve"> Laws of NY, CPL 60.40 at subd </w:t>
      </w:r>
      <w:r w:rsidR="00775B66" w:rsidRPr="007405F5">
        <w:rPr>
          <w:rFonts w:ascii="Times New Roman" w:hAnsi="Times New Roman" w:cs="Times New Roman"/>
          <w:sz w:val="24"/>
          <w:szCs w:val="24"/>
        </w:rPr>
        <w:t>three</w:t>
      </w:r>
      <w:r w:rsidR="001F119F" w:rsidRPr="007405F5">
        <w:rPr>
          <w:rFonts w:ascii="Times New Roman" w:hAnsi="Times New Roman" w:cs="Times New Roman"/>
          <w:sz w:val="24"/>
          <w:szCs w:val="24"/>
        </w:rPr>
        <w:t>.)</w:t>
      </w:r>
    </w:p>
    <w:p w14:paraId="6C837FA2" w14:textId="77777777" w:rsidR="001F119F" w:rsidRPr="007405F5" w:rsidRDefault="001F119F" w:rsidP="00740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rFonts w:ascii="Times New Roman" w:hAnsi="Times New Roman" w:cs="Times New Roman"/>
          <w:sz w:val="24"/>
          <w:szCs w:val="24"/>
        </w:rPr>
      </w:pPr>
    </w:p>
    <w:p w14:paraId="0BC44CC3" w14:textId="67989973" w:rsidR="001F119F" w:rsidRPr="007405F5" w:rsidRDefault="00865E39" w:rsidP="00740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rFonts w:ascii="Times New Roman" w:hAnsi="Times New Roman" w:cs="Times New Roman"/>
          <w:sz w:val="24"/>
          <w:szCs w:val="24"/>
        </w:rPr>
      </w:pPr>
      <w:r w:rsidRPr="007405F5">
        <w:rPr>
          <w:rFonts w:ascii="Times New Roman" w:hAnsi="Times New Roman" w:cs="Times New Roman"/>
          <w:b/>
          <w:bCs/>
          <w:sz w:val="24"/>
          <w:szCs w:val="24"/>
        </w:rPr>
        <w:tab/>
      </w:r>
      <w:r w:rsidR="001F119F" w:rsidRPr="007405F5">
        <w:rPr>
          <w:rFonts w:ascii="Times New Roman" w:hAnsi="Times New Roman" w:cs="Times New Roman"/>
          <w:b/>
          <w:bCs/>
          <w:sz w:val="24"/>
          <w:szCs w:val="24"/>
        </w:rPr>
        <w:t>Subdivision (2) (b)</w:t>
      </w:r>
      <w:r w:rsidR="008A3328" w:rsidRPr="007405F5">
        <w:rPr>
          <w:rFonts w:ascii="Times New Roman" w:hAnsi="Times New Roman" w:cs="Times New Roman"/>
          <w:sz w:val="24"/>
          <w:szCs w:val="24"/>
        </w:rPr>
        <w:t xml:space="preserve">. </w:t>
      </w:r>
      <w:r w:rsidR="001F119F" w:rsidRPr="007405F5">
        <w:rPr>
          <w:rFonts w:ascii="Times New Roman" w:hAnsi="Times New Roman" w:cs="Times New Roman"/>
          <w:sz w:val="24"/>
          <w:szCs w:val="24"/>
        </w:rPr>
        <w:t>Paragraph (b) of subdivision (2) restates CPL 60.40 (2), which provides an additional avenue of proof to rebut the reputation evidence admitted when the defendant puts his or her character in issue pursuant to subdivision</w:t>
      </w:r>
      <w:r w:rsidR="00775B66" w:rsidRPr="007405F5">
        <w:rPr>
          <w:rFonts w:ascii="Times New Roman" w:hAnsi="Times New Roman" w:cs="Times New Roman"/>
          <w:sz w:val="24"/>
          <w:szCs w:val="24"/>
        </w:rPr>
        <w:t xml:space="preserve"> </w:t>
      </w:r>
      <w:r w:rsidR="001F119F" w:rsidRPr="007405F5">
        <w:rPr>
          <w:rFonts w:ascii="Times New Roman" w:hAnsi="Times New Roman" w:cs="Times New Roman"/>
          <w:sz w:val="24"/>
          <w:szCs w:val="24"/>
        </w:rPr>
        <w:t>(1)</w:t>
      </w:r>
      <w:r w:rsidR="00775B66" w:rsidRPr="007405F5">
        <w:rPr>
          <w:rFonts w:ascii="Times New Roman" w:hAnsi="Times New Roman" w:cs="Times New Roman"/>
          <w:sz w:val="24"/>
          <w:szCs w:val="24"/>
        </w:rPr>
        <w:t xml:space="preserve"> </w:t>
      </w:r>
      <w:r w:rsidR="001F119F" w:rsidRPr="007405F5">
        <w:rPr>
          <w:rFonts w:ascii="Times New Roman" w:hAnsi="Times New Roman" w:cs="Times New Roman"/>
          <w:sz w:val="24"/>
          <w:szCs w:val="24"/>
        </w:rPr>
        <w:t>(b)</w:t>
      </w:r>
      <w:r w:rsidR="008A3328" w:rsidRPr="007405F5">
        <w:rPr>
          <w:rFonts w:ascii="Times New Roman" w:hAnsi="Times New Roman" w:cs="Times New Roman"/>
          <w:sz w:val="24"/>
          <w:szCs w:val="24"/>
        </w:rPr>
        <w:t xml:space="preserve">. </w:t>
      </w:r>
      <w:r w:rsidR="001F119F" w:rsidRPr="007405F5">
        <w:rPr>
          <w:rFonts w:ascii="Times New Roman" w:hAnsi="Times New Roman" w:cs="Times New Roman"/>
          <w:sz w:val="24"/>
          <w:szCs w:val="24"/>
        </w:rPr>
        <w:t>(</w:t>
      </w:r>
      <w:r w:rsidR="001F119F" w:rsidRPr="007405F5">
        <w:rPr>
          <w:rFonts w:ascii="Times New Roman" w:hAnsi="Times New Roman" w:cs="Times New Roman"/>
          <w:i/>
          <w:iCs/>
          <w:sz w:val="24"/>
          <w:szCs w:val="24"/>
        </w:rPr>
        <w:t>See</w:t>
      </w:r>
      <w:r w:rsidR="001F119F" w:rsidRPr="007405F5">
        <w:rPr>
          <w:rFonts w:ascii="Times New Roman" w:hAnsi="Times New Roman" w:cs="Times New Roman"/>
          <w:sz w:val="24"/>
          <w:szCs w:val="24"/>
        </w:rPr>
        <w:t xml:space="preserve"> William C. Donnino, Practice Commentar</w:t>
      </w:r>
      <w:r w:rsidR="00775B66" w:rsidRPr="007405F5">
        <w:rPr>
          <w:rFonts w:ascii="Times New Roman" w:hAnsi="Times New Roman" w:cs="Times New Roman"/>
          <w:sz w:val="24"/>
          <w:szCs w:val="24"/>
        </w:rPr>
        <w:t>y</w:t>
      </w:r>
      <w:r w:rsidR="001F119F" w:rsidRPr="007405F5">
        <w:rPr>
          <w:rFonts w:ascii="Times New Roman" w:hAnsi="Times New Roman" w:cs="Times New Roman"/>
          <w:sz w:val="24"/>
          <w:szCs w:val="24"/>
        </w:rPr>
        <w:t>, McKinney’s Con</w:t>
      </w:r>
      <w:r w:rsidR="001A3EDF" w:rsidRPr="007405F5">
        <w:rPr>
          <w:rFonts w:ascii="Times New Roman" w:hAnsi="Times New Roman" w:cs="Times New Roman"/>
          <w:sz w:val="24"/>
          <w:szCs w:val="24"/>
        </w:rPr>
        <w:t>s</w:t>
      </w:r>
      <w:r w:rsidR="001F119F" w:rsidRPr="007405F5">
        <w:rPr>
          <w:rFonts w:ascii="Times New Roman" w:hAnsi="Times New Roman" w:cs="Times New Roman"/>
          <w:sz w:val="24"/>
          <w:szCs w:val="24"/>
        </w:rPr>
        <w:t xml:space="preserve"> Laws of NY, CPL 60.40 at subd two.)</w:t>
      </w:r>
    </w:p>
    <w:p w14:paraId="04C17F54" w14:textId="77777777" w:rsidR="001F119F" w:rsidRPr="007405F5" w:rsidRDefault="001F119F" w:rsidP="007405F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p>
    <w:p w14:paraId="0E3E6C9F" w14:textId="3971C823" w:rsidR="001F119F" w:rsidRPr="007405F5" w:rsidRDefault="00AC75E6" w:rsidP="00740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rFonts w:ascii="Times New Roman" w:hAnsi="Times New Roman" w:cs="Times New Roman"/>
          <w:sz w:val="24"/>
          <w:szCs w:val="24"/>
        </w:rPr>
      </w:pPr>
      <w:r w:rsidRPr="007405F5">
        <w:rPr>
          <w:rFonts w:ascii="Times New Roman" w:hAnsi="Times New Roman" w:cs="Times New Roman"/>
          <w:b/>
          <w:bCs/>
          <w:sz w:val="24"/>
          <w:szCs w:val="24"/>
        </w:rPr>
        <w:tab/>
      </w:r>
      <w:r w:rsidR="001F119F" w:rsidRPr="007405F5">
        <w:rPr>
          <w:rFonts w:ascii="Times New Roman" w:hAnsi="Times New Roman" w:cs="Times New Roman"/>
          <w:b/>
          <w:bCs/>
          <w:sz w:val="24"/>
          <w:szCs w:val="24"/>
        </w:rPr>
        <w:t>Subdivision (3)</w:t>
      </w:r>
      <w:r w:rsidR="008A3328" w:rsidRPr="007405F5">
        <w:rPr>
          <w:rFonts w:ascii="Times New Roman" w:hAnsi="Times New Roman" w:cs="Times New Roman"/>
          <w:sz w:val="24"/>
          <w:szCs w:val="24"/>
        </w:rPr>
        <w:t xml:space="preserve">. </w:t>
      </w:r>
      <w:r w:rsidR="001F119F" w:rsidRPr="007405F5">
        <w:rPr>
          <w:rFonts w:ascii="Times New Roman" w:hAnsi="Times New Roman" w:cs="Times New Roman"/>
          <w:sz w:val="24"/>
          <w:szCs w:val="24"/>
        </w:rPr>
        <w:t>This subdivision is derived from Court of Appeals precedent which holds that the witness providing reputation testimony may be asked on cross-examination whether the witness has heard about particular events that are derogatory to the reputation testified to by the witness</w:t>
      </w:r>
      <w:r w:rsidR="00775B66" w:rsidRPr="007405F5">
        <w:rPr>
          <w:rFonts w:ascii="Times New Roman" w:hAnsi="Times New Roman" w:cs="Times New Roman"/>
          <w:sz w:val="24"/>
          <w:szCs w:val="24"/>
        </w:rPr>
        <w:t xml:space="preserve"> </w:t>
      </w:r>
      <w:r w:rsidR="001F119F" w:rsidRPr="007405F5">
        <w:rPr>
          <w:rFonts w:ascii="Times New Roman" w:hAnsi="Times New Roman" w:cs="Times New Roman"/>
          <w:sz w:val="24"/>
          <w:szCs w:val="24"/>
        </w:rPr>
        <w:t>(</w:t>
      </w:r>
      <w:r w:rsidR="001F119F" w:rsidRPr="007405F5">
        <w:rPr>
          <w:rFonts w:ascii="Times New Roman" w:hAnsi="Times New Roman" w:cs="Times New Roman"/>
          <w:i/>
          <w:iCs/>
          <w:sz w:val="24"/>
          <w:szCs w:val="24"/>
        </w:rPr>
        <w:t>People v Kuss</w:t>
      </w:r>
      <w:r w:rsidR="001F119F" w:rsidRPr="007405F5">
        <w:rPr>
          <w:rFonts w:ascii="Times New Roman" w:hAnsi="Times New Roman" w:cs="Times New Roman"/>
          <w:sz w:val="24"/>
          <w:szCs w:val="24"/>
        </w:rPr>
        <w:t>, 32 NY2d 436, 443 [1973] [“(I)t is well established that they may be asked as to the existence of rumors or reports of particular acts allegedly committed by the defendant which are inconsistent with the reputation they have attributed to him”])</w:t>
      </w:r>
      <w:r w:rsidR="00775B66" w:rsidRPr="007405F5">
        <w:rPr>
          <w:rFonts w:ascii="Times New Roman" w:hAnsi="Times New Roman" w:cs="Times New Roman"/>
          <w:sz w:val="24"/>
          <w:szCs w:val="24"/>
        </w:rPr>
        <w:t>.</w:t>
      </w:r>
      <w:r w:rsidR="001F119F" w:rsidRPr="007405F5">
        <w:rPr>
          <w:rFonts w:ascii="Times New Roman" w:hAnsi="Times New Roman" w:cs="Times New Roman"/>
          <w:sz w:val="24"/>
          <w:szCs w:val="24"/>
        </w:rPr>
        <w:t xml:space="preserve"> Specifically, the witness may only be asked whether the witness heard of the event and not whether the witness has personal knowledge of such an event</w:t>
      </w:r>
      <w:r w:rsidR="008A3328" w:rsidRPr="007405F5">
        <w:rPr>
          <w:rFonts w:ascii="Times New Roman" w:hAnsi="Times New Roman" w:cs="Times New Roman"/>
          <w:sz w:val="24"/>
          <w:szCs w:val="24"/>
        </w:rPr>
        <w:t xml:space="preserve">. </w:t>
      </w:r>
      <w:r w:rsidR="001F119F" w:rsidRPr="007405F5">
        <w:rPr>
          <w:rFonts w:ascii="Times New Roman" w:hAnsi="Times New Roman" w:cs="Times New Roman"/>
          <w:sz w:val="24"/>
          <w:szCs w:val="24"/>
        </w:rPr>
        <w:t>(</w:t>
      </w:r>
      <w:r w:rsidR="001F119F" w:rsidRPr="007405F5">
        <w:rPr>
          <w:rFonts w:ascii="Times New Roman" w:hAnsi="Times New Roman" w:cs="Times New Roman"/>
          <w:i/>
          <w:iCs/>
          <w:sz w:val="24"/>
          <w:szCs w:val="24"/>
        </w:rPr>
        <w:t>People v Kennedy</w:t>
      </w:r>
      <w:r w:rsidR="001F119F" w:rsidRPr="007405F5">
        <w:rPr>
          <w:rFonts w:ascii="Times New Roman" w:hAnsi="Times New Roman" w:cs="Times New Roman"/>
          <w:sz w:val="24"/>
          <w:szCs w:val="24"/>
        </w:rPr>
        <w:t xml:space="preserve">, 47 NY2d 196, 206 [1979] [“Assuming, </w:t>
      </w:r>
      <w:r w:rsidR="001F119F" w:rsidRPr="007405F5">
        <w:rPr>
          <w:rFonts w:ascii="Times New Roman" w:hAnsi="Times New Roman" w:cs="Times New Roman"/>
          <w:i/>
          <w:iCs/>
          <w:sz w:val="24"/>
          <w:szCs w:val="24"/>
        </w:rPr>
        <w:t>arguendo,</w:t>
      </w:r>
      <w:r w:rsidR="001F119F" w:rsidRPr="007405F5">
        <w:rPr>
          <w:rFonts w:ascii="Times New Roman" w:hAnsi="Times New Roman" w:cs="Times New Roman"/>
          <w:sz w:val="24"/>
          <w:szCs w:val="24"/>
        </w:rPr>
        <w:t xml:space="preserve"> that Mrs. Kennedy did indeed serve as a character witness, any impeachment cross-examination should have been limite</w:t>
      </w:r>
      <w:r w:rsidR="002A22DA" w:rsidRPr="007405F5">
        <w:rPr>
          <w:rFonts w:ascii="Times New Roman" w:hAnsi="Times New Roman" w:cs="Times New Roman"/>
          <w:sz w:val="24"/>
          <w:szCs w:val="24"/>
        </w:rPr>
        <w:t>d to her knowledge of defendant’</w:t>
      </w:r>
      <w:r w:rsidR="001F119F" w:rsidRPr="007405F5">
        <w:rPr>
          <w:rFonts w:ascii="Times New Roman" w:hAnsi="Times New Roman" w:cs="Times New Roman"/>
          <w:sz w:val="24"/>
          <w:szCs w:val="24"/>
        </w:rPr>
        <w:t>s reputation, and should not have extended to her personal knowledge of the underlying acts</w:t>
      </w:r>
      <w:r w:rsidR="00E87789" w:rsidRPr="007405F5">
        <w:rPr>
          <w:rFonts w:ascii="Times New Roman" w:hAnsi="Times New Roman" w:cs="Times New Roman"/>
          <w:sz w:val="24"/>
          <w:szCs w:val="24"/>
        </w:rPr>
        <w:t>”</w:t>
      </w:r>
      <w:r w:rsidR="001F119F" w:rsidRPr="007405F5">
        <w:rPr>
          <w:rFonts w:ascii="Times New Roman" w:hAnsi="Times New Roman" w:cs="Times New Roman"/>
          <w:sz w:val="24"/>
          <w:szCs w:val="24"/>
        </w:rPr>
        <w:t xml:space="preserve">].) In </w:t>
      </w:r>
      <w:r w:rsidR="001F119F" w:rsidRPr="007405F5">
        <w:rPr>
          <w:rFonts w:ascii="Times New Roman" w:hAnsi="Times New Roman" w:cs="Times New Roman"/>
          <w:i/>
          <w:iCs/>
          <w:sz w:val="24"/>
          <w:szCs w:val="24"/>
        </w:rPr>
        <w:t>Kuss</w:t>
      </w:r>
      <w:r w:rsidR="001F119F" w:rsidRPr="007405F5">
        <w:rPr>
          <w:rFonts w:ascii="Times New Roman" w:hAnsi="Times New Roman" w:cs="Times New Roman"/>
          <w:sz w:val="24"/>
          <w:szCs w:val="24"/>
        </w:rPr>
        <w:t>, the Court emphasized that there are certain limitations, namely, “[t]he inquiry cannot be used to prove the truth of the rumors, but only to show the ability of the witness to a</w:t>
      </w:r>
      <w:r w:rsidR="002A22DA" w:rsidRPr="007405F5">
        <w:rPr>
          <w:rFonts w:ascii="Times New Roman" w:hAnsi="Times New Roman" w:cs="Times New Roman"/>
          <w:sz w:val="24"/>
          <w:szCs w:val="24"/>
        </w:rPr>
        <w:t>ccurately reflect the defendant’</w:t>
      </w:r>
      <w:r w:rsidR="001F119F" w:rsidRPr="007405F5">
        <w:rPr>
          <w:rFonts w:ascii="Times New Roman" w:hAnsi="Times New Roman" w:cs="Times New Roman"/>
          <w:sz w:val="24"/>
          <w:szCs w:val="24"/>
        </w:rPr>
        <w:t>s reputation in the community</w:t>
      </w:r>
      <w:r w:rsidR="008A3328" w:rsidRPr="007405F5">
        <w:rPr>
          <w:rFonts w:ascii="Times New Roman" w:hAnsi="Times New Roman" w:cs="Times New Roman"/>
          <w:sz w:val="24"/>
          <w:szCs w:val="24"/>
        </w:rPr>
        <w:t xml:space="preserve">. </w:t>
      </w:r>
      <w:r w:rsidR="001F119F" w:rsidRPr="007405F5">
        <w:rPr>
          <w:rFonts w:ascii="Times New Roman" w:hAnsi="Times New Roman" w:cs="Times New Roman"/>
          <w:sz w:val="24"/>
          <w:szCs w:val="24"/>
        </w:rPr>
        <w:t>And the prosecutor must act in good faith; there must be some basis for his questi</w:t>
      </w:r>
      <w:r w:rsidR="002A22DA" w:rsidRPr="007405F5">
        <w:rPr>
          <w:rFonts w:ascii="Times New Roman" w:hAnsi="Times New Roman" w:cs="Times New Roman"/>
          <w:sz w:val="24"/>
          <w:szCs w:val="24"/>
        </w:rPr>
        <w:t>ons”</w:t>
      </w:r>
      <w:r w:rsidR="001F119F" w:rsidRPr="007405F5">
        <w:rPr>
          <w:rFonts w:ascii="Times New Roman" w:hAnsi="Times New Roman" w:cs="Times New Roman"/>
          <w:sz w:val="24"/>
          <w:szCs w:val="24"/>
        </w:rPr>
        <w:t xml:space="preserve"> (</w:t>
      </w:r>
      <w:r w:rsidR="001F119F" w:rsidRPr="007405F5">
        <w:rPr>
          <w:rFonts w:ascii="Times New Roman" w:hAnsi="Times New Roman" w:cs="Times New Roman"/>
          <w:i/>
          <w:iCs/>
          <w:sz w:val="24"/>
          <w:szCs w:val="24"/>
        </w:rPr>
        <w:t>Kuss</w:t>
      </w:r>
      <w:r w:rsidR="001F119F" w:rsidRPr="007405F5">
        <w:rPr>
          <w:rFonts w:ascii="Times New Roman" w:hAnsi="Times New Roman" w:cs="Times New Roman"/>
          <w:sz w:val="24"/>
          <w:szCs w:val="24"/>
        </w:rPr>
        <w:t>, 32 NY2d at 443)</w:t>
      </w:r>
      <w:r w:rsidR="00D81BC9" w:rsidRPr="007405F5">
        <w:rPr>
          <w:rFonts w:ascii="Times New Roman" w:hAnsi="Times New Roman" w:cs="Times New Roman"/>
          <w:sz w:val="24"/>
          <w:szCs w:val="24"/>
        </w:rPr>
        <w:t>.</w:t>
      </w:r>
    </w:p>
    <w:p w14:paraId="0BD9BE98" w14:textId="77777777" w:rsidR="001F119F" w:rsidRPr="007405F5" w:rsidRDefault="001F119F" w:rsidP="00740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rFonts w:ascii="Times New Roman" w:hAnsi="Times New Roman" w:cs="Times New Roman"/>
          <w:sz w:val="24"/>
          <w:szCs w:val="24"/>
        </w:rPr>
      </w:pPr>
    </w:p>
    <w:p w14:paraId="3B7194DA" w14:textId="22461379" w:rsidR="001F119F" w:rsidRPr="007405F5" w:rsidRDefault="001F119F" w:rsidP="00740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rFonts w:ascii="Times New Roman" w:hAnsi="Times New Roman" w:cs="Times New Roman"/>
          <w:sz w:val="24"/>
          <w:szCs w:val="24"/>
        </w:rPr>
      </w:pPr>
      <w:r w:rsidRPr="007405F5">
        <w:rPr>
          <w:rFonts w:ascii="Times New Roman" w:hAnsi="Times New Roman" w:cs="Times New Roman"/>
          <w:sz w:val="24"/>
          <w:szCs w:val="24"/>
        </w:rPr>
        <w:lastRenderedPageBreak/>
        <w:tab/>
        <w:t>And, if the witness is solely a character witness, he or she may not be questioned about the crimes or underlying conduct of the crimes of which the defendant is accused</w:t>
      </w:r>
      <w:r w:rsidR="00011930" w:rsidRPr="007405F5">
        <w:rPr>
          <w:rFonts w:ascii="Times New Roman" w:hAnsi="Times New Roman" w:cs="Times New Roman"/>
          <w:sz w:val="24"/>
          <w:szCs w:val="24"/>
        </w:rPr>
        <w:t xml:space="preserve"> </w:t>
      </w:r>
      <w:r w:rsidRPr="007405F5">
        <w:rPr>
          <w:rFonts w:ascii="Times New Roman" w:hAnsi="Times New Roman" w:cs="Times New Roman"/>
          <w:sz w:val="24"/>
          <w:szCs w:val="24"/>
        </w:rPr>
        <w:t>(</w:t>
      </w:r>
      <w:r w:rsidRPr="007405F5">
        <w:rPr>
          <w:rFonts w:ascii="Times New Roman" w:hAnsi="Times New Roman" w:cs="Times New Roman"/>
          <w:i/>
          <w:iCs/>
          <w:sz w:val="24"/>
          <w:szCs w:val="24"/>
        </w:rPr>
        <w:t>People v Lopez</w:t>
      </w:r>
      <w:r w:rsidRPr="007405F5">
        <w:rPr>
          <w:rFonts w:ascii="Times New Roman" w:hAnsi="Times New Roman" w:cs="Times New Roman"/>
          <w:sz w:val="24"/>
          <w:szCs w:val="24"/>
        </w:rPr>
        <w:t xml:space="preserve">, 67 AD2d 624, 624 [1st Dept 1979] [“The district attorney also </w:t>
      </w:r>
      <w:r w:rsidR="002A22DA" w:rsidRPr="007405F5">
        <w:rPr>
          <w:rFonts w:ascii="Times New Roman" w:hAnsi="Times New Roman" w:cs="Times New Roman"/>
          <w:sz w:val="24"/>
          <w:szCs w:val="24"/>
        </w:rPr>
        <w:t>should not have asked defendant’</w:t>
      </w:r>
      <w:r w:rsidRPr="007405F5">
        <w:rPr>
          <w:rFonts w:ascii="Times New Roman" w:hAnsi="Times New Roman" w:cs="Times New Roman"/>
          <w:sz w:val="24"/>
          <w:szCs w:val="24"/>
        </w:rPr>
        <w:t xml:space="preserve">s character witness whether he would </w:t>
      </w:r>
      <w:r w:rsidR="002A22DA" w:rsidRPr="007405F5">
        <w:rPr>
          <w:rFonts w:ascii="Times New Roman" w:hAnsi="Times New Roman" w:cs="Times New Roman"/>
          <w:sz w:val="24"/>
          <w:szCs w:val="24"/>
        </w:rPr>
        <w:t>change his opinion of defendant’</w:t>
      </w:r>
      <w:r w:rsidRPr="007405F5">
        <w:rPr>
          <w:rFonts w:ascii="Times New Roman" w:hAnsi="Times New Roman" w:cs="Times New Roman"/>
          <w:sz w:val="24"/>
          <w:szCs w:val="24"/>
        </w:rPr>
        <w:t>s character if he heard that defendant had committed a cold-blooded murder, obviously referring to the case on trial</w:t>
      </w:r>
      <w:r w:rsidR="00FE1A28" w:rsidRPr="007405F5">
        <w:rPr>
          <w:rFonts w:ascii="Times New Roman" w:hAnsi="Times New Roman" w:cs="Times New Roman"/>
          <w:sz w:val="24"/>
          <w:szCs w:val="24"/>
        </w:rPr>
        <w:t xml:space="preserve">.  </w:t>
      </w:r>
      <w:r w:rsidRPr="007405F5">
        <w:rPr>
          <w:rFonts w:ascii="Times New Roman" w:hAnsi="Times New Roman" w:cs="Times New Roman"/>
          <w:sz w:val="24"/>
          <w:szCs w:val="24"/>
        </w:rPr>
        <w:t xml:space="preserve">The question improperly assumed that the defendant was guilty of the crime with which he was charged, the very issue toward the determination of which the character evidence was offered”]; </w:t>
      </w:r>
      <w:r w:rsidRPr="007405F5">
        <w:rPr>
          <w:rFonts w:ascii="Times New Roman" w:hAnsi="Times New Roman" w:cs="Times New Roman"/>
          <w:i/>
          <w:iCs/>
          <w:sz w:val="24"/>
          <w:szCs w:val="24"/>
        </w:rPr>
        <w:t>People v Lowery</w:t>
      </w:r>
      <w:r w:rsidRPr="007405F5">
        <w:rPr>
          <w:rFonts w:ascii="Times New Roman" w:hAnsi="Times New Roman" w:cs="Times New Roman"/>
          <w:sz w:val="24"/>
          <w:szCs w:val="24"/>
        </w:rPr>
        <w:t>, 2</w:t>
      </w:r>
      <w:r w:rsidR="00E8598C" w:rsidRPr="007405F5">
        <w:rPr>
          <w:rFonts w:ascii="Times New Roman" w:hAnsi="Times New Roman" w:cs="Times New Roman"/>
          <w:sz w:val="24"/>
          <w:szCs w:val="24"/>
        </w:rPr>
        <w:t>14 AD2d 684, 685 [2d Dept 1995]</w:t>
      </w:r>
      <w:r w:rsidRPr="007405F5">
        <w:rPr>
          <w:rFonts w:ascii="Times New Roman" w:hAnsi="Times New Roman" w:cs="Times New Roman"/>
          <w:sz w:val="24"/>
          <w:szCs w:val="24"/>
        </w:rPr>
        <w:t xml:space="preserve">, </w:t>
      </w:r>
      <w:r w:rsidRPr="007405F5">
        <w:rPr>
          <w:rFonts w:ascii="Times New Roman" w:hAnsi="Times New Roman" w:cs="Times New Roman"/>
          <w:i/>
          <w:iCs/>
          <w:sz w:val="24"/>
          <w:szCs w:val="24"/>
        </w:rPr>
        <w:t>mod on other grounds</w:t>
      </w:r>
      <w:r w:rsidRPr="007405F5">
        <w:rPr>
          <w:rFonts w:ascii="Times New Roman" w:hAnsi="Times New Roman" w:cs="Times New Roman"/>
          <w:sz w:val="24"/>
          <w:szCs w:val="24"/>
        </w:rPr>
        <w:t xml:space="preserve"> 88 NY2d 172 [1996] [“We agree with th</w:t>
      </w:r>
      <w:r w:rsidR="002A22DA" w:rsidRPr="007405F5">
        <w:rPr>
          <w:rFonts w:ascii="Times New Roman" w:hAnsi="Times New Roman" w:cs="Times New Roman"/>
          <w:sz w:val="24"/>
          <w:szCs w:val="24"/>
        </w:rPr>
        <w:t>e defendant that the prosecutor’</w:t>
      </w:r>
      <w:r w:rsidRPr="007405F5">
        <w:rPr>
          <w:rFonts w:ascii="Times New Roman" w:hAnsi="Times New Roman" w:cs="Times New Roman"/>
          <w:sz w:val="24"/>
          <w:szCs w:val="24"/>
        </w:rPr>
        <w:t>s cross-examination of a defense character witness exceeded the bounds of propriety insofar as the prosecutor utilized hypothetical questi</w:t>
      </w:r>
      <w:r w:rsidR="002A22DA" w:rsidRPr="007405F5">
        <w:rPr>
          <w:rFonts w:ascii="Times New Roman" w:hAnsi="Times New Roman" w:cs="Times New Roman"/>
          <w:sz w:val="24"/>
          <w:szCs w:val="24"/>
        </w:rPr>
        <w:t>ons which assumed the defendant’</w:t>
      </w:r>
      <w:r w:rsidRPr="007405F5">
        <w:rPr>
          <w:rFonts w:ascii="Times New Roman" w:hAnsi="Times New Roman" w:cs="Times New Roman"/>
          <w:sz w:val="24"/>
          <w:szCs w:val="24"/>
        </w:rPr>
        <w:t xml:space="preserve">s guilt of the crimes for which he was on trial”]; </w:t>
      </w:r>
      <w:r w:rsidRPr="007405F5">
        <w:rPr>
          <w:rFonts w:ascii="Times New Roman" w:hAnsi="Times New Roman" w:cs="Times New Roman"/>
          <w:i/>
          <w:iCs/>
          <w:sz w:val="24"/>
          <w:szCs w:val="24"/>
        </w:rPr>
        <w:t>People v Gandy</w:t>
      </w:r>
      <w:r w:rsidRPr="007405F5">
        <w:rPr>
          <w:rFonts w:ascii="Times New Roman" w:hAnsi="Times New Roman" w:cs="Times New Roman"/>
          <w:sz w:val="24"/>
          <w:szCs w:val="24"/>
        </w:rPr>
        <w:t>, 152 AD2d 909</w:t>
      </w:r>
      <w:r w:rsidR="00F3021D" w:rsidRPr="007405F5">
        <w:rPr>
          <w:rFonts w:ascii="Times New Roman" w:hAnsi="Times New Roman" w:cs="Times New Roman"/>
          <w:sz w:val="24"/>
          <w:szCs w:val="24"/>
        </w:rPr>
        <w:t>, 909</w:t>
      </w:r>
      <w:r w:rsidRPr="007405F5">
        <w:rPr>
          <w:rFonts w:ascii="Times New Roman" w:hAnsi="Times New Roman" w:cs="Times New Roman"/>
          <w:sz w:val="24"/>
          <w:szCs w:val="24"/>
        </w:rPr>
        <w:t xml:space="preserve"> [4th Dept 1989] [“The court erred in permitting the Pe</w:t>
      </w:r>
      <w:r w:rsidR="002A22DA" w:rsidRPr="007405F5">
        <w:rPr>
          <w:rFonts w:ascii="Times New Roman" w:hAnsi="Times New Roman" w:cs="Times New Roman"/>
          <w:sz w:val="24"/>
          <w:szCs w:val="24"/>
        </w:rPr>
        <w:t>ople to cross-examine defendant’</w:t>
      </w:r>
      <w:r w:rsidRPr="007405F5">
        <w:rPr>
          <w:rFonts w:ascii="Times New Roman" w:hAnsi="Times New Roman" w:cs="Times New Roman"/>
          <w:sz w:val="24"/>
          <w:szCs w:val="24"/>
        </w:rPr>
        <w:t>s character witnesses concerning whet</w:t>
      </w:r>
      <w:r w:rsidR="002A22DA" w:rsidRPr="007405F5">
        <w:rPr>
          <w:rFonts w:ascii="Times New Roman" w:hAnsi="Times New Roman" w:cs="Times New Roman"/>
          <w:sz w:val="24"/>
          <w:szCs w:val="24"/>
        </w:rPr>
        <w:t>her their opinions of defendant’</w:t>
      </w:r>
      <w:r w:rsidRPr="007405F5">
        <w:rPr>
          <w:rFonts w:ascii="Times New Roman" w:hAnsi="Times New Roman" w:cs="Times New Roman"/>
          <w:sz w:val="24"/>
          <w:szCs w:val="24"/>
        </w:rPr>
        <w:t>s reputation would change if they knew that defendant had co</w:t>
      </w:r>
      <w:r w:rsidR="00865E39" w:rsidRPr="007405F5">
        <w:rPr>
          <w:rFonts w:ascii="Times New Roman" w:hAnsi="Times New Roman" w:cs="Times New Roman"/>
          <w:sz w:val="24"/>
          <w:szCs w:val="24"/>
        </w:rPr>
        <w:t>mmitted the crimes at issue”])</w:t>
      </w:r>
      <w:r w:rsidR="00D81BC9" w:rsidRPr="007405F5">
        <w:rPr>
          <w:rFonts w:ascii="Times New Roman" w:hAnsi="Times New Roman" w:cs="Times New Roman"/>
          <w:sz w:val="24"/>
          <w:szCs w:val="24"/>
        </w:rPr>
        <w:t>.</w:t>
      </w:r>
    </w:p>
    <w:sectPr w:rsidR="001F119F" w:rsidRPr="007405F5" w:rsidSect="001B4991">
      <w:footerReference w:type="default" r:id="rId8"/>
      <w:endnotePr>
        <w:numFmt w:val="decimal"/>
      </w:endnotePr>
      <w:type w:val="continuous"/>
      <w:pgSz w:w="12240" w:h="15840"/>
      <w:pgMar w:top="1440" w:right="2160" w:bottom="1440" w:left="2160" w:header="14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4925E" w14:textId="77777777" w:rsidR="00A962A9" w:rsidRDefault="00A962A9">
      <w:r>
        <w:separator/>
      </w:r>
    </w:p>
  </w:endnote>
  <w:endnote w:type="continuationSeparator" w:id="0">
    <w:p w14:paraId="5FC412CB" w14:textId="77777777" w:rsidR="00A962A9" w:rsidRDefault="00A962A9">
      <w:r>
        <w:continuationSeparator/>
      </w:r>
    </w:p>
  </w:endnote>
  <w:endnote w:type="continuationNotice" w:id="1">
    <w:p w14:paraId="46A31BAC" w14:textId="77777777" w:rsidR="00A962A9" w:rsidRDefault="00A962A9"/>
  </w:endnote>
  <w:endnote w:id="2">
    <w:p w14:paraId="45FBAED8" w14:textId="09FB5298" w:rsidR="00BA4EEB" w:rsidRPr="002A03F4" w:rsidRDefault="00BA4EEB">
      <w:pPr>
        <w:pStyle w:val="EndnoteText"/>
      </w:pPr>
      <w:r w:rsidRPr="002A03F4">
        <w:rPr>
          <w:rStyle w:val="EndnoteReference"/>
        </w:rPr>
        <w:endnoteRef/>
      </w:r>
      <w:r w:rsidRPr="002A03F4">
        <w:t xml:space="preserve"> In December 2022, </w:t>
      </w:r>
      <w:r w:rsidR="005C3864" w:rsidRPr="002A03F4">
        <w:t>subparagraphs (iii) and (iv) of subdivision (1)</w:t>
      </w:r>
      <w:r w:rsidR="00847A24" w:rsidRPr="002A03F4">
        <w:t xml:space="preserve"> </w:t>
      </w:r>
      <w:r w:rsidR="005C3864" w:rsidRPr="002A03F4">
        <w:t>(</w:t>
      </w:r>
      <w:r w:rsidR="00847A24" w:rsidRPr="002A03F4">
        <w:t>c</w:t>
      </w:r>
      <w:r w:rsidR="005C3864" w:rsidRPr="002A03F4">
        <w:t>) were added</w:t>
      </w:r>
      <w:r w:rsidR="00991949" w:rsidRPr="002A03F4">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978037"/>
      <w:docPartObj>
        <w:docPartGallery w:val="Page Numbers (Bottom of Page)"/>
        <w:docPartUnique/>
      </w:docPartObj>
    </w:sdtPr>
    <w:sdtEndPr>
      <w:rPr>
        <w:noProof/>
      </w:rPr>
    </w:sdtEndPr>
    <w:sdtContent>
      <w:p w14:paraId="398245D0" w14:textId="4FBB59FD" w:rsidR="001B4991" w:rsidRDefault="001B49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25D9E" w14:textId="77777777" w:rsidR="00A962A9" w:rsidRDefault="00A962A9">
      <w:r>
        <w:separator/>
      </w:r>
    </w:p>
  </w:footnote>
  <w:footnote w:type="continuationSeparator" w:id="0">
    <w:p w14:paraId="50B3EDFB" w14:textId="77777777" w:rsidR="00A962A9" w:rsidRDefault="00A962A9">
      <w:r>
        <w:continuationSeparator/>
      </w:r>
    </w:p>
  </w:footnote>
  <w:footnote w:type="continuationNotice" w:id="1">
    <w:p w14:paraId="7EE3B804" w14:textId="77777777" w:rsidR="00A962A9" w:rsidRDefault="00A962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35057"/>
    <w:multiLevelType w:val="multilevel"/>
    <w:tmpl w:val="9228A7B0"/>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 w15:restartNumberingAfterBreak="0">
    <w:nsid w:val="4CA943EB"/>
    <w:multiLevelType w:val="multilevel"/>
    <w:tmpl w:val="9228A7B0"/>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 w15:restartNumberingAfterBreak="0">
    <w:nsid w:val="653D31B9"/>
    <w:multiLevelType w:val="multilevel"/>
    <w:tmpl w:val="9228A7B0"/>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 w15:restartNumberingAfterBreak="0">
    <w:nsid w:val="7E764FA0"/>
    <w:multiLevelType w:val="hybridMultilevel"/>
    <w:tmpl w:val="7728A104"/>
    <w:lvl w:ilvl="0" w:tplc="829639B0">
      <w:start w:val="1"/>
      <w:numFmt w:val="lowerRoman"/>
      <w:lvlText w:val="(%1)"/>
      <w:lvlJc w:val="left"/>
      <w:pPr>
        <w:ind w:left="216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314187381">
    <w:abstractNumId w:val="1"/>
  </w:num>
  <w:num w:numId="2" w16cid:durableId="708189151">
    <w:abstractNumId w:val="2"/>
  </w:num>
  <w:num w:numId="3" w16cid:durableId="683215291">
    <w:abstractNumId w:val="0"/>
  </w:num>
  <w:num w:numId="4" w16cid:durableId="3767823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yNDc2MjA3MTEzNzFT0lEKTi0uzszPAykwrgUArBiHISwAAAA="/>
  </w:docVars>
  <w:rsids>
    <w:rsidRoot w:val="00F50729"/>
    <w:rsid w:val="000061DB"/>
    <w:rsid w:val="00006E9D"/>
    <w:rsid w:val="00011930"/>
    <w:rsid w:val="00014436"/>
    <w:rsid w:val="00022032"/>
    <w:rsid w:val="0002484E"/>
    <w:rsid w:val="000506EB"/>
    <w:rsid w:val="000735C6"/>
    <w:rsid w:val="00073E03"/>
    <w:rsid w:val="00080DB2"/>
    <w:rsid w:val="000927DC"/>
    <w:rsid w:val="000A39A8"/>
    <w:rsid w:val="000A6282"/>
    <w:rsid w:val="000B1678"/>
    <w:rsid w:val="000C74B6"/>
    <w:rsid w:val="00104F11"/>
    <w:rsid w:val="00137094"/>
    <w:rsid w:val="00143AF9"/>
    <w:rsid w:val="00146A1D"/>
    <w:rsid w:val="001556D7"/>
    <w:rsid w:val="00165EB0"/>
    <w:rsid w:val="0017351C"/>
    <w:rsid w:val="001A058D"/>
    <w:rsid w:val="001A3EDF"/>
    <w:rsid w:val="001B4991"/>
    <w:rsid w:val="001B5D74"/>
    <w:rsid w:val="001F119F"/>
    <w:rsid w:val="0020700D"/>
    <w:rsid w:val="002136A2"/>
    <w:rsid w:val="002335CE"/>
    <w:rsid w:val="00235C21"/>
    <w:rsid w:val="002802A2"/>
    <w:rsid w:val="0029118C"/>
    <w:rsid w:val="00292348"/>
    <w:rsid w:val="002A03F4"/>
    <w:rsid w:val="002A22DA"/>
    <w:rsid w:val="002C0388"/>
    <w:rsid w:val="002C30B0"/>
    <w:rsid w:val="002C504A"/>
    <w:rsid w:val="00300B1A"/>
    <w:rsid w:val="00335169"/>
    <w:rsid w:val="0034798C"/>
    <w:rsid w:val="0036640C"/>
    <w:rsid w:val="003724F9"/>
    <w:rsid w:val="003746EB"/>
    <w:rsid w:val="00385634"/>
    <w:rsid w:val="00385762"/>
    <w:rsid w:val="0038636B"/>
    <w:rsid w:val="003A0637"/>
    <w:rsid w:val="003C6067"/>
    <w:rsid w:val="003D434F"/>
    <w:rsid w:val="003D4E7E"/>
    <w:rsid w:val="003F19DC"/>
    <w:rsid w:val="0040350F"/>
    <w:rsid w:val="004044E2"/>
    <w:rsid w:val="00425244"/>
    <w:rsid w:val="00451553"/>
    <w:rsid w:val="00455076"/>
    <w:rsid w:val="00471EDD"/>
    <w:rsid w:val="00490155"/>
    <w:rsid w:val="004A6A23"/>
    <w:rsid w:val="004B6D09"/>
    <w:rsid w:val="004B734C"/>
    <w:rsid w:val="004C071E"/>
    <w:rsid w:val="004C3CAF"/>
    <w:rsid w:val="004D1C18"/>
    <w:rsid w:val="00501D88"/>
    <w:rsid w:val="005033D6"/>
    <w:rsid w:val="00513CB0"/>
    <w:rsid w:val="005361F8"/>
    <w:rsid w:val="00540D06"/>
    <w:rsid w:val="0055236C"/>
    <w:rsid w:val="00566407"/>
    <w:rsid w:val="005811CF"/>
    <w:rsid w:val="005960A3"/>
    <w:rsid w:val="005C3864"/>
    <w:rsid w:val="005C4EE0"/>
    <w:rsid w:val="005E2F6E"/>
    <w:rsid w:val="005E64C6"/>
    <w:rsid w:val="00601230"/>
    <w:rsid w:val="006057F3"/>
    <w:rsid w:val="006076FA"/>
    <w:rsid w:val="00634B45"/>
    <w:rsid w:val="006521F1"/>
    <w:rsid w:val="00665B6C"/>
    <w:rsid w:val="00677170"/>
    <w:rsid w:val="00677187"/>
    <w:rsid w:val="006849B6"/>
    <w:rsid w:val="006A2A0B"/>
    <w:rsid w:val="006A370F"/>
    <w:rsid w:val="006A5704"/>
    <w:rsid w:val="006B38CA"/>
    <w:rsid w:val="006E3BF2"/>
    <w:rsid w:val="006E68E3"/>
    <w:rsid w:val="00705AF8"/>
    <w:rsid w:val="00716890"/>
    <w:rsid w:val="00720178"/>
    <w:rsid w:val="00725A79"/>
    <w:rsid w:val="007405F5"/>
    <w:rsid w:val="00756017"/>
    <w:rsid w:val="0075793B"/>
    <w:rsid w:val="00763E29"/>
    <w:rsid w:val="007717AD"/>
    <w:rsid w:val="00775B66"/>
    <w:rsid w:val="0078394D"/>
    <w:rsid w:val="00787872"/>
    <w:rsid w:val="00794BD7"/>
    <w:rsid w:val="007B391E"/>
    <w:rsid w:val="007B6C70"/>
    <w:rsid w:val="007C3BE0"/>
    <w:rsid w:val="007D5A61"/>
    <w:rsid w:val="007D647B"/>
    <w:rsid w:val="0080758B"/>
    <w:rsid w:val="00842B0E"/>
    <w:rsid w:val="0084413F"/>
    <w:rsid w:val="00847A24"/>
    <w:rsid w:val="00860257"/>
    <w:rsid w:val="00865E39"/>
    <w:rsid w:val="0087412E"/>
    <w:rsid w:val="008801E1"/>
    <w:rsid w:val="008844E0"/>
    <w:rsid w:val="00895EA4"/>
    <w:rsid w:val="00897F5E"/>
    <w:rsid w:val="008A3328"/>
    <w:rsid w:val="008C5FED"/>
    <w:rsid w:val="008C7C02"/>
    <w:rsid w:val="008E2DBC"/>
    <w:rsid w:val="008F6CF9"/>
    <w:rsid w:val="00921091"/>
    <w:rsid w:val="00953076"/>
    <w:rsid w:val="009566BA"/>
    <w:rsid w:val="0097211D"/>
    <w:rsid w:val="009748E0"/>
    <w:rsid w:val="00991949"/>
    <w:rsid w:val="0099393D"/>
    <w:rsid w:val="009C50D4"/>
    <w:rsid w:val="009D4C28"/>
    <w:rsid w:val="009E7924"/>
    <w:rsid w:val="00A031ED"/>
    <w:rsid w:val="00A04117"/>
    <w:rsid w:val="00A0614C"/>
    <w:rsid w:val="00A559F3"/>
    <w:rsid w:val="00A7300E"/>
    <w:rsid w:val="00A81422"/>
    <w:rsid w:val="00A870C1"/>
    <w:rsid w:val="00A962A9"/>
    <w:rsid w:val="00AA113B"/>
    <w:rsid w:val="00AC22C3"/>
    <w:rsid w:val="00AC75E6"/>
    <w:rsid w:val="00AF0F31"/>
    <w:rsid w:val="00AF1B79"/>
    <w:rsid w:val="00AF3D64"/>
    <w:rsid w:val="00B02F8C"/>
    <w:rsid w:val="00B26F72"/>
    <w:rsid w:val="00B31FB8"/>
    <w:rsid w:val="00B52EDA"/>
    <w:rsid w:val="00B552E0"/>
    <w:rsid w:val="00B76B20"/>
    <w:rsid w:val="00B8717E"/>
    <w:rsid w:val="00BA4EEB"/>
    <w:rsid w:val="00BC0D6A"/>
    <w:rsid w:val="00BD0345"/>
    <w:rsid w:val="00BD3926"/>
    <w:rsid w:val="00C13300"/>
    <w:rsid w:val="00C320DD"/>
    <w:rsid w:val="00C32F7B"/>
    <w:rsid w:val="00C4725D"/>
    <w:rsid w:val="00C6157C"/>
    <w:rsid w:val="00C63681"/>
    <w:rsid w:val="00C651A1"/>
    <w:rsid w:val="00C7618D"/>
    <w:rsid w:val="00C8027B"/>
    <w:rsid w:val="00C82165"/>
    <w:rsid w:val="00CB44D2"/>
    <w:rsid w:val="00CB5156"/>
    <w:rsid w:val="00CB7DE0"/>
    <w:rsid w:val="00CD0ED5"/>
    <w:rsid w:val="00CD0FE4"/>
    <w:rsid w:val="00CE19D3"/>
    <w:rsid w:val="00CE4D08"/>
    <w:rsid w:val="00CE7681"/>
    <w:rsid w:val="00D16158"/>
    <w:rsid w:val="00D26C0A"/>
    <w:rsid w:val="00D36727"/>
    <w:rsid w:val="00D52CF1"/>
    <w:rsid w:val="00D53CD1"/>
    <w:rsid w:val="00D641EF"/>
    <w:rsid w:val="00D72D31"/>
    <w:rsid w:val="00D77965"/>
    <w:rsid w:val="00D81BC9"/>
    <w:rsid w:val="00DD6E5C"/>
    <w:rsid w:val="00E3541E"/>
    <w:rsid w:val="00E41831"/>
    <w:rsid w:val="00E53801"/>
    <w:rsid w:val="00E8598C"/>
    <w:rsid w:val="00E87789"/>
    <w:rsid w:val="00EB2059"/>
    <w:rsid w:val="00EB2FD3"/>
    <w:rsid w:val="00EC5A5E"/>
    <w:rsid w:val="00ED16FB"/>
    <w:rsid w:val="00EF7771"/>
    <w:rsid w:val="00F10B14"/>
    <w:rsid w:val="00F3021D"/>
    <w:rsid w:val="00F50729"/>
    <w:rsid w:val="00F63815"/>
    <w:rsid w:val="00F81B4F"/>
    <w:rsid w:val="00F8703C"/>
    <w:rsid w:val="00F95074"/>
    <w:rsid w:val="00F957EE"/>
    <w:rsid w:val="00FB5001"/>
    <w:rsid w:val="00FD02DD"/>
    <w:rsid w:val="00FE1A28"/>
    <w:rsid w:val="00FF1BA3"/>
    <w:rsid w:val="00FF2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6CA5D8"/>
  <w14:defaultImageDpi w14:val="0"/>
  <w15:docId w15:val="{0CDCE0C6-63E7-4B61-8B5B-C059107A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1-1">
    <w:name w:val="L11-1"/>
    <w:uiPriority w:val="99"/>
    <w:pPr>
      <w:widowControl w:val="0"/>
      <w:autoSpaceDE w:val="0"/>
      <w:autoSpaceDN w:val="0"/>
      <w:adjustRightInd w:val="0"/>
      <w:spacing w:after="0" w:line="240" w:lineRule="auto"/>
      <w:ind w:left="2078" w:hanging="494"/>
      <w:jc w:val="both"/>
    </w:pPr>
    <w:rPr>
      <w:rFonts w:ascii="Times New Roman" w:hAnsi="Times New Roman"/>
      <w:sz w:val="24"/>
      <w:szCs w:val="24"/>
    </w:rPr>
  </w:style>
  <w:style w:type="paragraph" w:customStyle="1" w:styleId="L11-2">
    <w:name w:val="L11-2"/>
    <w:uiPriority w:val="99"/>
    <w:pPr>
      <w:widowControl w:val="0"/>
      <w:autoSpaceDE w:val="0"/>
      <w:autoSpaceDN w:val="0"/>
      <w:adjustRightInd w:val="0"/>
      <w:spacing w:after="0" w:line="240" w:lineRule="auto"/>
      <w:ind w:left="2664" w:hanging="360"/>
      <w:jc w:val="both"/>
    </w:pPr>
    <w:rPr>
      <w:rFonts w:ascii="Times New Roman" w:hAnsi="Times New Roman"/>
      <w:sz w:val="24"/>
      <w:szCs w:val="24"/>
    </w:rPr>
  </w:style>
  <w:style w:type="paragraph" w:customStyle="1" w:styleId="L11-3">
    <w:name w:val="L11-3"/>
    <w:uiPriority w:val="99"/>
    <w:pPr>
      <w:widowControl w:val="0"/>
      <w:autoSpaceDE w:val="0"/>
      <w:autoSpaceDN w:val="0"/>
      <w:adjustRightInd w:val="0"/>
      <w:spacing w:after="0" w:line="240" w:lineRule="auto"/>
      <w:ind w:left="3384" w:hanging="180"/>
      <w:jc w:val="both"/>
    </w:pPr>
    <w:rPr>
      <w:rFonts w:ascii="Times New Roman" w:hAnsi="Times New Roman"/>
      <w:sz w:val="24"/>
      <w:szCs w:val="24"/>
    </w:rPr>
  </w:style>
  <w:style w:type="paragraph" w:customStyle="1" w:styleId="L11-4">
    <w:name w:val="L11-4"/>
    <w:uiPriority w:val="99"/>
    <w:pPr>
      <w:widowControl w:val="0"/>
      <w:autoSpaceDE w:val="0"/>
      <w:autoSpaceDN w:val="0"/>
      <w:adjustRightInd w:val="0"/>
      <w:spacing w:after="0" w:line="240" w:lineRule="auto"/>
      <w:ind w:left="4104" w:hanging="360"/>
      <w:jc w:val="both"/>
    </w:pPr>
    <w:rPr>
      <w:rFonts w:ascii="Times New Roman" w:hAnsi="Times New Roman"/>
      <w:sz w:val="24"/>
      <w:szCs w:val="24"/>
    </w:rPr>
  </w:style>
  <w:style w:type="paragraph" w:customStyle="1" w:styleId="L11-5">
    <w:name w:val="L11-5"/>
    <w:uiPriority w:val="99"/>
    <w:pPr>
      <w:widowControl w:val="0"/>
      <w:autoSpaceDE w:val="0"/>
      <w:autoSpaceDN w:val="0"/>
      <w:adjustRightInd w:val="0"/>
      <w:spacing w:after="0" w:line="240" w:lineRule="auto"/>
      <w:ind w:left="4824" w:hanging="360"/>
      <w:jc w:val="both"/>
    </w:pPr>
    <w:rPr>
      <w:rFonts w:ascii="Times New Roman" w:hAnsi="Times New Roman"/>
      <w:sz w:val="24"/>
      <w:szCs w:val="24"/>
    </w:rPr>
  </w:style>
  <w:style w:type="paragraph" w:customStyle="1" w:styleId="L11-6">
    <w:name w:val="L11-6"/>
    <w:uiPriority w:val="99"/>
    <w:pPr>
      <w:widowControl w:val="0"/>
      <w:autoSpaceDE w:val="0"/>
      <w:autoSpaceDN w:val="0"/>
      <w:adjustRightInd w:val="0"/>
      <w:spacing w:after="0" w:line="240" w:lineRule="auto"/>
      <w:ind w:left="5544" w:hanging="180"/>
      <w:jc w:val="both"/>
    </w:pPr>
    <w:rPr>
      <w:rFonts w:ascii="Times New Roman" w:hAnsi="Times New Roman"/>
      <w:sz w:val="24"/>
      <w:szCs w:val="24"/>
    </w:rPr>
  </w:style>
  <w:style w:type="paragraph" w:customStyle="1" w:styleId="L11-7">
    <w:name w:val="L11-7"/>
    <w:uiPriority w:val="99"/>
    <w:pPr>
      <w:widowControl w:val="0"/>
      <w:autoSpaceDE w:val="0"/>
      <w:autoSpaceDN w:val="0"/>
      <w:adjustRightInd w:val="0"/>
      <w:spacing w:after="0" w:line="240" w:lineRule="auto"/>
      <w:ind w:left="6264" w:hanging="360"/>
      <w:jc w:val="both"/>
    </w:pPr>
    <w:rPr>
      <w:rFonts w:ascii="Times New Roman" w:hAnsi="Times New Roman"/>
      <w:sz w:val="24"/>
      <w:szCs w:val="24"/>
    </w:rPr>
  </w:style>
  <w:style w:type="paragraph" w:customStyle="1" w:styleId="L11-8">
    <w:name w:val="L11-8"/>
    <w:uiPriority w:val="99"/>
    <w:pPr>
      <w:widowControl w:val="0"/>
      <w:autoSpaceDE w:val="0"/>
      <w:autoSpaceDN w:val="0"/>
      <w:adjustRightInd w:val="0"/>
      <w:spacing w:after="0" w:line="240" w:lineRule="auto"/>
      <w:ind w:left="6984" w:hanging="3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L8-1">
    <w:name w:val="L8-1"/>
    <w:uiPriority w:val="99"/>
    <w:pPr>
      <w:widowControl w:val="0"/>
      <w:autoSpaceDE w:val="0"/>
      <w:autoSpaceDN w:val="0"/>
      <w:adjustRightInd w:val="0"/>
      <w:spacing w:after="0" w:line="240" w:lineRule="auto"/>
      <w:ind w:left="1944" w:hanging="360"/>
      <w:jc w:val="both"/>
    </w:pPr>
    <w:rPr>
      <w:rFonts w:ascii="Times New Roman" w:hAnsi="Times New Roman"/>
      <w:sz w:val="24"/>
      <w:szCs w:val="24"/>
    </w:rPr>
  </w:style>
  <w:style w:type="paragraph" w:customStyle="1" w:styleId="L8-2">
    <w:name w:val="L8-2"/>
    <w:uiPriority w:val="99"/>
    <w:pPr>
      <w:widowControl w:val="0"/>
      <w:autoSpaceDE w:val="0"/>
      <w:autoSpaceDN w:val="0"/>
      <w:adjustRightInd w:val="0"/>
      <w:spacing w:after="0" w:line="240" w:lineRule="auto"/>
      <w:ind w:left="2664" w:hanging="360"/>
      <w:jc w:val="both"/>
    </w:pPr>
    <w:rPr>
      <w:rFonts w:ascii="Times New Roman" w:hAnsi="Times New Roman"/>
      <w:sz w:val="24"/>
      <w:szCs w:val="24"/>
    </w:rPr>
  </w:style>
  <w:style w:type="paragraph" w:customStyle="1" w:styleId="L8-3">
    <w:name w:val="L8-3"/>
    <w:uiPriority w:val="99"/>
    <w:pPr>
      <w:widowControl w:val="0"/>
      <w:autoSpaceDE w:val="0"/>
      <w:autoSpaceDN w:val="0"/>
      <w:adjustRightInd w:val="0"/>
      <w:spacing w:after="0" w:line="240" w:lineRule="auto"/>
      <w:ind w:left="3384" w:hanging="180"/>
      <w:jc w:val="both"/>
    </w:pPr>
    <w:rPr>
      <w:rFonts w:ascii="Times New Roman" w:hAnsi="Times New Roman"/>
      <w:sz w:val="24"/>
      <w:szCs w:val="24"/>
    </w:rPr>
  </w:style>
  <w:style w:type="paragraph" w:customStyle="1" w:styleId="L8-4">
    <w:name w:val="L8-4"/>
    <w:uiPriority w:val="99"/>
    <w:pPr>
      <w:widowControl w:val="0"/>
      <w:autoSpaceDE w:val="0"/>
      <w:autoSpaceDN w:val="0"/>
      <w:adjustRightInd w:val="0"/>
      <w:spacing w:after="0" w:line="240" w:lineRule="auto"/>
      <w:ind w:left="4104" w:hanging="360"/>
      <w:jc w:val="both"/>
    </w:pPr>
    <w:rPr>
      <w:rFonts w:ascii="Times New Roman" w:hAnsi="Times New Roman"/>
      <w:sz w:val="24"/>
      <w:szCs w:val="24"/>
    </w:rPr>
  </w:style>
  <w:style w:type="paragraph" w:customStyle="1" w:styleId="L8-5">
    <w:name w:val="L8-5"/>
    <w:uiPriority w:val="99"/>
    <w:pPr>
      <w:widowControl w:val="0"/>
      <w:autoSpaceDE w:val="0"/>
      <w:autoSpaceDN w:val="0"/>
      <w:adjustRightInd w:val="0"/>
      <w:spacing w:after="0" w:line="240" w:lineRule="auto"/>
      <w:ind w:left="4824" w:hanging="360"/>
      <w:jc w:val="both"/>
    </w:pPr>
    <w:rPr>
      <w:rFonts w:ascii="Times New Roman" w:hAnsi="Times New Roman"/>
      <w:sz w:val="24"/>
      <w:szCs w:val="24"/>
    </w:rPr>
  </w:style>
  <w:style w:type="paragraph" w:customStyle="1" w:styleId="L8-6">
    <w:name w:val="L8-6"/>
    <w:uiPriority w:val="99"/>
    <w:pPr>
      <w:widowControl w:val="0"/>
      <w:autoSpaceDE w:val="0"/>
      <w:autoSpaceDN w:val="0"/>
      <w:adjustRightInd w:val="0"/>
      <w:spacing w:after="0" w:line="240" w:lineRule="auto"/>
      <w:ind w:left="5544" w:hanging="180"/>
      <w:jc w:val="both"/>
    </w:pPr>
    <w:rPr>
      <w:rFonts w:ascii="Times New Roman" w:hAnsi="Times New Roman"/>
      <w:sz w:val="24"/>
      <w:szCs w:val="24"/>
    </w:rPr>
  </w:style>
  <w:style w:type="paragraph" w:customStyle="1" w:styleId="L8-7">
    <w:name w:val="L8-7"/>
    <w:uiPriority w:val="99"/>
    <w:pPr>
      <w:widowControl w:val="0"/>
      <w:autoSpaceDE w:val="0"/>
      <w:autoSpaceDN w:val="0"/>
      <w:adjustRightInd w:val="0"/>
      <w:spacing w:after="0" w:line="240" w:lineRule="auto"/>
      <w:ind w:left="6264" w:hanging="360"/>
      <w:jc w:val="both"/>
    </w:pPr>
    <w:rPr>
      <w:rFonts w:ascii="Times New Roman" w:hAnsi="Times New Roman"/>
      <w:sz w:val="24"/>
      <w:szCs w:val="24"/>
    </w:rPr>
  </w:style>
  <w:style w:type="paragraph" w:customStyle="1" w:styleId="L8-8">
    <w:name w:val="L8-8"/>
    <w:uiPriority w:val="99"/>
    <w:pPr>
      <w:widowControl w:val="0"/>
      <w:autoSpaceDE w:val="0"/>
      <w:autoSpaceDN w:val="0"/>
      <w:adjustRightInd w:val="0"/>
      <w:spacing w:after="0" w:line="240" w:lineRule="auto"/>
      <w:ind w:left="6984" w:hanging="360"/>
      <w:jc w:val="both"/>
    </w:pPr>
    <w:rPr>
      <w:rFonts w:ascii="Times New Roman" w:hAnsi="Times New Roman"/>
      <w:sz w:val="24"/>
      <w:szCs w:val="24"/>
    </w:rPr>
  </w:style>
  <w:style w:type="paragraph" w:customStyle="1" w:styleId="L10-1">
    <w:name w:val="L10-1"/>
    <w:uiPriority w:val="99"/>
    <w:pPr>
      <w:widowControl w:val="0"/>
      <w:autoSpaceDE w:val="0"/>
      <w:autoSpaceDN w:val="0"/>
      <w:adjustRightInd w:val="0"/>
      <w:spacing w:after="0" w:line="240" w:lineRule="auto"/>
      <w:ind w:left="1890" w:hanging="404"/>
      <w:jc w:val="both"/>
    </w:pPr>
    <w:rPr>
      <w:rFonts w:ascii="Times New Roman" w:hAnsi="Times New Roman"/>
      <w:sz w:val="24"/>
      <w:szCs w:val="24"/>
    </w:rPr>
  </w:style>
  <w:style w:type="paragraph" w:customStyle="1" w:styleId="L10-2">
    <w:name w:val="L10-2"/>
    <w:uiPriority w:val="99"/>
    <w:pPr>
      <w:widowControl w:val="0"/>
      <w:autoSpaceDE w:val="0"/>
      <w:autoSpaceDN w:val="0"/>
      <w:adjustRightInd w:val="0"/>
      <w:spacing w:after="0" w:line="240" w:lineRule="auto"/>
      <w:ind w:left="2564" w:hanging="360"/>
      <w:jc w:val="both"/>
    </w:pPr>
    <w:rPr>
      <w:rFonts w:ascii="Times New Roman" w:hAnsi="Times New Roman"/>
      <w:sz w:val="24"/>
      <w:szCs w:val="24"/>
    </w:rPr>
  </w:style>
  <w:style w:type="paragraph" w:customStyle="1" w:styleId="L10-3">
    <w:name w:val="L10-3"/>
    <w:uiPriority w:val="99"/>
    <w:pPr>
      <w:widowControl w:val="0"/>
      <w:autoSpaceDE w:val="0"/>
      <w:autoSpaceDN w:val="0"/>
      <w:adjustRightInd w:val="0"/>
      <w:spacing w:after="0" w:line="240" w:lineRule="auto"/>
      <w:ind w:left="3284" w:hanging="180"/>
      <w:jc w:val="both"/>
    </w:pPr>
    <w:rPr>
      <w:rFonts w:ascii="Times New Roman" w:hAnsi="Times New Roman"/>
      <w:sz w:val="24"/>
      <w:szCs w:val="24"/>
    </w:rPr>
  </w:style>
  <w:style w:type="paragraph" w:customStyle="1" w:styleId="L10-4">
    <w:name w:val="L10-4"/>
    <w:uiPriority w:val="99"/>
    <w:pPr>
      <w:widowControl w:val="0"/>
      <w:autoSpaceDE w:val="0"/>
      <w:autoSpaceDN w:val="0"/>
      <w:adjustRightInd w:val="0"/>
      <w:spacing w:after="0" w:line="240" w:lineRule="auto"/>
      <w:ind w:left="4004" w:hanging="360"/>
      <w:jc w:val="both"/>
    </w:pPr>
    <w:rPr>
      <w:rFonts w:ascii="Times New Roman" w:hAnsi="Times New Roman"/>
      <w:sz w:val="24"/>
      <w:szCs w:val="24"/>
    </w:rPr>
  </w:style>
  <w:style w:type="paragraph" w:customStyle="1" w:styleId="L10-5">
    <w:name w:val="L10-5"/>
    <w:uiPriority w:val="99"/>
    <w:pPr>
      <w:widowControl w:val="0"/>
      <w:autoSpaceDE w:val="0"/>
      <w:autoSpaceDN w:val="0"/>
      <w:adjustRightInd w:val="0"/>
      <w:spacing w:after="0" w:line="240" w:lineRule="auto"/>
      <w:ind w:left="4724" w:hanging="360"/>
      <w:jc w:val="both"/>
    </w:pPr>
    <w:rPr>
      <w:rFonts w:ascii="Times New Roman" w:hAnsi="Times New Roman"/>
      <w:sz w:val="24"/>
      <w:szCs w:val="24"/>
    </w:rPr>
  </w:style>
  <w:style w:type="paragraph" w:customStyle="1" w:styleId="L10-6">
    <w:name w:val="L10-6"/>
    <w:uiPriority w:val="99"/>
    <w:pPr>
      <w:widowControl w:val="0"/>
      <w:autoSpaceDE w:val="0"/>
      <w:autoSpaceDN w:val="0"/>
      <w:adjustRightInd w:val="0"/>
      <w:spacing w:after="0" w:line="240" w:lineRule="auto"/>
      <w:ind w:left="5444" w:hanging="180"/>
      <w:jc w:val="both"/>
    </w:pPr>
    <w:rPr>
      <w:rFonts w:ascii="Times New Roman" w:hAnsi="Times New Roman"/>
      <w:sz w:val="24"/>
      <w:szCs w:val="24"/>
    </w:rPr>
  </w:style>
  <w:style w:type="paragraph" w:customStyle="1" w:styleId="L10-7">
    <w:name w:val="L10-7"/>
    <w:uiPriority w:val="99"/>
    <w:pPr>
      <w:widowControl w:val="0"/>
      <w:autoSpaceDE w:val="0"/>
      <w:autoSpaceDN w:val="0"/>
      <w:adjustRightInd w:val="0"/>
      <w:spacing w:after="0" w:line="240" w:lineRule="auto"/>
      <w:ind w:left="6164" w:hanging="360"/>
      <w:jc w:val="both"/>
    </w:pPr>
    <w:rPr>
      <w:rFonts w:ascii="Times New Roman" w:hAnsi="Times New Roman"/>
      <w:sz w:val="24"/>
      <w:szCs w:val="24"/>
    </w:rPr>
  </w:style>
  <w:style w:type="paragraph" w:customStyle="1" w:styleId="L10-8">
    <w:name w:val="L10-8"/>
    <w:uiPriority w:val="99"/>
    <w:pPr>
      <w:widowControl w:val="0"/>
      <w:autoSpaceDE w:val="0"/>
      <w:autoSpaceDN w:val="0"/>
      <w:adjustRightInd w:val="0"/>
      <w:spacing w:after="0" w:line="240" w:lineRule="auto"/>
      <w:ind w:left="6884" w:hanging="360"/>
      <w:jc w:val="both"/>
    </w:pPr>
    <w:rPr>
      <w:rFonts w:ascii="Times New Roman" w:hAnsi="Times New Roman"/>
      <w:sz w:val="24"/>
      <w:szCs w:val="24"/>
    </w:rPr>
  </w:style>
  <w:style w:type="paragraph" w:styleId="NoSpacing">
    <w:name w:val="No Spacing"/>
    <w:uiPriority w:val="99"/>
    <w:qFormat/>
    <w:pPr>
      <w:widowControl w:val="0"/>
      <w:autoSpaceDE w:val="0"/>
      <w:autoSpaceDN w:val="0"/>
      <w:adjustRightInd w:val="0"/>
      <w:spacing w:after="0" w:line="240" w:lineRule="auto"/>
      <w:jc w:val="both"/>
    </w:pPr>
    <w:rPr>
      <w:rFonts w:ascii="Calibri" w:hAnsi="Calibri" w:cs="Calibri"/>
    </w:rPr>
  </w:style>
  <w:style w:type="paragraph" w:styleId="NormalWeb">
    <w:name w:val="Normal (Web)"/>
    <w:basedOn w:val="Normal"/>
    <w:uiPriority w:val="99"/>
    <w:pPr>
      <w:spacing w:before="99" w:after="99"/>
      <w:jc w:val="both"/>
    </w:pPr>
    <w:rPr>
      <w:sz w:val="24"/>
      <w:szCs w:val="24"/>
    </w:rPr>
  </w:style>
  <w:style w:type="paragraph" w:customStyle="1" w:styleId="L11-9">
    <w:name w:val="L11-9"/>
    <w:uiPriority w:val="99"/>
    <w:pPr>
      <w:widowControl w:val="0"/>
      <w:autoSpaceDE w:val="0"/>
      <w:autoSpaceDN w:val="0"/>
      <w:adjustRightInd w:val="0"/>
      <w:spacing w:after="0" w:line="240" w:lineRule="auto"/>
      <w:ind w:left="7704" w:hanging="180"/>
      <w:jc w:val="both"/>
    </w:pPr>
    <w:rPr>
      <w:rFonts w:ascii="Times New Roman" w:hAnsi="Times New Roman"/>
      <w:sz w:val="24"/>
      <w:szCs w:val="24"/>
    </w:rPr>
  </w:style>
  <w:style w:type="paragraph" w:customStyle="1" w:styleId="L10-9">
    <w:name w:val="L10-9"/>
    <w:uiPriority w:val="99"/>
    <w:pPr>
      <w:widowControl w:val="0"/>
      <w:autoSpaceDE w:val="0"/>
      <w:autoSpaceDN w:val="0"/>
      <w:adjustRightInd w:val="0"/>
      <w:spacing w:after="0" w:line="240" w:lineRule="auto"/>
      <w:ind w:left="7604" w:hanging="180"/>
      <w:jc w:val="both"/>
    </w:pPr>
    <w:rPr>
      <w:rFonts w:ascii="Times New Roman" w:hAnsi="Times New Roman"/>
      <w:sz w:val="24"/>
      <w:szCs w:val="24"/>
    </w:rPr>
  </w:style>
  <w:style w:type="paragraph" w:customStyle="1" w:styleId="L8-9">
    <w:name w:val="L8-9"/>
    <w:uiPriority w:val="99"/>
    <w:pPr>
      <w:widowControl w:val="0"/>
      <w:autoSpaceDE w:val="0"/>
      <w:autoSpaceDN w:val="0"/>
      <w:adjustRightInd w:val="0"/>
      <w:spacing w:after="0" w:line="240" w:lineRule="auto"/>
      <w:ind w:left="7704" w:hanging="180"/>
      <w:jc w:val="both"/>
    </w:pPr>
    <w:rPr>
      <w:rFonts w:ascii="Times New Roman" w:hAnsi="Times New Roman"/>
      <w:sz w:val="24"/>
      <w:szCs w:val="24"/>
    </w:rPr>
  </w:style>
  <w:style w:type="paragraph" w:styleId="Header">
    <w:name w:val="header"/>
    <w:basedOn w:val="Normal"/>
    <w:link w:val="HeaderChar"/>
    <w:uiPriority w:val="99"/>
    <w:unhideWhenUsed/>
    <w:rsid w:val="00865E39"/>
    <w:pPr>
      <w:tabs>
        <w:tab w:val="center" w:pos="4680"/>
        <w:tab w:val="right" w:pos="9360"/>
      </w:tabs>
    </w:pPr>
  </w:style>
  <w:style w:type="character" w:customStyle="1" w:styleId="HeaderChar">
    <w:name w:val="Header Char"/>
    <w:basedOn w:val="DefaultParagraphFont"/>
    <w:link w:val="Header"/>
    <w:uiPriority w:val="99"/>
    <w:locked/>
    <w:rsid w:val="00865E39"/>
    <w:rPr>
      <w:rFonts w:ascii="Times New Roman" w:hAnsi="Times New Roman" w:cs="Times New Roman"/>
      <w:sz w:val="20"/>
      <w:szCs w:val="20"/>
    </w:rPr>
  </w:style>
  <w:style w:type="paragraph" w:styleId="Footer">
    <w:name w:val="footer"/>
    <w:basedOn w:val="Normal"/>
    <w:link w:val="FooterChar"/>
    <w:uiPriority w:val="99"/>
    <w:unhideWhenUsed/>
    <w:rsid w:val="00865E39"/>
    <w:pPr>
      <w:tabs>
        <w:tab w:val="center" w:pos="4680"/>
        <w:tab w:val="right" w:pos="9360"/>
      </w:tabs>
    </w:pPr>
  </w:style>
  <w:style w:type="character" w:customStyle="1" w:styleId="FooterChar">
    <w:name w:val="Footer Char"/>
    <w:basedOn w:val="DefaultParagraphFont"/>
    <w:link w:val="Footer"/>
    <w:uiPriority w:val="99"/>
    <w:locked/>
    <w:rsid w:val="00865E39"/>
    <w:rPr>
      <w:rFonts w:ascii="Times New Roman" w:hAnsi="Times New Roman" w:cs="Times New Roman"/>
      <w:sz w:val="20"/>
      <w:szCs w:val="20"/>
    </w:rPr>
  </w:style>
  <w:style w:type="paragraph" w:styleId="ListParagraph">
    <w:name w:val="List Paragraph"/>
    <w:basedOn w:val="Normal"/>
    <w:uiPriority w:val="34"/>
    <w:qFormat/>
    <w:rsid w:val="0038636B"/>
    <w:pPr>
      <w:ind w:left="720"/>
      <w:contextualSpacing/>
    </w:pPr>
  </w:style>
  <w:style w:type="paragraph" w:styleId="EndnoteText">
    <w:name w:val="endnote text"/>
    <w:basedOn w:val="Normal"/>
    <w:link w:val="EndnoteTextChar"/>
    <w:uiPriority w:val="99"/>
    <w:semiHidden/>
    <w:unhideWhenUsed/>
    <w:rsid w:val="00BA4EEB"/>
  </w:style>
  <w:style w:type="character" w:customStyle="1" w:styleId="EndnoteTextChar">
    <w:name w:val="Endnote Text Char"/>
    <w:basedOn w:val="DefaultParagraphFont"/>
    <w:link w:val="EndnoteText"/>
    <w:uiPriority w:val="99"/>
    <w:semiHidden/>
    <w:rsid w:val="00BA4EEB"/>
    <w:rPr>
      <w:rFonts w:ascii="Times New Roman" w:hAnsi="Times New Roman"/>
      <w:sz w:val="20"/>
      <w:szCs w:val="20"/>
    </w:rPr>
  </w:style>
  <w:style w:type="character" w:styleId="EndnoteReference">
    <w:name w:val="endnote reference"/>
    <w:basedOn w:val="DefaultParagraphFont"/>
    <w:uiPriority w:val="99"/>
    <w:semiHidden/>
    <w:unhideWhenUsed/>
    <w:rsid w:val="00BA4EEB"/>
    <w:rPr>
      <w:vertAlign w:val="superscript"/>
    </w:rPr>
  </w:style>
  <w:style w:type="character" w:styleId="CommentReference">
    <w:name w:val="annotation reference"/>
    <w:basedOn w:val="DefaultParagraphFont"/>
    <w:uiPriority w:val="99"/>
    <w:semiHidden/>
    <w:unhideWhenUsed/>
    <w:rsid w:val="00847A24"/>
    <w:rPr>
      <w:sz w:val="16"/>
      <w:szCs w:val="16"/>
    </w:rPr>
  </w:style>
  <w:style w:type="paragraph" w:styleId="CommentText">
    <w:name w:val="annotation text"/>
    <w:basedOn w:val="Normal"/>
    <w:link w:val="CommentTextChar"/>
    <w:uiPriority w:val="99"/>
    <w:semiHidden/>
    <w:unhideWhenUsed/>
    <w:rsid w:val="00847A24"/>
  </w:style>
  <w:style w:type="character" w:customStyle="1" w:styleId="CommentTextChar">
    <w:name w:val="Comment Text Char"/>
    <w:basedOn w:val="DefaultParagraphFont"/>
    <w:link w:val="CommentText"/>
    <w:uiPriority w:val="99"/>
    <w:semiHidden/>
    <w:rsid w:val="00847A2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47A24"/>
    <w:rPr>
      <w:b/>
      <w:bCs/>
    </w:rPr>
  </w:style>
  <w:style w:type="character" w:customStyle="1" w:styleId="CommentSubjectChar">
    <w:name w:val="Comment Subject Char"/>
    <w:basedOn w:val="CommentTextChar"/>
    <w:link w:val="CommentSubject"/>
    <w:uiPriority w:val="99"/>
    <w:semiHidden/>
    <w:rsid w:val="00847A24"/>
    <w:rPr>
      <w:rFonts w:ascii="Times New Roman" w:hAnsi="Times New Roman"/>
      <w:b/>
      <w:bCs/>
      <w:sz w:val="20"/>
      <w:szCs w:val="20"/>
    </w:rPr>
  </w:style>
  <w:style w:type="character" w:styleId="Hyperlink">
    <w:name w:val="Hyperlink"/>
    <w:basedOn w:val="DefaultParagraphFont"/>
    <w:uiPriority w:val="99"/>
    <w:unhideWhenUsed/>
    <w:rsid w:val="00AF0F31"/>
    <w:rPr>
      <w:color w:val="0563C1" w:themeColor="hyperlink"/>
      <w:u w:val="single"/>
    </w:rPr>
  </w:style>
  <w:style w:type="character" w:styleId="UnresolvedMention">
    <w:name w:val="Unresolved Mention"/>
    <w:basedOn w:val="DefaultParagraphFont"/>
    <w:uiPriority w:val="99"/>
    <w:semiHidden/>
    <w:unhideWhenUsed/>
    <w:rsid w:val="00AF0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292421">
      <w:bodyDiv w:val="1"/>
      <w:marLeft w:val="0"/>
      <w:marRight w:val="0"/>
      <w:marTop w:val="0"/>
      <w:marBottom w:val="0"/>
      <w:divBdr>
        <w:top w:val="none" w:sz="0" w:space="0" w:color="auto"/>
        <w:left w:val="none" w:sz="0" w:space="0" w:color="auto"/>
        <w:bottom w:val="none" w:sz="0" w:space="0" w:color="auto"/>
        <w:right w:val="none" w:sz="0" w:space="0" w:color="auto"/>
      </w:divBdr>
      <w:divsChild>
        <w:div w:id="634915671">
          <w:marLeft w:val="0"/>
          <w:marRight w:val="0"/>
          <w:marTop w:val="0"/>
          <w:marBottom w:val="0"/>
          <w:divBdr>
            <w:top w:val="none" w:sz="0" w:space="0" w:color="auto"/>
            <w:left w:val="none" w:sz="0" w:space="0" w:color="auto"/>
            <w:bottom w:val="none" w:sz="0" w:space="0" w:color="auto"/>
            <w:right w:val="none" w:sz="0" w:space="0" w:color="auto"/>
          </w:divBdr>
          <w:divsChild>
            <w:div w:id="506136911">
              <w:marLeft w:val="0"/>
              <w:marRight w:val="0"/>
              <w:marTop w:val="0"/>
              <w:marBottom w:val="0"/>
              <w:divBdr>
                <w:top w:val="none" w:sz="0" w:space="0" w:color="auto"/>
                <w:left w:val="none" w:sz="0" w:space="0" w:color="auto"/>
                <w:bottom w:val="none" w:sz="0" w:space="0" w:color="auto"/>
                <w:right w:val="none" w:sz="0" w:space="0" w:color="auto"/>
              </w:divBdr>
              <w:divsChild>
                <w:div w:id="20409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758661">
      <w:bodyDiv w:val="1"/>
      <w:marLeft w:val="0"/>
      <w:marRight w:val="0"/>
      <w:marTop w:val="0"/>
      <w:marBottom w:val="0"/>
      <w:divBdr>
        <w:top w:val="none" w:sz="0" w:space="0" w:color="auto"/>
        <w:left w:val="none" w:sz="0" w:space="0" w:color="auto"/>
        <w:bottom w:val="none" w:sz="0" w:space="0" w:color="auto"/>
        <w:right w:val="none" w:sz="0" w:space="0" w:color="auto"/>
      </w:divBdr>
      <w:divsChild>
        <w:div w:id="562646690">
          <w:marLeft w:val="0"/>
          <w:marRight w:val="0"/>
          <w:marTop w:val="0"/>
          <w:marBottom w:val="0"/>
          <w:divBdr>
            <w:top w:val="none" w:sz="0" w:space="0" w:color="auto"/>
            <w:left w:val="none" w:sz="0" w:space="0" w:color="auto"/>
            <w:bottom w:val="none" w:sz="0" w:space="0" w:color="auto"/>
            <w:right w:val="none" w:sz="0" w:space="0" w:color="auto"/>
          </w:divBdr>
          <w:divsChild>
            <w:div w:id="972247086">
              <w:marLeft w:val="0"/>
              <w:marRight w:val="0"/>
              <w:marTop w:val="0"/>
              <w:marBottom w:val="0"/>
              <w:divBdr>
                <w:top w:val="none" w:sz="0" w:space="0" w:color="auto"/>
                <w:left w:val="none" w:sz="0" w:space="0" w:color="auto"/>
                <w:bottom w:val="none" w:sz="0" w:space="0" w:color="auto"/>
                <w:right w:val="none" w:sz="0" w:space="0" w:color="auto"/>
              </w:divBdr>
              <w:divsChild>
                <w:div w:id="49428509">
                  <w:marLeft w:val="0"/>
                  <w:marRight w:val="0"/>
                  <w:marTop w:val="0"/>
                  <w:marBottom w:val="0"/>
                  <w:divBdr>
                    <w:top w:val="none" w:sz="0" w:space="0" w:color="auto"/>
                    <w:left w:val="none" w:sz="0" w:space="0" w:color="auto"/>
                    <w:bottom w:val="none" w:sz="0" w:space="0" w:color="auto"/>
                    <w:right w:val="none" w:sz="0" w:space="0" w:color="auto"/>
                  </w:divBdr>
                  <w:divsChild>
                    <w:div w:id="58676483">
                      <w:marLeft w:val="0"/>
                      <w:marRight w:val="0"/>
                      <w:marTop w:val="0"/>
                      <w:marBottom w:val="0"/>
                      <w:divBdr>
                        <w:top w:val="none" w:sz="0" w:space="0" w:color="auto"/>
                        <w:left w:val="none" w:sz="0" w:space="0" w:color="auto"/>
                        <w:bottom w:val="none" w:sz="0" w:space="0" w:color="auto"/>
                        <w:right w:val="none" w:sz="0" w:space="0" w:color="auto"/>
                      </w:divBdr>
                    </w:div>
                  </w:divsChild>
                </w:div>
                <w:div w:id="273755503">
                  <w:marLeft w:val="0"/>
                  <w:marRight w:val="0"/>
                  <w:marTop w:val="0"/>
                  <w:marBottom w:val="0"/>
                  <w:divBdr>
                    <w:top w:val="none" w:sz="0" w:space="0" w:color="auto"/>
                    <w:left w:val="none" w:sz="0" w:space="0" w:color="auto"/>
                    <w:bottom w:val="none" w:sz="0" w:space="0" w:color="auto"/>
                    <w:right w:val="none" w:sz="0" w:space="0" w:color="auto"/>
                  </w:divBdr>
                  <w:divsChild>
                    <w:div w:id="253706762">
                      <w:marLeft w:val="0"/>
                      <w:marRight w:val="0"/>
                      <w:marTop w:val="0"/>
                      <w:marBottom w:val="0"/>
                      <w:divBdr>
                        <w:top w:val="none" w:sz="0" w:space="0" w:color="auto"/>
                        <w:left w:val="none" w:sz="0" w:space="0" w:color="auto"/>
                        <w:bottom w:val="none" w:sz="0" w:space="0" w:color="auto"/>
                        <w:right w:val="none" w:sz="0" w:space="0" w:color="auto"/>
                      </w:divBdr>
                    </w:div>
                  </w:divsChild>
                </w:div>
                <w:div w:id="17561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2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9ADF1-9A65-4DDF-9427-E7842C62C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2532</Words>
  <Characters>12258</Characters>
  <Application>Microsoft Office Word</Application>
  <DocSecurity>0</DocSecurity>
  <Lines>331</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cp:lastModifiedBy>
  <cp:revision>15</cp:revision>
  <cp:lastPrinted>2023-01-18T03:39:00Z</cp:lastPrinted>
  <dcterms:created xsi:type="dcterms:W3CDTF">2023-04-29T21:53:00Z</dcterms:created>
  <dcterms:modified xsi:type="dcterms:W3CDTF">2023-05-06T06:15:00Z</dcterms:modified>
</cp:coreProperties>
</file>