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314E" w14:textId="6A762337" w:rsidR="00C72A56" w:rsidRPr="00BE2519" w:rsidRDefault="00C72A56"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BE2519">
        <w:rPr>
          <w:sz w:val="28"/>
          <w:szCs w:val="28"/>
          <w:lang w:val="en-CA"/>
        </w:rPr>
        <w:fldChar w:fldCharType="begin"/>
      </w:r>
      <w:r w:rsidRPr="00BE2519">
        <w:rPr>
          <w:sz w:val="28"/>
          <w:szCs w:val="28"/>
          <w:lang w:val="en-CA"/>
        </w:rPr>
        <w:instrText xml:space="preserve"> SEQ CHAPTER \h \r 1</w:instrText>
      </w:r>
      <w:r w:rsidRPr="00BE2519">
        <w:rPr>
          <w:sz w:val="28"/>
          <w:szCs w:val="28"/>
          <w:lang w:val="en-CA"/>
        </w:rPr>
        <w:fldChar w:fldCharType="end"/>
      </w:r>
      <w:r w:rsidRPr="00BE2519">
        <w:rPr>
          <w:b/>
          <w:bCs/>
          <w:sz w:val="28"/>
          <w:szCs w:val="28"/>
        </w:rPr>
        <w:t>6.17 Impeach</w:t>
      </w:r>
      <w:r w:rsidR="004B576C" w:rsidRPr="00BE2519">
        <w:rPr>
          <w:b/>
          <w:bCs/>
          <w:sz w:val="28"/>
          <w:szCs w:val="28"/>
        </w:rPr>
        <w:t>ment by Instances of Misconduct</w:t>
      </w:r>
      <w:r w:rsidR="0012129F" w:rsidRPr="00BE2519">
        <w:rPr>
          <w:rStyle w:val="EndnoteReference"/>
          <w:b/>
          <w:bCs/>
          <w:sz w:val="28"/>
          <w:szCs w:val="28"/>
        </w:rPr>
        <w:endnoteReference w:id="1"/>
      </w:r>
    </w:p>
    <w:p w14:paraId="3D966A22" w14:textId="77777777" w:rsidR="00C72A56" w:rsidRPr="00BE2519" w:rsidRDefault="00C72A56"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4E726A4D" w14:textId="77777777" w:rsidR="00BC21AB" w:rsidRPr="00BE2519" w:rsidRDefault="00C72A56" w:rsidP="00F87993">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BE2519">
        <w:rPr>
          <w:b/>
          <w:bCs/>
          <w:sz w:val="28"/>
          <w:szCs w:val="28"/>
        </w:rPr>
        <w:t xml:space="preserve">(1) Subject to paragraph (c), </w:t>
      </w:r>
    </w:p>
    <w:p w14:paraId="1664DE8C" w14:textId="77777777" w:rsidR="00BC21AB" w:rsidRPr="00BE2519" w:rsidRDefault="00BC21AB" w:rsidP="00F87993">
      <w:pPr>
        <w:widowControl/>
        <w:tabs>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36BA5AC8" w14:textId="77777777" w:rsidR="00C72A56" w:rsidRPr="00BE2519" w:rsidRDefault="00C72A56" w:rsidP="00F87993">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BE2519">
        <w:rPr>
          <w:b/>
          <w:bCs/>
          <w:sz w:val="28"/>
          <w:szCs w:val="28"/>
        </w:rPr>
        <w:t>(a) the credibility of a witness may be impeached on cross-examination by asking the witness about prior specific criminal, vicious, or immoral conduct of the witness; and</w:t>
      </w:r>
    </w:p>
    <w:p w14:paraId="26396DCB" w14:textId="77777777" w:rsidR="00BC21AB" w:rsidRPr="00BE2519" w:rsidRDefault="00BC21AB" w:rsidP="00F87993">
      <w:pPr>
        <w:widowControl/>
        <w:tabs>
          <w:tab w:val="left" w:pos="1439"/>
          <w:tab w:val="left" w:pos="2159"/>
          <w:tab w:val="left" w:pos="2879"/>
          <w:tab w:val="left" w:pos="3599"/>
          <w:tab w:val="left" w:pos="4319"/>
          <w:tab w:val="left" w:pos="5039"/>
          <w:tab w:val="left" w:pos="5759"/>
          <w:tab w:val="left" w:pos="6479"/>
          <w:tab w:val="left" w:pos="7198"/>
        </w:tabs>
        <w:ind w:right="720"/>
        <w:jc w:val="both"/>
        <w:rPr>
          <w:b/>
          <w:bCs/>
          <w:sz w:val="28"/>
          <w:szCs w:val="28"/>
        </w:rPr>
      </w:pPr>
    </w:p>
    <w:p w14:paraId="0435D500" w14:textId="0F1F0549" w:rsidR="00C72A56" w:rsidRPr="00BE2519" w:rsidRDefault="00C72A56" w:rsidP="00F87993">
      <w:pPr>
        <w:widowControl/>
        <w:tabs>
          <w:tab w:val="left" w:pos="1439"/>
          <w:tab w:val="left" w:pos="2159"/>
          <w:tab w:val="left" w:pos="2879"/>
          <w:tab w:val="left" w:pos="3599"/>
          <w:tab w:val="left" w:pos="4319"/>
          <w:tab w:val="left" w:pos="5039"/>
          <w:tab w:val="left" w:pos="5759"/>
          <w:tab w:val="left" w:pos="6479"/>
          <w:tab w:val="left" w:pos="7198"/>
        </w:tabs>
        <w:ind w:left="1440" w:right="720"/>
        <w:jc w:val="both"/>
        <w:rPr>
          <w:b/>
          <w:bCs/>
          <w:sz w:val="28"/>
          <w:szCs w:val="28"/>
        </w:rPr>
      </w:pPr>
      <w:r w:rsidRPr="00BE2519">
        <w:rPr>
          <w:b/>
          <w:bCs/>
          <w:sz w:val="28"/>
          <w:szCs w:val="28"/>
        </w:rPr>
        <w:t xml:space="preserve">(b) the credibility of a witness who gives evidence of a person’s character also may be cross-examined about whether the witness has heard of prior specific criminal, vicious, or immoral </w:t>
      </w:r>
      <w:bookmarkStart w:id="0" w:name="_Hlk86315135"/>
      <w:r w:rsidRPr="00BE2519">
        <w:rPr>
          <w:b/>
          <w:bCs/>
          <w:sz w:val="28"/>
          <w:szCs w:val="28"/>
        </w:rPr>
        <w:t xml:space="preserve">conduct of the </w:t>
      </w:r>
      <w:r w:rsidR="003C3418" w:rsidRPr="00BE2519">
        <w:rPr>
          <w:b/>
          <w:bCs/>
          <w:sz w:val="28"/>
          <w:szCs w:val="28"/>
        </w:rPr>
        <w:t xml:space="preserve">person </w:t>
      </w:r>
      <w:r w:rsidRPr="00BE2519">
        <w:rPr>
          <w:b/>
          <w:bCs/>
          <w:sz w:val="28"/>
          <w:szCs w:val="28"/>
        </w:rPr>
        <w:t xml:space="preserve">who was the subject of the character testimony. </w:t>
      </w:r>
      <w:bookmarkEnd w:id="0"/>
    </w:p>
    <w:p w14:paraId="203902B8" w14:textId="77777777" w:rsidR="00BC21AB" w:rsidRPr="00BE2519" w:rsidRDefault="00BC21AB" w:rsidP="00F87993">
      <w:pPr>
        <w:widowControl/>
        <w:tabs>
          <w:tab w:val="left" w:pos="1439"/>
          <w:tab w:val="left" w:pos="2159"/>
          <w:tab w:val="left" w:pos="2879"/>
          <w:tab w:val="left" w:pos="3599"/>
          <w:tab w:val="left" w:pos="4319"/>
          <w:tab w:val="left" w:pos="5039"/>
          <w:tab w:val="left" w:pos="5759"/>
          <w:tab w:val="left" w:pos="6479"/>
          <w:tab w:val="left" w:pos="7198"/>
        </w:tabs>
        <w:ind w:right="720"/>
        <w:jc w:val="both"/>
        <w:rPr>
          <w:b/>
          <w:bCs/>
          <w:sz w:val="28"/>
          <w:szCs w:val="28"/>
        </w:rPr>
      </w:pPr>
    </w:p>
    <w:p w14:paraId="462A1CA4" w14:textId="77777777" w:rsidR="00C72A56" w:rsidRPr="00BE2519" w:rsidRDefault="00C72A56" w:rsidP="00F87993">
      <w:pPr>
        <w:widowControl/>
        <w:tabs>
          <w:tab w:val="left" w:pos="1439"/>
          <w:tab w:val="left" w:pos="2159"/>
          <w:tab w:val="left" w:pos="2879"/>
          <w:tab w:val="left" w:pos="3599"/>
          <w:tab w:val="left" w:pos="4319"/>
          <w:tab w:val="left" w:pos="5039"/>
          <w:tab w:val="left" w:pos="5759"/>
          <w:tab w:val="left" w:pos="6479"/>
          <w:tab w:val="left" w:pos="7198"/>
        </w:tabs>
        <w:ind w:left="1440" w:right="720"/>
        <w:jc w:val="both"/>
        <w:rPr>
          <w:b/>
          <w:bCs/>
          <w:sz w:val="28"/>
          <w:szCs w:val="28"/>
        </w:rPr>
      </w:pPr>
      <w:r w:rsidRPr="00BE2519">
        <w:rPr>
          <w:b/>
          <w:bCs/>
          <w:sz w:val="28"/>
          <w:szCs w:val="28"/>
        </w:rPr>
        <w:t>(c) Cross-examination authorized by paragraphs (a) and (b) is permissible only if:</w:t>
      </w:r>
    </w:p>
    <w:p w14:paraId="5899AA93" w14:textId="77777777" w:rsidR="00BC21AB" w:rsidRPr="00BE2519" w:rsidRDefault="00BC21AB" w:rsidP="00F87993">
      <w:pPr>
        <w:widowControl/>
        <w:tabs>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1A31B1EE" w14:textId="77777777" w:rsidR="00C72A56" w:rsidRPr="00BE2519" w:rsidRDefault="00C72A56" w:rsidP="00F87993">
      <w:pPr>
        <w:widowControl/>
        <w:tabs>
          <w:tab w:val="left" w:pos="2160"/>
          <w:tab w:val="left" w:pos="2880"/>
          <w:tab w:val="left" w:pos="3600"/>
          <w:tab w:val="left" w:pos="4320"/>
          <w:tab w:val="left" w:pos="5040"/>
          <w:tab w:val="left" w:pos="5760"/>
          <w:tab w:val="left" w:pos="6480"/>
          <w:tab w:val="left" w:pos="7198"/>
        </w:tabs>
        <w:ind w:left="2160" w:right="720"/>
        <w:jc w:val="both"/>
        <w:rPr>
          <w:b/>
          <w:bCs/>
          <w:sz w:val="28"/>
          <w:szCs w:val="28"/>
        </w:rPr>
      </w:pPr>
      <w:r w:rsidRPr="00BE2519">
        <w:rPr>
          <w:b/>
          <w:bCs/>
          <w:sz w:val="28"/>
          <w:szCs w:val="28"/>
        </w:rPr>
        <w:t xml:space="preserve">(i) the nature of the conduct or the circumstances in which it occurred bear logically and reasonably on the witness’s credibility; </w:t>
      </w:r>
    </w:p>
    <w:p w14:paraId="7F83B9D8" w14:textId="77777777" w:rsidR="00BC21AB" w:rsidRPr="00BE2519" w:rsidRDefault="00BC21AB" w:rsidP="00F87993">
      <w:pPr>
        <w:widowControl/>
        <w:tabs>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7B7D911F" w14:textId="77777777" w:rsidR="00C72A56" w:rsidRPr="00BE2519" w:rsidRDefault="00C72A56" w:rsidP="00F87993">
      <w:pPr>
        <w:widowControl/>
        <w:tabs>
          <w:tab w:val="left" w:pos="2160"/>
          <w:tab w:val="left" w:pos="2880"/>
          <w:tab w:val="left" w:pos="3600"/>
          <w:tab w:val="left" w:pos="4320"/>
          <w:tab w:val="left" w:pos="5040"/>
          <w:tab w:val="left" w:pos="5760"/>
          <w:tab w:val="left" w:pos="6480"/>
          <w:tab w:val="left" w:pos="7198"/>
        </w:tabs>
        <w:ind w:left="2160" w:right="720"/>
        <w:jc w:val="both"/>
        <w:rPr>
          <w:b/>
          <w:bCs/>
          <w:sz w:val="28"/>
          <w:szCs w:val="28"/>
        </w:rPr>
      </w:pPr>
      <w:r w:rsidRPr="00BE2519">
        <w:rPr>
          <w:b/>
          <w:bCs/>
          <w:sz w:val="28"/>
          <w:szCs w:val="28"/>
        </w:rPr>
        <w:t xml:space="preserve">(ii) the question has a good faith basis; </w:t>
      </w:r>
    </w:p>
    <w:p w14:paraId="1B3543A1" w14:textId="77777777" w:rsidR="00BC21AB" w:rsidRPr="00BE2519" w:rsidRDefault="00BC21AB" w:rsidP="00F87993">
      <w:pPr>
        <w:widowControl/>
        <w:tabs>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65704A95" w14:textId="45067566" w:rsidR="00C72A56" w:rsidRPr="00BE2519" w:rsidRDefault="00C72A56" w:rsidP="00F87993">
      <w:pPr>
        <w:widowControl/>
        <w:tabs>
          <w:tab w:val="left" w:pos="2160"/>
          <w:tab w:val="left" w:pos="2880"/>
          <w:tab w:val="left" w:pos="3600"/>
          <w:tab w:val="left" w:pos="4320"/>
          <w:tab w:val="left" w:pos="5040"/>
          <w:tab w:val="left" w:pos="5760"/>
          <w:tab w:val="left" w:pos="6480"/>
          <w:tab w:val="left" w:pos="7198"/>
        </w:tabs>
        <w:ind w:left="2160" w:right="720"/>
        <w:jc w:val="both"/>
        <w:rPr>
          <w:b/>
          <w:bCs/>
          <w:sz w:val="28"/>
          <w:szCs w:val="28"/>
        </w:rPr>
      </w:pPr>
      <w:r w:rsidRPr="00BE2519">
        <w:rPr>
          <w:b/>
          <w:bCs/>
          <w:sz w:val="28"/>
          <w:szCs w:val="28"/>
        </w:rPr>
        <w:t>(iii) the question does not relate to conduct underlying a criminal charge of which the witness was acquitted; and</w:t>
      </w:r>
    </w:p>
    <w:p w14:paraId="23D29A61" w14:textId="77777777" w:rsidR="007F0E8E" w:rsidRPr="00BE2519" w:rsidRDefault="007F0E8E" w:rsidP="00F87993">
      <w:pPr>
        <w:widowControl/>
        <w:tabs>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6B61A81E" w14:textId="546A949B" w:rsidR="00F272B8" w:rsidRPr="00BE2519" w:rsidRDefault="00C72A56" w:rsidP="00F87993">
      <w:pPr>
        <w:widowControl/>
        <w:tabs>
          <w:tab w:val="left" w:pos="2160"/>
          <w:tab w:val="left" w:pos="2880"/>
          <w:tab w:val="left" w:pos="3600"/>
          <w:tab w:val="left" w:pos="4320"/>
          <w:tab w:val="left" w:pos="5040"/>
          <w:tab w:val="left" w:pos="5760"/>
          <w:tab w:val="left" w:pos="6480"/>
          <w:tab w:val="left" w:pos="7198"/>
        </w:tabs>
        <w:ind w:left="2160" w:right="720"/>
        <w:jc w:val="both"/>
        <w:rPr>
          <w:b/>
          <w:bCs/>
          <w:sz w:val="28"/>
          <w:szCs w:val="28"/>
        </w:rPr>
      </w:pPr>
      <w:bookmarkStart w:id="1" w:name="_Hlk87882135"/>
      <w:r w:rsidRPr="00BE2519">
        <w:rPr>
          <w:b/>
          <w:bCs/>
          <w:sz w:val="28"/>
          <w:szCs w:val="28"/>
        </w:rPr>
        <w:t xml:space="preserve">(iv) in a criminal case, </w:t>
      </w:r>
      <w:r w:rsidR="00F21971" w:rsidRPr="00BE2519">
        <w:rPr>
          <w:b/>
          <w:bCs/>
          <w:sz w:val="28"/>
          <w:szCs w:val="28"/>
        </w:rPr>
        <w:t xml:space="preserve">a question directed to a testifying defendant about the defendant’s alleged </w:t>
      </w:r>
      <w:r w:rsidRPr="00BE2519">
        <w:rPr>
          <w:b/>
          <w:bCs/>
          <w:sz w:val="28"/>
          <w:szCs w:val="28"/>
        </w:rPr>
        <w:t>prior criminal, vicious, or immoral conduct</w:t>
      </w:r>
      <w:r w:rsidR="009409B9" w:rsidRPr="00BE2519">
        <w:rPr>
          <w:b/>
          <w:bCs/>
          <w:sz w:val="28"/>
          <w:szCs w:val="28"/>
        </w:rPr>
        <w:t xml:space="preserve"> </w:t>
      </w:r>
      <w:r w:rsidRPr="00BE2519">
        <w:rPr>
          <w:b/>
          <w:bCs/>
          <w:sz w:val="28"/>
          <w:szCs w:val="28"/>
        </w:rPr>
        <w:t xml:space="preserve">was authorized by the court </w:t>
      </w:r>
      <w:r w:rsidR="00F272B8" w:rsidRPr="00BE2519">
        <w:rPr>
          <w:b/>
          <w:bCs/>
          <w:sz w:val="28"/>
          <w:szCs w:val="28"/>
        </w:rPr>
        <w:t>prior to trial or during trial upon a defense objection.</w:t>
      </w:r>
    </w:p>
    <w:bookmarkEnd w:id="1"/>
    <w:p w14:paraId="60503FFD" w14:textId="77777777" w:rsidR="00BC21AB" w:rsidRPr="00BE2519" w:rsidRDefault="00BC21AB" w:rsidP="00F87993">
      <w:pPr>
        <w:widowControl/>
        <w:tabs>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01B3C938" w14:textId="4E1F226E" w:rsidR="00C72A56" w:rsidRPr="00BE2519" w:rsidRDefault="00C72A56" w:rsidP="00F87993">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BE2519">
        <w:rPr>
          <w:b/>
          <w:bCs/>
          <w:sz w:val="28"/>
          <w:szCs w:val="28"/>
        </w:rPr>
        <w:t xml:space="preserve">(2) Except for the admission of a criminal conviction pursuant to </w:t>
      </w:r>
      <w:r w:rsidR="001008B6" w:rsidRPr="00BE2519">
        <w:rPr>
          <w:b/>
          <w:bCs/>
          <w:sz w:val="28"/>
          <w:szCs w:val="28"/>
        </w:rPr>
        <w:t xml:space="preserve">Guide to New York Evidence </w:t>
      </w:r>
      <w:r w:rsidRPr="00BE2519">
        <w:rPr>
          <w:b/>
          <w:bCs/>
          <w:sz w:val="28"/>
          <w:szCs w:val="28"/>
        </w:rPr>
        <w:t xml:space="preserve">rule 6.19, extrinsic evidence is not admissible to prove prior criminal, vicious, or immoral conduct. </w:t>
      </w:r>
    </w:p>
    <w:p w14:paraId="693B29EE" w14:textId="77777777" w:rsidR="00BC21AB" w:rsidRPr="00BE2519" w:rsidRDefault="00BC21AB" w:rsidP="00F87993">
      <w:pPr>
        <w:widowControl/>
        <w:tabs>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1DC47F55" w14:textId="77777777" w:rsidR="00C72A56" w:rsidRPr="00BE2519" w:rsidRDefault="00C72A56" w:rsidP="00F87993">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BE2519">
        <w:rPr>
          <w:b/>
          <w:bCs/>
          <w:sz w:val="28"/>
          <w:szCs w:val="28"/>
        </w:rPr>
        <w:lastRenderedPageBreak/>
        <w:t>(3) A defendant in a criminal proceeding does not, by the act of testifying, waive the privilege against self-incrimination with respect to questions concerning pending unrelated criminal charges.</w:t>
      </w:r>
    </w:p>
    <w:p w14:paraId="1655B1A1" w14:textId="77777777" w:rsidR="00C72A56" w:rsidRPr="00BE2519" w:rsidRDefault="00C72A56" w:rsidP="00F8799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b/>
          <w:bCs/>
          <w:sz w:val="28"/>
          <w:szCs w:val="28"/>
        </w:rPr>
      </w:pPr>
    </w:p>
    <w:p w14:paraId="708C277B" w14:textId="354E38F9" w:rsidR="00C72A56" w:rsidRPr="00BE2519" w:rsidRDefault="00C72A56" w:rsidP="00F87993">
      <w:pPr>
        <w:pStyle w:val="ListParagra"/>
        <w:widowControl/>
        <w:tabs>
          <w:tab w:val="left" w:pos="780"/>
          <w:tab w:val="left" w:pos="1440"/>
          <w:tab w:val="left" w:pos="2160"/>
          <w:tab w:val="left" w:pos="2880"/>
          <w:tab w:val="left" w:pos="3600"/>
          <w:tab w:val="left" w:pos="4320"/>
          <w:tab w:val="left" w:pos="5040"/>
          <w:tab w:val="left" w:pos="5760"/>
          <w:tab w:val="left" w:pos="6480"/>
          <w:tab w:val="left" w:pos="7198"/>
        </w:tabs>
        <w:spacing w:after="0" w:line="240" w:lineRule="auto"/>
        <w:ind w:left="780" w:right="720"/>
        <w:rPr>
          <w:rFonts w:ascii="Times New Roman" w:hAnsi="Times New Roman" w:cs="Times New Roman"/>
          <w:b/>
          <w:bCs/>
          <w:sz w:val="28"/>
          <w:szCs w:val="28"/>
        </w:rPr>
      </w:pPr>
      <w:r w:rsidRPr="00BE2519">
        <w:rPr>
          <w:rFonts w:ascii="Times New Roman" w:hAnsi="Times New Roman" w:cs="Times New Roman"/>
          <w:b/>
          <w:bCs/>
          <w:sz w:val="28"/>
          <w:szCs w:val="28"/>
        </w:rPr>
        <w:t xml:space="preserve">(4) When a witness is impeached pursuant to subdivision one, the party who offered that witness may in rebuttal present evidence of that witness’s character for truthfulness pursuant to </w:t>
      </w:r>
      <w:r w:rsidR="001008B6" w:rsidRPr="00BE2519">
        <w:rPr>
          <w:rFonts w:ascii="Times New Roman" w:hAnsi="Times New Roman" w:cs="Times New Roman"/>
          <w:b/>
          <w:bCs/>
          <w:sz w:val="28"/>
          <w:szCs w:val="28"/>
        </w:rPr>
        <w:t xml:space="preserve">Guide to New York Evidence </w:t>
      </w:r>
      <w:r w:rsidRPr="00BE2519">
        <w:rPr>
          <w:rFonts w:ascii="Times New Roman" w:hAnsi="Times New Roman" w:cs="Times New Roman"/>
          <w:b/>
          <w:bCs/>
          <w:sz w:val="28"/>
          <w:szCs w:val="28"/>
        </w:rPr>
        <w:t>rule 6.23 (2).</w:t>
      </w:r>
    </w:p>
    <w:p w14:paraId="4BD38A27" w14:textId="77777777" w:rsidR="00BC21AB" w:rsidRPr="00BE2519" w:rsidRDefault="00BC21AB" w:rsidP="00F87993">
      <w:pPr>
        <w:widowControl/>
        <w:tabs>
          <w:tab w:val="left" w:pos="2880"/>
          <w:tab w:val="left" w:pos="3600"/>
          <w:tab w:val="left" w:pos="4320"/>
          <w:tab w:val="left" w:pos="5040"/>
          <w:tab w:val="left" w:pos="5760"/>
          <w:tab w:val="left" w:pos="6480"/>
          <w:tab w:val="left" w:pos="7200"/>
          <w:tab w:val="left" w:pos="7918"/>
        </w:tabs>
        <w:rPr>
          <w:b/>
          <w:bCs/>
          <w:sz w:val="28"/>
          <w:szCs w:val="28"/>
        </w:rPr>
      </w:pPr>
    </w:p>
    <w:p w14:paraId="0D67C660" w14:textId="77777777" w:rsidR="00C72A56" w:rsidRPr="00BE2519" w:rsidRDefault="00C72A56" w:rsidP="00F87993">
      <w:pPr>
        <w:widowControl/>
        <w:tabs>
          <w:tab w:val="left" w:pos="3600"/>
          <w:tab w:val="left" w:pos="4320"/>
          <w:tab w:val="left" w:pos="5040"/>
          <w:tab w:val="left" w:pos="5760"/>
          <w:tab w:val="left" w:pos="6480"/>
          <w:tab w:val="left" w:pos="7200"/>
          <w:tab w:val="left" w:pos="7918"/>
        </w:tabs>
        <w:jc w:val="center"/>
        <w:rPr>
          <w:b/>
          <w:bCs/>
          <w:sz w:val="24"/>
          <w:szCs w:val="24"/>
        </w:rPr>
      </w:pPr>
      <w:r w:rsidRPr="00BE2519">
        <w:rPr>
          <w:b/>
          <w:bCs/>
          <w:sz w:val="24"/>
          <w:szCs w:val="24"/>
        </w:rPr>
        <w:t>Note</w:t>
      </w:r>
    </w:p>
    <w:p w14:paraId="6131F9EF" w14:textId="77777777" w:rsidR="00BC21AB" w:rsidRPr="00BE2519" w:rsidRDefault="00BC21AB" w:rsidP="00F87993">
      <w:pPr>
        <w:widowControl/>
        <w:tabs>
          <w:tab w:val="left" w:pos="2880"/>
          <w:tab w:val="left" w:pos="3600"/>
          <w:tab w:val="left" w:pos="4320"/>
          <w:tab w:val="left" w:pos="5040"/>
          <w:tab w:val="left" w:pos="5760"/>
          <w:tab w:val="left" w:pos="6480"/>
          <w:tab w:val="left" w:pos="7200"/>
          <w:tab w:val="left" w:pos="7918"/>
        </w:tabs>
        <w:rPr>
          <w:b/>
          <w:bCs/>
          <w:sz w:val="24"/>
          <w:szCs w:val="24"/>
        </w:rPr>
      </w:pPr>
    </w:p>
    <w:p w14:paraId="554E3458" w14:textId="3136A1D3" w:rsidR="00C72A56" w:rsidRPr="00BE2519" w:rsidRDefault="00C72A56"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BE2519">
        <w:rPr>
          <w:b/>
          <w:bCs/>
          <w:sz w:val="24"/>
          <w:szCs w:val="24"/>
        </w:rPr>
        <w:t>Subdivision (1)</w:t>
      </w:r>
      <w:r w:rsidR="007B55EF" w:rsidRPr="00BE2519">
        <w:rPr>
          <w:b/>
          <w:bCs/>
          <w:sz w:val="24"/>
          <w:szCs w:val="24"/>
        </w:rPr>
        <w:t xml:space="preserve">. </w:t>
      </w:r>
      <w:r w:rsidRPr="00BE2519">
        <w:rPr>
          <w:sz w:val="24"/>
          <w:szCs w:val="24"/>
        </w:rPr>
        <w:t xml:space="preserve">The rule in subdivision (1) (a) </w:t>
      </w:r>
      <w:r w:rsidR="00F33886" w:rsidRPr="00BE2519">
        <w:rPr>
          <w:sz w:val="24"/>
          <w:szCs w:val="24"/>
        </w:rPr>
        <w:t xml:space="preserve">on </w:t>
      </w:r>
      <w:r w:rsidRPr="00BE2519">
        <w:rPr>
          <w:sz w:val="24"/>
          <w:szCs w:val="24"/>
        </w:rPr>
        <w:t>cross-examination of the witness</w:t>
      </w:r>
      <w:r w:rsidRPr="00BE2519">
        <w:rPr>
          <w:b/>
          <w:bCs/>
          <w:sz w:val="24"/>
          <w:szCs w:val="24"/>
        </w:rPr>
        <w:t xml:space="preserve"> </w:t>
      </w:r>
      <w:r w:rsidRPr="00BE2519">
        <w:rPr>
          <w:sz w:val="24"/>
          <w:szCs w:val="24"/>
        </w:rPr>
        <w:t>regarding</w:t>
      </w:r>
      <w:r w:rsidRPr="00BE2519">
        <w:rPr>
          <w:b/>
          <w:bCs/>
          <w:sz w:val="24"/>
          <w:szCs w:val="24"/>
        </w:rPr>
        <w:t xml:space="preserve"> </w:t>
      </w:r>
      <w:r w:rsidRPr="00BE2519">
        <w:rPr>
          <w:sz w:val="24"/>
          <w:szCs w:val="24"/>
        </w:rPr>
        <w:t>prior instances of misconduct committed by the witness is derived from substantial Court of Appeals precedent</w:t>
      </w:r>
      <w:r w:rsidR="007B55EF" w:rsidRPr="00BE2519">
        <w:rPr>
          <w:sz w:val="24"/>
          <w:szCs w:val="24"/>
        </w:rPr>
        <w:t>.</w:t>
      </w:r>
      <w:r w:rsidR="00072FC5" w:rsidRPr="00BE2519">
        <w:rPr>
          <w:sz w:val="24"/>
          <w:szCs w:val="24"/>
        </w:rPr>
        <w:t xml:space="preserve"> </w:t>
      </w:r>
      <w:r w:rsidRPr="00BE2519">
        <w:rPr>
          <w:sz w:val="24"/>
          <w:szCs w:val="24"/>
        </w:rPr>
        <w:t>(S</w:t>
      </w:r>
      <w:r w:rsidRPr="00BE2519">
        <w:rPr>
          <w:i/>
          <w:iCs/>
          <w:sz w:val="24"/>
          <w:szCs w:val="24"/>
        </w:rPr>
        <w:t xml:space="preserve">ee </w:t>
      </w:r>
      <w:r w:rsidR="007B55EF" w:rsidRPr="00BE2519">
        <w:rPr>
          <w:i/>
          <w:iCs/>
          <w:sz w:val="24"/>
          <w:szCs w:val="24"/>
        </w:rPr>
        <w:t>e.g.</w:t>
      </w:r>
      <w:r w:rsidR="00072FC5" w:rsidRPr="00BE2519">
        <w:rPr>
          <w:i/>
          <w:iCs/>
          <w:sz w:val="24"/>
          <w:szCs w:val="24"/>
        </w:rPr>
        <w:t xml:space="preserve"> </w:t>
      </w:r>
      <w:r w:rsidRPr="00BE2519">
        <w:rPr>
          <w:i/>
          <w:iCs/>
          <w:sz w:val="24"/>
          <w:szCs w:val="24"/>
        </w:rPr>
        <w:t>People v Smith</w:t>
      </w:r>
      <w:r w:rsidRPr="00BE2519">
        <w:rPr>
          <w:sz w:val="24"/>
          <w:szCs w:val="24"/>
        </w:rPr>
        <w:t xml:space="preserve">, 27 NY3d 652, 660, 662 [2016] [“witnesses—and indeed, even a testifying defendant—may be cross-examined on </w:t>
      </w:r>
      <w:r w:rsidR="004B576C" w:rsidRPr="00BE2519">
        <w:rPr>
          <w:sz w:val="24"/>
          <w:szCs w:val="24"/>
        </w:rPr>
        <w:t>‘</w:t>
      </w:r>
      <w:r w:rsidRPr="00BE2519">
        <w:rPr>
          <w:sz w:val="24"/>
          <w:szCs w:val="24"/>
        </w:rPr>
        <w:t>prior specific criminal, vicious or i</w:t>
      </w:r>
      <w:r w:rsidR="004B576C" w:rsidRPr="00BE2519">
        <w:rPr>
          <w:sz w:val="24"/>
          <w:szCs w:val="24"/>
        </w:rPr>
        <w:t>mmoral conduct,’ provided that ‘</w:t>
      </w:r>
      <w:r w:rsidRPr="00BE2519">
        <w:rPr>
          <w:sz w:val="24"/>
          <w:szCs w:val="24"/>
        </w:rPr>
        <w:t>the nature of such conduct or the circumstances in which it occurred bear logically and reasonably on the issue of credibility</w:t>
      </w:r>
      <w:r w:rsidR="004B576C" w:rsidRPr="00BE2519">
        <w:rPr>
          <w:sz w:val="24"/>
          <w:szCs w:val="24"/>
        </w:rPr>
        <w:t>’</w:t>
      </w:r>
      <w:r w:rsidRPr="00BE2519">
        <w:rPr>
          <w:sz w:val="24"/>
          <w:szCs w:val="24"/>
        </w:rPr>
        <w:t xml:space="preserve"> ” and “a good faith basis for inquiring” is established];</w:t>
      </w:r>
      <w:r w:rsidRPr="00BE2519">
        <w:rPr>
          <w:i/>
          <w:iCs/>
          <w:sz w:val="24"/>
          <w:szCs w:val="24"/>
        </w:rPr>
        <w:t xml:space="preserve"> People v Sorge</w:t>
      </w:r>
      <w:r w:rsidRPr="00BE2519">
        <w:rPr>
          <w:sz w:val="24"/>
          <w:szCs w:val="24"/>
        </w:rPr>
        <w:t>, 301 NY 198, 200 [1950] [“A defendant, like any other witness, may be ‘interrogated upon cross-examination in regard to any vicious or criminal act of his life</w:t>
      </w:r>
      <w:r w:rsidR="004B576C" w:rsidRPr="00BE2519">
        <w:rPr>
          <w:sz w:val="24"/>
          <w:szCs w:val="24"/>
        </w:rPr>
        <w:t>’</w:t>
      </w:r>
      <w:r w:rsidRPr="00BE2519">
        <w:rPr>
          <w:sz w:val="24"/>
          <w:szCs w:val="24"/>
        </w:rPr>
        <w:t xml:space="preserve"> that has a bearing on his credibility as a witness”]; </w:t>
      </w:r>
      <w:r w:rsidRPr="00BE2519">
        <w:rPr>
          <w:i/>
          <w:iCs/>
          <w:sz w:val="24"/>
          <w:szCs w:val="24"/>
        </w:rPr>
        <w:t>People v Webster</w:t>
      </w:r>
      <w:r w:rsidRPr="00BE2519">
        <w:rPr>
          <w:sz w:val="24"/>
          <w:szCs w:val="24"/>
        </w:rPr>
        <w:t>, 139 NY 73, 84 [1893] [“It is now an elementary rule that a witness may be specially interrogated upon cross-examination in regard to any vicious or criminal act of his life”].) Whether the specific instance of conduct in issue logically and reasonably relates to the witness’s credibility is committed to the sound discretion of the court</w:t>
      </w:r>
      <w:r w:rsidR="007B55EF" w:rsidRPr="00BE2519">
        <w:rPr>
          <w:sz w:val="24"/>
          <w:szCs w:val="24"/>
        </w:rPr>
        <w:t xml:space="preserve">. </w:t>
      </w:r>
      <w:r w:rsidRPr="00BE2519">
        <w:rPr>
          <w:sz w:val="24"/>
          <w:szCs w:val="24"/>
        </w:rPr>
        <w:t>(</w:t>
      </w:r>
      <w:r w:rsidRPr="00BE2519">
        <w:rPr>
          <w:i/>
          <w:iCs/>
          <w:sz w:val="24"/>
          <w:szCs w:val="24"/>
        </w:rPr>
        <w:t>See People v Coleman</w:t>
      </w:r>
      <w:r w:rsidRPr="00BE2519">
        <w:rPr>
          <w:sz w:val="24"/>
          <w:szCs w:val="24"/>
        </w:rPr>
        <w:t>, 56 NY2d 269, 273 [1982].) It should be noted that misconduct that demonstrates an “untruthful bent,” even though perhaps falling outside the “conventional category of immoral, vicious or criminal acts,” may be a proper subject of impeachment</w:t>
      </w:r>
      <w:r w:rsidR="007B55EF" w:rsidRPr="00BE2519">
        <w:rPr>
          <w:sz w:val="24"/>
          <w:szCs w:val="24"/>
        </w:rPr>
        <w:t>.</w:t>
      </w:r>
      <w:r w:rsidR="00072FC5" w:rsidRPr="00BE2519">
        <w:rPr>
          <w:sz w:val="24"/>
          <w:szCs w:val="24"/>
        </w:rPr>
        <w:t xml:space="preserve"> </w:t>
      </w:r>
      <w:r w:rsidRPr="00BE2519">
        <w:rPr>
          <w:sz w:val="24"/>
          <w:szCs w:val="24"/>
        </w:rPr>
        <w:t>(</w:t>
      </w:r>
      <w:r w:rsidRPr="00BE2519">
        <w:rPr>
          <w:i/>
          <w:iCs/>
          <w:sz w:val="24"/>
          <w:szCs w:val="24"/>
        </w:rPr>
        <w:t>People</w:t>
      </w:r>
      <w:r w:rsidR="00072FC5" w:rsidRPr="00BE2519">
        <w:rPr>
          <w:i/>
          <w:iCs/>
          <w:sz w:val="24"/>
          <w:szCs w:val="24"/>
        </w:rPr>
        <w:t xml:space="preserve"> </w:t>
      </w:r>
      <w:r w:rsidRPr="00BE2519">
        <w:rPr>
          <w:i/>
          <w:iCs/>
          <w:sz w:val="24"/>
          <w:szCs w:val="24"/>
        </w:rPr>
        <w:t>v</w:t>
      </w:r>
      <w:r w:rsidR="00072FC5" w:rsidRPr="00BE2519">
        <w:rPr>
          <w:i/>
          <w:iCs/>
          <w:sz w:val="24"/>
          <w:szCs w:val="24"/>
        </w:rPr>
        <w:t xml:space="preserve"> </w:t>
      </w:r>
      <w:r w:rsidRPr="00BE2519">
        <w:rPr>
          <w:i/>
          <w:iCs/>
          <w:sz w:val="24"/>
          <w:szCs w:val="24"/>
        </w:rPr>
        <w:t>Walker</w:t>
      </w:r>
      <w:r w:rsidRPr="00BE2519">
        <w:rPr>
          <w:sz w:val="24"/>
          <w:szCs w:val="24"/>
        </w:rPr>
        <w:t>, 83 NY2d 455, 461 [1994] [impeachment by defendant’s use of alias].)</w:t>
      </w:r>
    </w:p>
    <w:p w14:paraId="343AEABD" w14:textId="77777777" w:rsidR="00BC21AB" w:rsidRPr="00BE2519" w:rsidRDefault="00BC21AB"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34C152C" w14:textId="4865A326" w:rsidR="00C72A56" w:rsidRPr="00BE2519" w:rsidRDefault="00C72A56"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2519">
        <w:rPr>
          <w:sz w:val="24"/>
          <w:szCs w:val="24"/>
        </w:rPr>
        <w:tab/>
      </w:r>
      <w:r w:rsidRPr="00BE2519">
        <w:rPr>
          <w:b/>
          <w:sz w:val="24"/>
          <w:szCs w:val="24"/>
        </w:rPr>
        <w:t>Subdivision (1) (b)</w:t>
      </w:r>
      <w:r w:rsidRPr="00BE2519">
        <w:rPr>
          <w:sz w:val="24"/>
          <w:szCs w:val="24"/>
        </w:rPr>
        <w:t xml:space="preserve"> states New York’s rule permitting the cross-examination of a character witness about whether the witness had heard about prior specific instances of conduct at odds with the reputation attributed to the person who was the subject of the character testimony</w:t>
      </w:r>
      <w:r w:rsidR="007B55EF" w:rsidRPr="00BE2519">
        <w:rPr>
          <w:sz w:val="24"/>
          <w:szCs w:val="24"/>
        </w:rPr>
        <w:t xml:space="preserve">. </w:t>
      </w:r>
      <w:r w:rsidRPr="00BE2519">
        <w:rPr>
          <w:sz w:val="24"/>
          <w:szCs w:val="24"/>
        </w:rPr>
        <w:t>(</w:t>
      </w:r>
      <w:r w:rsidRPr="00BE2519">
        <w:rPr>
          <w:i/>
          <w:iCs/>
          <w:sz w:val="24"/>
          <w:szCs w:val="24"/>
        </w:rPr>
        <w:t>See People v Kennedy</w:t>
      </w:r>
      <w:r w:rsidRPr="00BE2519">
        <w:rPr>
          <w:sz w:val="24"/>
          <w:szCs w:val="24"/>
        </w:rPr>
        <w:t>,</w:t>
      </w:r>
      <w:r w:rsidRPr="00BE2519">
        <w:rPr>
          <w:i/>
          <w:iCs/>
          <w:sz w:val="24"/>
          <w:szCs w:val="24"/>
        </w:rPr>
        <w:t xml:space="preserve"> </w:t>
      </w:r>
      <w:r w:rsidRPr="00BE2519">
        <w:rPr>
          <w:sz w:val="24"/>
          <w:szCs w:val="24"/>
        </w:rPr>
        <w:t xml:space="preserve">47 NY2d 196, 206 [1979] [“Assuming, </w:t>
      </w:r>
      <w:r w:rsidRPr="00BE2519">
        <w:rPr>
          <w:i/>
          <w:iCs/>
          <w:sz w:val="24"/>
          <w:szCs w:val="24"/>
        </w:rPr>
        <w:t>arguendo</w:t>
      </w:r>
      <w:r w:rsidRPr="00BE2519">
        <w:rPr>
          <w:sz w:val="24"/>
          <w:szCs w:val="24"/>
        </w:rPr>
        <w:t xml:space="preserve">, that Mrs. Kennedy did indeed serve as a character witness, any impeachment cross-examination should have been limited to her knowledge of </w:t>
      </w:r>
      <w:r w:rsidR="004B576C" w:rsidRPr="00BE2519">
        <w:rPr>
          <w:sz w:val="24"/>
          <w:szCs w:val="24"/>
        </w:rPr>
        <w:t>defendant’</w:t>
      </w:r>
      <w:r w:rsidRPr="00BE2519">
        <w:rPr>
          <w:sz w:val="24"/>
          <w:szCs w:val="24"/>
        </w:rPr>
        <w:t xml:space="preserve">s reputation, and should not have extended to her personal knowledge of the underlying acts”]; </w:t>
      </w:r>
      <w:r w:rsidRPr="00BE2519">
        <w:rPr>
          <w:i/>
          <w:iCs/>
          <w:sz w:val="24"/>
          <w:szCs w:val="24"/>
        </w:rPr>
        <w:t>People v Kuss</w:t>
      </w:r>
      <w:r w:rsidRPr="00BE2519">
        <w:rPr>
          <w:sz w:val="24"/>
          <w:szCs w:val="24"/>
        </w:rPr>
        <w:t>, 32 NY2d 436, 443 [1973] [when the credibility of character witnesses is at issue, “it is well established that they may be asked as to the existence of rumors or reports of particular acts allegedly committed by the defendant which are inconsistent with the reputation they have attributed to him. However(,) as the defendant indicates, there are certain limitations</w:t>
      </w:r>
      <w:r w:rsidR="007B55EF" w:rsidRPr="00BE2519">
        <w:rPr>
          <w:sz w:val="24"/>
          <w:szCs w:val="24"/>
        </w:rPr>
        <w:t xml:space="preserve">. </w:t>
      </w:r>
      <w:r w:rsidRPr="00BE2519">
        <w:rPr>
          <w:sz w:val="24"/>
          <w:szCs w:val="24"/>
        </w:rPr>
        <w:t xml:space="preserve">The inquiry cannot be used to prove the truth of the rumors, but only to </w:t>
      </w:r>
      <w:r w:rsidRPr="00BE2519">
        <w:rPr>
          <w:sz w:val="24"/>
          <w:szCs w:val="24"/>
        </w:rPr>
        <w:lastRenderedPageBreak/>
        <w:t>show the ability of the witness to a</w:t>
      </w:r>
      <w:r w:rsidR="004B576C" w:rsidRPr="00BE2519">
        <w:rPr>
          <w:sz w:val="24"/>
          <w:szCs w:val="24"/>
        </w:rPr>
        <w:t>ccurately reflect the defendant’</w:t>
      </w:r>
      <w:r w:rsidRPr="00BE2519">
        <w:rPr>
          <w:sz w:val="24"/>
          <w:szCs w:val="24"/>
        </w:rPr>
        <w:t>s reputation in the community</w:t>
      </w:r>
      <w:r w:rsidR="007B55EF" w:rsidRPr="00BE2519">
        <w:rPr>
          <w:sz w:val="24"/>
          <w:szCs w:val="24"/>
        </w:rPr>
        <w:t xml:space="preserve">. </w:t>
      </w:r>
      <w:r w:rsidRPr="00BE2519">
        <w:rPr>
          <w:sz w:val="24"/>
          <w:szCs w:val="24"/>
        </w:rPr>
        <w:t xml:space="preserve">And the prosecutor must act in good faith; there must be some basis for his questions” (citation omitted)]; </w:t>
      </w:r>
      <w:r w:rsidRPr="00BE2519">
        <w:rPr>
          <w:i/>
          <w:iCs/>
          <w:sz w:val="24"/>
          <w:szCs w:val="24"/>
        </w:rPr>
        <w:t>see also People v Alamo</w:t>
      </w:r>
      <w:r w:rsidRPr="00BE2519">
        <w:rPr>
          <w:sz w:val="24"/>
          <w:szCs w:val="24"/>
        </w:rPr>
        <w:t>, 23 NY2d 630 [1969].)</w:t>
      </w:r>
      <w:r w:rsidR="00072FC5" w:rsidRPr="00BE2519">
        <w:rPr>
          <w:sz w:val="24"/>
          <w:szCs w:val="24"/>
        </w:rPr>
        <w:t xml:space="preserve"> </w:t>
      </w:r>
      <w:r w:rsidRPr="00BE2519">
        <w:rPr>
          <w:sz w:val="24"/>
          <w:szCs w:val="24"/>
        </w:rPr>
        <w:t xml:space="preserve">Of note, both </w:t>
      </w:r>
      <w:r w:rsidRPr="00BE2519">
        <w:rPr>
          <w:i/>
          <w:iCs/>
          <w:sz w:val="24"/>
          <w:szCs w:val="24"/>
        </w:rPr>
        <w:t>Kuss</w:t>
      </w:r>
      <w:r w:rsidRPr="00BE2519">
        <w:rPr>
          <w:sz w:val="24"/>
          <w:szCs w:val="24"/>
        </w:rPr>
        <w:t xml:space="preserve"> and </w:t>
      </w:r>
      <w:r w:rsidRPr="00BE2519">
        <w:rPr>
          <w:i/>
          <w:iCs/>
          <w:sz w:val="24"/>
          <w:szCs w:val="24"/>
        </w:rPr>
        <w:t>Alamo</w:t>
      </w:r>
      <w:r w:rsidRPr="00BE2519">
        <w:rPr>
          <w:sz w:val="24"/>
          <w:szCs w:val="24"/>
        </w:rPr>
        <w:t xml:space="preserve"> cite with approval </w:t>
      </w:r>
      <w:r w:rsidRPr="00BE2519">
        <w:rPr>
          <w:i/>
          <w:iCs/>
          <w:sz w:val="24"/>
          <w:szCs w:val="24"/>
        </w:rPr>
        <w:t>Michelson v United States</w:t>
      </w:r>
      <w:r w:rsidRPr="00BE2519">
        <w:rPr>
          <w:sz w:val="24"/>
          <w:szCs w:val="24"/>
        </w:rPr>
        <w:t xml:space="preserve"> (335 US 469 [1948]), with the Court in </w:t>
      </w:r>
      <w:r w:rsidRPr="00BE2519">
        <w:rPr>
          <w:i/>
          <w:iCs/>
          <w:sz w:val="24"/>
          <w:szCs w:val="24"/>
        </w:rPr>
        <w:t xml:space="preserve">Alamo </w:t>
      </w:r>
      <w:r w:rsidRPr="00BE2519">
        <w:rPr>
          <w:sz w:val="24"/>
          <w:szCs w:val="24"/>
        </w:rPr>
        <w:t xml:space="preserve">stating that </w:t>
      </w:r>
      <w:r w:rsidRPr="00BE2519">
        <w:rPr>
          <w:i/>
          <w:iCs/>
          <w:sz w:val="24"/>
          <w:szCs w:val="24"/>
        </w:rPr>
        <w:t>Michelson</w:t>
      </w:r>
      <w:r w:rsidRPr="00BE2519">
        <w:rPr>
          <w:sz w:val="24"/>
          <w:szCs w:val="24"/>
        </w:rPr>
        <w:t xml:space="preserve"> is the </w:t>
      </w:r>
    </w:p>
    <w:p w14:paraId="28D521E3" w14:textId="77777777" w:rsidR="00BC21AB" w:rsidRPr="00BE2519" w:rsidRDefault="00BC21AB"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381C055" w14:textId="7E30C21E" w:rsidR="00C72A56" w:rsidRPr="00BE2519" w:rsidRDefault="00C72A56" w:rsidP="00F87993">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r w:rsidRPr="00BE2519">
        <w:rPr>
          <w:sz w:val="24"/>
          <w:szCs w:val="24"/>
        </w:rPr>
        <w:t>“leading modern case on character testimony and the cross-examination of a character witness . . . There, the policy problem of allowing this type of evidence at all was examined exhaustively by Justice Jackson, including a number of New York cases, and it was held that when a defendant introduces the subject of his good character it ‘throw[s] open the entire subject’ of his good name through cross-examination of the witnesses called as to contrary reports and rumors and by independent proof adversely affecting the reputation of defendant</w:t>
      </w:r>
      <w:r w:rsidR="007B55EF" w:rsidRPr="00BE2519">
        <w:rPr>
          <w:sz w:val="24"/>
          <w:szCs w:val="24"/>
        </w:rPr>
        <w:t xml:space="preserve">. </w:t>
      </w:r>
      <w:r w:rsidRPr="00BE2519">
        <w:rPr>
          <w:sz w:val="24"/>
          <w:szCs w:val="24"/>
        </w:rPr>
        <w:t>The court felt that the archaic disadvantages of the rule could be overcome by ‘discretionary controls in the hands of a wise and strong trial court.’ ” (</w:t>
      </w:r>
      <w:r w:rsidRPr="00BE2519">
        <w:rPr>
          <w:i/>
          <w:iCs/>
          <w:sz w:val="24"/>
          <w:szCs w:val="24"/>
        </w:rPr>
        <w:t>Alamo</w:t>
      </w:r>
      <w:r w:rsidRPr="00BE2519">
        <w:rPr>
          <w:sz w:val="24"/>
          <w:szCs w:val="24"/>
        </w:rPr>
        <w:t>, 23 NY2d at 634 [citation omitted].)</w:t>
      </w:r>
    </w:p>
    <w:p w14:paraId="73BC3F90" w14:textId="77777777" w:rsidR="00BC21AB" w:rsidRPr="00BE2519" w:rsidRDefault="00BC21AB" w:rsidP="00F87993">
      <w:pPr>
        <w:widowControl/>
        <w:tabs>
          <w:tab w:val="left" w:pos="720"/>
          <w:tab w:val="left" w:pos="1440"/>
          <w:tab w:val="left" w:pos="2160"/>
          <w:tab w:val="left" w:pos="2880"/>
          <w:tab w:val="left" w:pos="3600"/>
          <w:tab w:val="left" w:pos="4320"/>
          <w:tab w:val="left" w:pos="5040"/>
          <w:tab w:val="left" w:pos="5760"/>
          <w:tab w:val="left" w:pos="6480"/>
          <w:tab w:val="left" w:pos="7198"/>
        </w:tabs>
        <w:ind w:right="720"/>
        <w:jc w:val="both"/>
        <w:rPr>
          <w:sz w:val="24"/>
          <w:szCs w:val="24"/>
        </w:rPr>
      </w:pPr>
    </w:p>
    <w:p w14:paraId="17DF6A7B" w14:textId="781D9F45" w:rsidR="00C72A56" w:rsidRPr="00BE2519" w:rsidRDefault="00C72A56"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2519">
        <w:rPr>
          <w:sz w:val="24"/>
          <w:szCs w:val="24"/>
        </w:rPr>
        <w:tab/>
        <w:t>Since use of this impeachment method has the potential for unfair prejudice, especially to a defendant in a criminal proceeding, and may confuse or mislead the jury, the nature and extent of the cross-examination are subject to the sound discretion of the court</w:t>
      </w:r>
      <w:r w:rsidR="007B55EF" w:rsidRPr="00BE2519">
        <w:rPr>
          <w:sz w:val="24"/>
          <w:szCs w:val="24"/>
        </w:rPr>
        <w:t>.</w:t>
      </w:r>
      <w:r w:rsidR="00072FC5" w:rsidRPr="00BE2519">
        <w:rPr>
          <w:sz w:val="24"/>
          <w:szCs w:val="24"/>
        </w:rPr>
        <w:t xml:space="preserve"> </w:t>
      </w:r>
      <w:r w:rsidRPr="00BE2519">
        <w:rPr>
          <w:sz w:val="24"/>
          <w:szCs w:val="24"/>
        </w:rPr>
        <w:t>(</w:t>
      </w:r>
      <w:r w:rsidRPr="00BE2519">
        <w:rPr>
          <w:i/>
          <w:iCs/>
          <w:sz w:val="24"/>
          <w:szCs w:val="24"/>
        </w:rPr>
        <w:t>Smith</w:t>
      </w:r>
      <w:r w:rsidRPr="00BE2519">
        <w:rPr>
          <w:sz w:val="24"/>
          <w:szCs w:val="24"/>
        </w:rPr>
        <w:t>, 27 NY3d 652.)</w:t>
      </w:r>
    </w:p>
    <w:p w14:paraId="7104AB33" w14:textId="77777777" w:rsidR="00BC21AB" w:rsidRPr="00BE2519" w:rsidRDefault="00BC21AB"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B28BE69" w14:textId="61879084" w:rsidR="00C72A56" w:rsidRPr="00BE2519" w:rsidRDefault="00C72A56"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2519">
        <w:rPr>
          <w:sz w:val="24"/>
          <w:szCs w:val="24"/>
        </w:rPr>
        <w:tab/>
        <w:t xml:space="preserve">When exercising its discretion regarding the potential cross-examination of a defendant in a criminal proceeding, whether with respect to a prior criminal conviction or any other criminal, vicious or immoral conduct, the trial court must, upon a request of the defendant, prior to trial, exercise its discretion in accord with the dictates of </w:t>
      </w:r>
      <w:r w:rsidRPr="00BE2519">
        <w:rPr>
          <w:i/>
          <w:iCs/>
          <w:sz w:val="24"/>
          <w:szCs w:val="24"/>
        </w:rPr>
        <w:t>People v Sandoval</w:t>
      </w:r>
      <w:r w:rsidRPr="00BE2519">
        <w:rPr>
          <w:sz w:val="24"/>
          <w:szCs w:val="24"/>
        </w:rPr>
        <w:t xml:space="preserve"> (34 NY2d 371 [1974]), and </w:t>
      </w:r>
      <w:r w:rsidRPr="00BE2519">
        <w:rPr>
          <w:i/>
          <w:iCs/>
          <w:sz w:val="24"/>
          <w:szCs w:val="24"/>
        </w:rPr>
        <w:t>People v Kennedy</w:t>
      </w:r>
      <w:r w:rsidRPr="00BE2519">
        <w:rPr>
          <w:sz w:val="24"/>
          <w:szCs w:val="24"/>
        </w:rPr>
        <w:t xml:space="preserve"> (47 NY2d at 205-206)</w:t>
      </w:r>
      <w:r w:rsidR="007B55EF" w:rsidRPr="00BE2519">
        <w:rPr>
          <w:sz w:val="24"/>
          <w:szCs w:val="24"/>
        </w:rPr>
        <w:t>.</w:t>
      </w:r>
      <w:r w:rsidR="00072FC5" w:rsidRPr="00BE2519">
        <w:rPr>
          <w:sz w:val="24"/>
          <w:szCs w:val="24"/>
        </w:rPr>
        <w:t xml:space="preserve"> </w:t>
      </w:r>
      <w:r w:rsidR="00BC21AB" w:rsidRPr="00BE2519">
        <w:rPr>
          <w:i/>
          <w:iCs/>
          <w:sz w:val="24"/>
          <w:szCs w:val="24"/>
        </w:rPr>
        <w:t>Sandoval</w:t>
      </w:r>
      <w:r w:rsidR="00BC21AB" w:rsidRPr="00BE2519">
        <w:rPr>
          <w:sz w:val="24"/>
          <w:szCs w:val="24"/>
        </w:rPr>
        <w:t xml:space="preserve"> explained that</w:t>
      </w:r>
    </w:p>
    <w:p w14:paraId="451D97CA" w14:textId="77777777" w:rsidR="00BC21AB" w:rsidRPr="00BE2519" w:rsidRDefault="00BC21AB"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B54EB77" w14:textId="77777777" w:rsidR="00C72A56" w:rsidRPr="00BE2519" w:rsidRDefault="00BC21AB" w:rsidP="00F87993">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r w:rsidRPr="00BE2519">
        <w:rPr>
          <w:sz w:val="24"/>
          <w:szCs w:val="24"/>
        </w:rPr>
        <w:t>“</w:t>
      </w:r>
      <w:r w:rsidR="00C72A56" w:rsidRPr="00BE2519">
        <w:rPr>
          <w:sz w:val="24"/>
          <w:szCs w:val="24"/>
        </w:rPr>
        <w:t>[t]o the extent . . . that the prior commission of a particular crime of calculated violence or of specified vicious or immoral acts significantly revealed a willingness or disposition on the part of the particular defendant voluntarily to place the advancement of his individual self-interest ahead of principle or of the interests of society, proof thereof may be relevant to suggest his readiness to do so again on the witness stand.” (</w:t>
      </w:r>
      <w:r w:rsidR="00C72A56" w:rsidRPr="00BE2519">
        <w:rPr>
          <w:i/>
          <w:iCs/>
          <w:sz w:val="24"/>
          <w:szCs w:val="24"/>
        </w:rPr>
        <w:t>Sandoval</w:t>
      </w:r>
      <w:r w:rsidR="00C72A56" w:rsidRPr="00BE2519">
        <w:rPr>
          <w:sz w:val="24"/>
          <w:szCs w:val="24"/>
        </w:rPr>
        <w:t>, 34 NY2d at 377.)</w:t>
      </w:r>
    </w:p>
    <w:p w14:paraId="23D9E7DC" w14:textId="77777777" w:rsidR="00BC21AB" w:rsidRPr="00BE2519" w:rsidRDefault="00BC21AB" w:rsidP="00F87993">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p>
    <w:p w14:paraId="79A09C2A" w14:textId="2C044435" w:rsidR="00C72A56" w:rsidRPr="00BE2519" w:rsidRDefault="00C72A56"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2519">
        <w:rPr>
          <w:sz w:val="24"/>
          <w:szCs w:val="24"/>
        </w:rPr>
        <w:t>And, the Court of Appeals has added that in the court’s exercise of discretion “there are no per se rules requiring preclusion because of the age, nature, and number” of crimes or acts of misconduct sought to be examined about</w:t>
      </w:r>
      <w:r w:rsidR="007B55EF" w:rsidRPr="00BE2519">
        <w:rPr>
          <w:sz w:val="24"/>
          <w:szCs w:val="24"/>
        </w:rPr>
        <w:t>.</w:t>
      </w:r>
      <w:r w:rsidR="00072FC5" w:rsidRPr="00BE2519">
        <w:rPr>
          <w:sz w:val="24"/>
          <w:szCs w:val="24"/>
        </w:rPr>
        <w:t xml:space="preserve"> </w:t>
      </w:r>
      <w:r w:rsidRPr="00BE2519">
        <w:rPr>
          <w:sz w:val="24"/>
          <w:szCs w:val="24"/>
        </w:rPr>
        <w:t>(</w:t>
      </w:r>
      <w:r w:rsidRPr="00BE2519">
        <w:rPr>
          <w:i/>
          <w:iCs/>
          <w:sz w:val="24"/>
          <w:szCs w:val="24"/>
        </w:rPr>
        <w:t>People v Walker</w:t>
      </w:r>
      <w:r w:rsidRPr="00BE2519">
        <w:rPr>
          <w:sz w:val="24"/>
          <w:szCs w:val="24"/>
        </w:rPr>
        <w:t>, 83 NY2d at 459.)</w:t>
      </w:r>
    </w:p>
    <w:p w14:paraId="2193EEC5" w14:textId="77777777" w:rsidR="00BC21AB" w:rsidRPr="00BE2519" w:rsidRDefault="00BC21AB"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33BCA9E" w14:textId="77777777" w:rsidR="00C72A56" w:rsidRPr="00BE2519" w:rsidRDefault="00C72A56"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2519">
        <w:rPr>
          <w:sz w:val="24"/>
          <w:szCs w:val="24"/>
        </w:rPr>
        <w:tab/>
      </w:r>
      <w:r w:rsidRPr="00BE2519">
        <w:rPr>
          <w:b/>
          <w:sz w:val="24"/>
          <w:szCs w:val="24"/>
        </w:rPr>
        <w:t>Subdivision (1) (c) (i)</w:t>
      </w:r>
      <w:r w:rsidRPr="00BE2519">
        <w:rPr>
          <w:sz w:val="24"/>
          <w:szCs w:val="24"/>
        </w:rPr>
        <w:t xml:space="preserve"> restates the Court of Appeals holdings in </w:t>
      </w:r>
      <w:r w:rsidRPr="00BE2519">
        <w:rPr>
          <w:i/>
          <w:iCs/>
          <w:sz w:val="24"/>
          <w:szCs w:val="24"/>
        </w:rPr>
        <w:t>People v Smith</w:t>
      </w:r>
      <w:r w:rsidRPr="00BE2519">
        <w:rPr>
          <w:sz w:val="24"/>
          <w:szCs w:val="24"/>
        </w:rPr>
        <w:t xml:space="preserve"> (27 NY3d at 662) and </w:t>
      </w:r>
      <w:r w:rsidRPr="00BE2519">
        <w:rPr>
          <w:i/>
          <w:iCs/>
          <w:sz w:val="24"/>
          <w:szCs w:val="24"/>
        </w:rPr>
        <w:t>People v Coleman</w:t>
      </w:r>
      <w:r w:rsidRPr="00BE2519">
        <w:rPr>
          <w:sz w:val="24"/>
          <w:szCs w:val="24"/>
        </w:rPr>
        <w:t xml:space="preserve"> (56 NY2d 269, 273 [1982]) that the specific instance of conduct must logically and reasonably relate to the witness’s credibility and that whether it does is committed to the sound discretion of the court.</w:t>
      </w:r>
    </w:p>
    <w:p w14:paraId="67D8DB13" w14:textId="77777777" w:rsidR="00BC21AB" w:rsidRPr="00BE2519" w:rsidRDefault="00BC21AB"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5595347" w14:textId="77777777" w:rsidR="00C72A56" w:rsidRPr="00BE2519" w:rsidRDefault="00C72A56"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2519">
        <w:rPr>
          <w:sz w:val="24"/>
          <w:szCs w:val="24"/>
        </w:rPr>
        <w:lastRenderedPageBreak/>
        <w:tab/>
      </w:r>
      <w:r w:rsidRPr="00BE2519">
        <w:rPr>
          <w:b/>
          <w:sz w:val="24"/>
          <w:szCs w:val="24"/>
        </w:rPr>
        <w:t>Subdivision (1) (c) (ii)</w:t>
      </w:r>
      <w:r w:rsidRPr="00BE2519">
        <w:rPr>
          <w:sz w:val="24"/>
          <w:szCs w:val="24"/>
        </w:rPr>
        <w:t xml:space="preserve"> is derived from </w:t>
      </w:r>
      <w:r w:rsidRPr="00BE2519">
        <w:rPr>
          <w:i/>
          <w:iCs/>
          <w:sz w:val="24"/>
          <w:szCs w:val="24"/>
        </w:rPr>
        <w:t>People v Smith</w:t>
      </w:r>
      <w:r w:rsidRPr="00BE2519">
        <w:rPr>
          <w:sz w:val="24"/>
          <w:szCs w:val="24"/>
        </w:rPr>
        <w:t xml:space="preserve"> (27 NY3d at 662).</w:t>
      </w:r>
    </w:p>
    <w:p w14:paraId="4EDC896F" w14:textId="77777777" w:rsidR="00BC21AB" w:rsidRPr="00BE2519" w:rsidRDefault="00BC21AB"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D913B77" w14:textId="03850A26" w:rsidR="00C72A56" w:rsidRPr="00BE2519" w:rsidRDefault="00C72A56"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2519">
        <w:rPr>
          <w:sz w:val="24"/>
          <w:szCs w:val="24"/>
        </w:rPr>
        <w:tab/>
      </w:r>
      <w:r w:rsidRPr="00BE2519">
        <w:rPr>
          <w:b/>
          <w:sz w:val="24"/>
          <w:szCs w:val="24"/>
        </w:rPr>
        <w:t>Subdivision (1) (c) (iii)</w:t>
      </w:r>
      <w:r w:rsidRPr="00BE2519">
        <w:rPr>
          <w:sz w:val="24"/>
          <w:szCs w:val="24"/>
        </w:rPr>
        <w:t xml:space="preserve"> is derived from</w:t>
      </w:r>
      <w:r w:rsidRPr="00BE2519">
        <w:rPr>
          <w:i/>
          <w:iCs/>
          <w:sz w:val="24"/>
          <w:szCs w:val="24"/>
        </w:rPr>
        <w:t xml:space="preserve"> People v Santiago</w:t>
      </w:r>
      <w:r w:rsidRPr="00BE2519">
        <w:rPr>
          <w:sz w:val="24"/>
          <w:szCs w:val="24"/>
        </w:rPr>
        <w:t xml:space="preserve"> (15 NY2d 640, 641 [1964] [“prejudicial error was committed when the prosecutor on cross-examination questioned defendant about a criminal charge on which he had been acquitted”])</w:t>
      </w:r>
      <w:r w:rsidR="007B55EF" w:rsidRPr="00BE2519">
        <w:rPr>
          <w:sz w:val="24"/>
          <w:szCs w:val="24"/>
        </w:rPr>
        <w:t>.</w:t>
      </w:r>
      <w:r w:rsidR="00072FC5" w:rsidRPr="00BE2519">
        <w:rPr>
          <w:sz w:val="24"/>
          <w:szCs w:val="24"/>
        </w:rPr>
        <w:t xml:space="preserve"> </w:t>
      </w:r>
      <w:r w:rsidRPr="00BE2519">
        <w:rPr>
          <w:sz w:val="24"/>
          <w:szCs w:val="24"/>
        </w:rPr>
        <w:t>A witness may, however, be subject to impeachment by the underlying facts of a charge dismissed by the grand jury</w:t>
      </w:r>
      <w:r w:rsidR="007B55EF" w:rsidRPr="00BE2519">
        <w:rPr>
          <w:sz w:val="24"/>
          <w:szCs w:val="24"/>
        </w:rPr>
        <w:t>.</w:t>
      </w:r>
      <w:r w:rsidR="00072FC5" w:rsidRPr="00BE2519">
        <w:rPr>
          <w:sz w:val="24"/>
          <w:szCs w:val="24"/>
        </w:rPr>
        <w:t xml:space="preserve"> </w:t>
      </w:r>
      <w:r w:rsidRPr="00BE2519">
        <w:rPr>
          <w:sz w:val="24"/>
          <w:szCs w:val="24"/>
        </w:rPr>
        <w:t>(</w:t>
      </w:r>
      <w:r w:rsidRPr="00BE2519">
        <w:rPr>
          <w:i/>
          <w:iCs/>
          <w:sz w:val="24"/>
          <w:szCs w:val="24"/>
        </w:rPr>
        <w:t>People v Alamo</w:t>
      </w:r>
      <w:r w:rsidRPr="00BE2519">
        <w:rPr>
          <w:sz w:val="24"/>
          <w:szCs w:val="24"/>
        </w:rPr>
        <w:t>, 23 NY2d 630 [1969] [dismissal by the grand jury].)</w:t>
      </w:r>
    </w:p>
    <w:p w14:paraId="47A343C2" w14:textId="77777777" w:rsidR="00BC21AB" w:rsidRPr="00BE2519" w:rsidRDefault="00BC21AB"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bookmarkStart w:id="2" w:name="_Hlk87959735"/>
    </w:p>
    <w:p w14:paraId="04C5A785" w14:textId="73031803" w:rsidR="00A32F70" w:rsidRPr="00BE2519" w:rsidRDefault="00BC21AB"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2519">
        <w:rPr>
          <w:b/>
          <w:sz w:val="24"/>
          <w:szCs w:val="24"/>
        </w:rPr>
        <w:tab/>
      </w:r>
      <w:r w:rsidR="00C72A56" w:rsidRPr="00BE2519">
        <w:rPr>
          <w:b/>
          <w:sz w:val="24"/>
          <w:szCs w:val="24"/>
        </w:rPr>
        <w:t>Subdivision (1) (c) (iv)</w:t>
      </w:r>
      <w:r w:rsidR="00C72A56" w:rsidRPr="00BE2519">
        <w:rPr>
          <w:sz w:val="24"/>
          <w:szCs w:val="24"/>
        </w:rPr>
        <w:t xml:space="preserve"> </w:t>
      </w:r>
      <w:r w:rsidR="002B4722" w:rsidRPr="00BE2519">
        <w:rPr>
          <w:sz w:val="24"/>
          <w:szCs w:val="24"/>
        </w:rPr>
        <w:t xml:space="preserve">was </w:t>
      </w:r>
      <w:r w:rsidR="00C72A56" w:rsidRPr="00BE2519">
        <w:rPr>
          <w:sz w:val="24"/>
          <w:szCs w:val="24"/>
        </w:rPr>
        <w:t xml:space="preserve">derived from </w:t>
      </w:r>
      <w:r w:rsidR="00C72A56" w:rsidRPr="00BE2519">
        <w:rPr>
          <w:i/>
          <w:iCs/>
          <w:sz w:val="24"/>
          <w:szCs w:val="24"/>
        </w:rPr>
        <w:t>People v Sandoval</w:t>
      </w:r>
      <w:r w:rsidR="00C72A56" w:rsidRPr="00BE2519">
        <w:rPr>
          <w:sz w:val="24"/>
          <w:szCs w:val="24"/>
        </w:rPr>
        <w:t xml:space="preserve"> (34 NY2d 371 [1974]) and </w:t>
      </w:r>
      <w:r w:rsidR="00BC5F41" w:rsidRPr="00BE2519">
        <w:rPr>
          <w:sz w:val="24"/>
          <w:szCs w:val="24"/>
        </w:rPr>
        <w:t xml:space="preserve">former </w:t>
      </w:r>
      <w:r w:rsidR="00C72A56" w:rsidRPr="00BE2519">
        <w:rPr>
          <w:sz w:val="24"/>
          <w:szCs w:val="24"/>
        </w:rPr>
        <w:t>CPL</w:t>
      </w:r>
      <w:r w:rsidR="00B01C29" w:rsidRPr="00BE2519">
        <w:rPr>
          <w:sz w:val="24"/>
          <w:szCs w:val="24"/>
        </w:rPr>
        <w:t xml:space="preserve"> </w:t>
      </w:r>
      <w:r w:rsidR="00C72A56" w:rsidRPr="00BE2519">
        <w:rPr>
          <w:sz w:val="24"/>
          <w:szCs w:val="24"/>
        </w:rPr>
        <w:t>240.43</w:t>
      </w:r>
      <w:r w:rsidR="00F26335" w:rsidRPr="00BE2519">
        <w:rPr>
          <w:sz w:val="24"/>
          <w:szCs w:val="24"/>
        </w:rPr>
        <w:t xml:space="preserve">, </w:t>
      </w:r>
      <w:r w:rsidR="001A752B" w:rsidRPr="00BE2519">
        <w:rPr>
          <w:sz w:val="24"/>
          <w:szCs w:val="24"/>
        </w:rPr>
        <w:t xml:space="preserve">which was replaced by </w:t>
      </w:r>
      <w:r w:rsidR="006A074A" w:rsidRPr="00BE2519">
        <w:rPr>
          <w:sz w:val="24"/>
          <w:szCs w:val="24"/>
        </w:rPr>
        <w:t>CPL 245.2</w:t>
      </w:r>
      <w:r w:rsidR="00DC3AE4" w:rsidRPr="00BE2519">
        <w:rPr>
          <w:sz w:val="24"/>
          <w:szCs w:val="24"/>
        </w:rPr>
        <w:t>0</w:t>
      </w:r>
      <w:r w:rsidR="00ED106A" w:rsidRPr="00BE2519">
        <w:rPr>
          <w:sz w:val="24"/>
          <w:szCs w:val="24"/>
        </w:rPr>
        <w:t xml:space="preserve"> (</w:t>
      </w:r>
      <w:r w:rsidR="00DC3AE4" w:rsidRPr="00BE2519">
        <w:rPr>
          <w:sz w:val="24"/>
          <w:szCs w:val="24"/>
        </w:rPr>
        <w:t>3)</w:t>
      </w:r>
      <w:r w:rsidR="007B55EF" w:rsidRPr="00BE2519">
        <w:rPr>
          <w:sz w:val="24"/>
          <w:szCs w:val="24"/>
        </w:rPr>
        <w:t xml:space="preserve">. </w:t>
      </w:r>
      <w:r w:rsidR="00C72A56" w:rsidRPr="00BE2519">
        <w:rPr>
          <w:i/>
          <w:iCs/>
          <w:sz w:val="24"/>
          <w:szCs w:val="24"/>
        </w:rPr>
        <w:t xml:space="preserve">Sandoval </w:t>
      </w:r>
      <w:r w:rsidR="00A32F70" w:rsidRPr="00BE2519">
        <w:rPr>
          <w:sz w:val="24"/>
          <w:szCs w:val="24"/>
        </w:rPr>
        <w:t xml:space="preserve">set forth a procedure and criteria for </w:t>
      </w:r>
      <w:r w:rsidR="00C72A56" w:rsidRPr="00BE2519">
        <w:rPr>
          <w:sz w:val="24"/>
          <w:szCs w:val="24"/>
        </w:rPr>
        <w:t>a pretrial determination as to whether any of the defendant’s criminal convictions or prior instances of misconduct may be used for impeachment purposes</w:t>
      </w:r>
      <w:bookmarkStart w:id="3" w:name="_Hlk87535872"/>
      <w:r w:rsidR="0099575B" w:rsidRPr="00BE2519">
        <w:rPr>
          <w:sz w:val="24"/>
          <w:szCs w:val="24"/>
        </w:rPr>
        <w:t xml:space="preserve">. </w:t>
      </w:r>
      <w:bookmarkEnd w:id="2"/>
      <w:r w:rsidR="00A32F70" w:rsidRPr="00BE2519">
        <w:rPr>
          <w:i/>
          <w:iCs/>
          <w:sz w:val="24"/>
          <w:szCs w:val="24"/>
        </w:rPr>
        <w:t>People v Syposs</w:t>
      </w:r>
      <w:r w:rsidR="00A32F70" w:rsidRPr="00BE2519">
        <w:rPr>
          <w:sz w:val="24"/>
          <w:szCs w:val="24"/>
        </w:rPr>
        <w:t xml:space="preserve"> </w:t>
      </w:r>
      <w:r w:rsidR="00ED106A" w:rsidRPr="00BE2519">
        <w:rPr>
          <w:sz w:val="24"/>
          <w:szCs w:val="24"/>
        </w:rPr>
        <w:t>(</w:t>
      </w:r>
      <w:r w:rsidR="00A32F70" w:rsidRPr="00BE2519">
        <w:rPr>
          <w:sz w:val="24"/>
          <w:szCs w:val="24"/>
        </w:rPr>
        <w:t>122 AD2d 600, 600-</w:t>
      </w:r>
      <w:r w:rsidR="00ED106A" w:rsidRPr="00BE2519">
        <w:rPr>
          <w:sz w:val="24"/>
          <w:szCs w:val="24"/>
        </w:rPr>
        <w:t>6</w:t>
      </w:r>
      <w:r w:rsidR="00A32F70" w:rsidRPr="00BE2519">
        <w:rPr>
          <w:sz w:val="24"/>
          <w:szCs w:val="24"/>
        </w:rPr>
        <w:t>01</w:t>
      </w:r>
      <w:r w:rsidR="00ED106A" w:rsidRPr="00BE2519">
        <w:rPr>
          <w:sz w:val="24"/>
          <w:szCs w:val="24"/>
        </w:rPr>
        <w:t xml:space="preserve"> </w:t>
      </w:r>
      <w:r w:rsidR="00A32F70" w:rsidRPr="00BE2519">
        <w:rPr>
          <w:sz w:val="24"/>
          <w:szCs w:val="24"/>
        </w:rPr>
        <w:t>[4th Dept 1986]</w:t>
      </w:r>
      <w:r w:rsidR="00ED106A" w:rsidRPr="00BE2519">
        <w:rPr>
          <w:sz w:val="24"/>
          <w:szCs w:val="24"/>
        </w:rPr>
        <w:t>)</w:t>
      </w:r>
      <w:r w:rsidR="00A32F70" w:rsidRPr="00BE2519">
        <w:rPr>
          <w:sz w:val="24"/>
          <w:szCs w:val="24"/>
        </w:rPr>
        <w:t xml:space="preserve">, however, held that </w:t>
      </w:r>
      <w:r w:rsidR="00A32F70" w:rsidRPr="00BE2519">
        <w:rPr>
          <w:i/>
          <w:iCs/>
          <w:sz w:val="24"/>
          <w:szCs w:val="24"/>
        </w:rPr>
        <w:t>Sandoval</w:t>
      </w:r>
      <w:r w:rsidR="00A32F70" w:rsidRPr="00BE2519">
        <w:rPr>
          <w:sz w:val="24"/>
          <w:szCs w:val="24"/>
        </w:rPr>
        <w:t xml:space="preserve"> “neither enlarged nor diminished the court</w:t>
      </w:r>
      <w:r w:rsidR="00885E5D" w:rsidRPr="00BE2519">
        <w:rPr>
          <w:sz w:val="24"/>
          <w:szCs w:val="24"/>
        </w:rPr>
        <w:t>’</w:t>
      </w:r>
      <w:r w:rsidR="00A32F70" w:rsidRPr="00BE2519">
        <w:rPr>
          <w:sz w:val="24"/>
          <w:szCs w:val="24"/>
        </w:rPr>
        <w:t xml:space="preserve">s inherent and pre-existing power to exercise general control over the range of cross-examination; consequently, a defendant retains the right to object </w:t>
      </w:r>
      <w:r w:rsidR="00A32F70" w:rsidRPr="00BE2519">
        <w:rPr>
          <w:i/>
          <w:iCs/>
          <w:sz w:val="24"/>
          <w:szCs w:val="24"/>
        </w:rPr>
        <w:t>at trial</w:t>
      </w:r>
      <w:r w:rsidR="00A32F70" w:rsidRPr="00BE2519">
        <w:rPr>
          <w:sz w:val="24"/>
          <w:szCs w:val="24"/>
        </w:rPr>
        <w:t xml:space="preserve"> to prejudicial cross-examination, and when his objection challenges inquiry into his prior misconduct, he is entitled to a ruling based upon the same criteria as would have been applied had the issue been raised before trial” (internal quotation marks and citations omitted).</w:t>
      </w:r>
    </w:p>
    <w:p w14:paraId="683FDA92" w14:textId="77777777" w:rsidR="00A32F70" w:rsidRPr="00BE2519" w:rsidRDefault="00A32F70"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42F4BBA" w14:textId="6EAFB65A" w:rsidR="00C72A56" w:rsidRPr="00BE2519" w:rsidRDefault="008177B1"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2519">
        <w:rPr>
          <w:sz w:val="24"/>
          <w:szCs w:val="24"/>
        </w:rPr>
        <w:tab/>
      </w:r>
      <w:r w:rsidR="004F472B" w:rsidRPr="00BE2519">
        <w:rPr>
          <w:sz w:val="24"/>
          <w:szCs w:val="24"/>
        </w:rPr>
        <w:t xml:space="preserve">CPL </w:t>
      </w:r>
      <w:r w:rsidR="005F7EEB" w:rsidRPr="00BE2519">
        <w:rPr>
          <w:sz w:val="24"/>
          <w:szCs w:val="24"/>
        </w:rPr>
        <w:t>245.20</w:t>
      </w:r>
      <w:r w:rsidR="00ED106A" w:rsidRPr="00BE2519">
        <w:rPr>
          <w:sz w:val="24"/>
          <w:szCs w:val="24"/>
        </w:rPr>
        <w:t xml:space="preserve"> (</w:t>
      </w:r>
      <w:r w:rsidR="005F7EEB" w:rsidRPr="00BE2519">
        <w:rPr>
          <w:sz w:val="24"/>
          <w:szCs w:val="24"/>
        </w:rPr>
        <w:t>3</w:t>
      </w:r>
      <w:r w:rsidR="00ED106A" w:rsidRPr="00BE2519">
        <w:rPr>
          <w:sz w:val="24"/>
          <w:szCs w:val="24"/>
        </w:rPr>
        <w:t>)</w:t>
      </w:r>
      <w:r w:rsidR="005F7EEB" w:rsidRPr="00BE2519">
        <w:rPr>
          <w:sz w:val="24"/>
          <w:szCs w:val="24"/>
        </w:rPr>
        <w:t xml:space="preserve"> </w:t>
      </w:r>
      <w:bookmarkEnd w:id="3"/>
      <w:r w:rsidR="005F7EEB" w:rsidRPr="00BE2519">
        <w:rPr>
          <w:sz w:val="24"/>
          <w:szCs w:val="24"/>
        </w:rPr>
        <w:t xml:space="preserve">requires the prosecution to </w:t>
      </w:r>
      <w:r w:rsidR="007F5DE2" w:rsidRPr="00BE2519">
        <w:rPr>
          <w:sz w:val="24"/>
          <w:szCs w:val="24"/>
        </w:rPr>
        <w:t>“disclose to the defendant a list of all misconduct and criminal acts of the defendant not charged in the indictment, superior court information, prosecutor</w:t>
      </w:r>
      <w:r w:rsidR="00885E5D" w:rsidRPr="00BE2519">
        <w:rPr>
          <w:sz w:val="24"/>
          <w:szCs w:val="24"/>
        </w:rPr>
        <w:t>’</w:t>
      </w:r>
      <w:r w:rsidR="007F5DE2" w:rsidRPr="00BE2519">
        <w:rPr>
          <w:sz w:val="24"/>
          <w:szCs w:val="24"/>
        </w:rPr>
        <w:t>s information, information, or simplified information, which the prosecution intends to use at trial for purposes of (a) impeaching the credibility of the defendant, or (b) as substantive proof of any material issue in the case</w:t>
      </w:r>
      <w:r w:rsidR="008C4895" w:rsidRPr="00BE2519">
        <w:rPr>
          <w:sz w:val="24"/>
          <w:szCs w:val="24"/>
        </w:rPr>
        <w:t>.”</w:t>
      </w:r>
      <w:r w:rsidR="00ED106A" w:rsidRPr="00BE2519">
        <w:rPr>
          <w:sz w:val="24"/>
          <w:szCs w:val="24"/>
        </w:rPr>
        <w:t xml:space="preserve"> (</w:t>
      </w:r>
      <w:r w:rsidR="008C4895" w:rsidRPr="00BE2519">
        <w:rPr>
          <w:i/>
          <w:iCs/>
          <w:sz w:val="24"/>
          <w:szCs w:val="24"/>
        </w:rPr>
        <w:t>See</w:t>
      </w:r>
      <w:r w:rsidR="008C4895" w:rsidRPr="00BE2519">
        <w:rPr>
          <w:sz w:val="24"/>
          <w:szCs w:val="24"/>
        </w:rPr>
        <w:t xml:space="preserve"> CPL 245.10</w:t>
      </w:r>
      <w:r w:rsidR="00ED106A" w:rsidRPr="00BE2519">
        <w:rPr>
          <w:sz w:val="24"/>
          <w:szCs w:val="24"/>
        </w:rPr>
        <w:t xml:space="preserve"> [</w:t>
      </w:r>
      <w:r w:rsidR="008C4895" w:rsidRPr="00BE2519">
        <w:rPr>
          <w:sz w:val="24"/>
          <w:szCs w:val="24"/>
        </w:rPr>
        <w:t>1</w:t>
      </w:r>
      <w:r w:rsidR="00ED106A" w:rsidRPr="00BE2519">
        <w:rPr>
          <w:sz w:val="24"/>
          <w:szCs w:val="24"/>
        </w:rPr>
        <w:t>] [</w:t>
      </w:r>
      <w:r w:rsidR="008C4895" w:rsidRPr="00BE2519">
        <w:rPr>
          <w:sz w:val="24"/>
          <w:szCs w:val="24"/>
        </w:rPr>
        <w:t>b</w:t>
      </w:r>
      <w:r w:rsidR="00ED106A" w:rsidRPr="00BE2519">
        <w:rPr>
          <w:sz w:val="24"/>
          <w:szCs w:val="24"/>
        </w:rPr>
        <w:t>]</w:t>
      </w:r>
      <w:r w:rsidR="008C4895" w:rsidRPr="00BE2519">
        <w:rPr>
          <w:sz w:val="24"/>
          <w:szCs w:val="24"/>
        </w:rPr>
        <w:t xml:space="preserve"> on the timing of the disclosure.</w:t>
      </w:r>
      <w:r w:rsidR="00ED106A" w:rsidRPr="00BE2519">
        <w:rPr>
          <w:sz w:val="24"/>
          <w:szCs w:val="24"/>
        </w:rPr>
        <w:t>)</w:t>
      </w:r>
      <w:r w:rsidR="00F3257E" w:rsidRPr="00BE2519">
        <w:rPr>
          <w:sz w:val="24"/>
          <w:szCs w:val="24"/>
        </w:rPr>
        <w:t xml:space="preserve"> </w:t>
      </w:r>
      <w:r w:rsidR="00C72A56" w:rsidRPr="00BE2519">
        <w:rPr>
          <w:sz w:val="24"/>
          <w:szCs w:val="24"/>
        </w:rPr>
        <w:t>The defendant has the burden “of demonstrating that the prejudicial effect of the admission of evidence thereof for impeachment purposes would so far outweigh the probative worth of such evidence on the issue of credibility as to warrant its exclusion.</w:t>
      </w:r>
      <w:r w:rsidR="004B576C" w:rsidRPr="00BE2519">
        <w:rPr>
          <w:sz w:val="24"/>
          <w:szCs w:val="24"/>
        </w:rPr>
        <w:t>”</w:t>
      </w:r>
      <w:r w:rsidR="00C72A56" w:rsidRPr="00BE2519">
        <w:rPr>
          <w:sz w:val="24"/>
          <w:szCs w:val="24"/>
        </w:rPr>
        <w:t xml:space="preserve"> (</w:t>
      </w:r>
      <w:r w:rsidR="00C72A56" w:rsidRPr="00BE2519">
        <w:rPr>
          <w:i/>
          <w:iCs/>
          <w:sz w:val="24"/>
          <w:szCs w:val="24"/>
        </w:rPr>
        <w:t>Sandoval</w:t>
      </w:r>
      <w:r w:rsidR="00C72A56" w:rsidRPr="00BE2519">
        <w:rPr>
          <w:sz w:val="24"/>
          <w:szCs w:val="24"/>
        </w:rPr>
        <w:t xml:space="preserve"> at 378.) </w:t>
      </w:r>
    </w:p>
    <w:p w14:paraId="4578E47A" w14:textId="77777777" w:rsidR="00BC21AB" w:rsidRPr="00BE2519" w:rsidRDefault="00BC21AB"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9E20837" w14:textId="77777777" w:rsidR="00C72A56" w:rsidRPr="00BE2519" w:rsidRDefault="00BC21AB"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2519">
        <w:rPr>
          <w:i/>
          <w:iCs/>
          <w:sz w:val="24"/>
          <w:szCs w:val="24"/>
        </w:rPr>
        <w:tab/>
      </w:r>
      <w:r w:rsidR="00C72A56" w:rsidRPr="00BE2519">
        <w:rPr>
          <w:i/>
          <w:iCs/>
          <w:sz w:val="24"/>
          <w:szCs w:val="24"/>
        </w:rPr>
        <w:t>Sandoval</w:t>
      </w:r>
      <w:r w:rsidR="00C72A56" w:rsidRPr="00BE2519">
        <w:rPr>
          <w:sz w:val="24"/>
          <w:szCs w:val="24"/>
        </w:rPr>
        <w:t xml:space="preserve"> set forth the various criteria a court may consider in exercising its discretion as follows:</w:t>
      </w:r>
    </w:p>
    <w:p w14:paraId="7F621565" w14:textId="77777777" w:rsidR="00BC21AB" w:rsidRPr="00BE2519" w:rsidRDefault="00BC21AB"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70DBC7B6" w14:textId="19DB0DF0" w:rsidR="00C72A56" w:rsidRPr="00BE2519" w:rsidRDefault="00BC21AB" w:rsidP="00F87993">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r w:rsidRPr="00BE2519">
        <w:rPr>
          <w:sz w:val="24"/>
          <w:szCs w:val="24"/>
        </w:rPr>
        <w:t>“</w:t>
      </w:r>
      <w:r w:rsidR="00C72A56" w:rsidRPr="00BE2519">
        <w:rPr>
          <w:sz w:val="24"/>
          <w:szCs w:val="24"/>
        </w:rPr>
        <w:t>Evidence of prior specific criminal, vicious or immoral conduct should be admitted if the nature of such conduct or the circumstances in which it occurred bear logically and reasonably on the issue of credibility</w:t>
      </w:r>
      <w:r w:rsidR="0099575B" w:rsidRPr="00BE2519">
        <w:rPr>
          <w:sz w:val="24"/>
          <w:szCs w:val="24"/>
        </w:rPr>
        <w:t>.</w:t>
      </w:r>
      <w:r w:rsidR="00ED106A" w:rsidRPr="00BE2519">
        <w:rPr>
          <w:sz w:val="24"/>
          <w:szCs w:val="24"/>
        </w:rPr>
        <w:t xml:space="preserve"> </w:t>
      </w:r>
      <w:r w:rsidR="00C72A56" w:rsidRPr="00BE2519">
        <w:rPr>
          <w:sz w:val="24"/>
          <w:szCs w:val="24"/>
        </w:rPr>
        <w:t>Lapse of time, however, will affect the materiality if not the relevance of previous conduct</w:t>
      </w:r>
      <w:r w:rsidR="0099575B" w:rsidRPr="00BE2519">
        <w:rPr>
          <w:sz w:val="24"/>
          <w:szCs w:val="24"/>
        </w:rPr>
        <w:t>.</w:t>
      </w:r>
      <w:r w:rsidR="00ED106A" w:rsidRPr="00BE2519">
        <w:rPr>
          <w:sz w:val="24"/>
          <w:szCs w:val="24"/>
        </w:rPr>
        <w:t xml:space="preserve"> </w:t>
      </w:r>
      <w:r w:rsidR="00C72A56" w:rsidRPr="00BE2519">
        <w:rPr>
          <w:sz w:val="24"/>
          <w:szCs w:val="24"/>
        </w:rPr>
        <w:t xml:space="preserve">The commission of an act of impulsive violence, particularly if remote in time, will seldom have any logical bearing on the defendant’s credibility, veracity or honesty at the time of trial. . . . To the extent, however, that the prior commission of a particular crime of calculated violence or of specified vicious or immoral acts significantly revealed a willingness or disposition on the part of the particular defendant voluntarily to place the advancement of his individual self-interest ahead of principle or of the interests of </w:t>
      </w:r>
      <w:r w:rsidR="00C72A56" w:rsidRPr="00BE2519">
        <w:rPr>
          <w:sz w:val="24"/>
          <w:szCs w:val="24"/>
        </w:rPr>
        <w:lastRenderedPageBreak/>
        <w:t>society, proof thereof may be relevant to suggest his readiness to do so again on the witness stand</w:t>
      </w:r>
      <w:r w:rsidR="0099575B" w:rsidRPr="00BE2519">
        <w:rPr>
          <w:sz w:val="24"/>
          <w:szCs w:val="24"/>
        </w:rPr>
        <w:t>.</w:t>
      </w:r>
      <w:r w:rsidR="00ED106A" w:rsidRPr="00BE2519">
        <w:rPr>
          <w:sz w:val="24"/>
          <w:szCs w:val="24"/>
        </w:rPr>
        <w:t xml:space="preserve"> </w:t>
      </w:r>
      <w:r w:rsidR="00C72A56" w:rsidRPr="00BE2519">
        <w:rPr>
          <w:sz w:val="24"/>
          <w:szCs w:val="24"/>
        </w:rPr>
        <w:t>A demonstrated determination deliberately to further</w:t>
      </w:r>
      <w:r w:rsidRPr="00BE2519">
        <w:rPr>
          <w:sz w:val="24"/>
          <w:szCs w:val="24"/>
        </w:rPr>
        <w:t xml:space="preserve"> </w:t>
      </w:r>
      <w:r w:rsidR="00C72A56" w:rsidRPr="00BE2519">
        <w:rPr>
          <w:sz w:val="24"/>
          <w:szCs w:val="24"/>
        </w:rPr>
        <w:t>self-interest at the expense of society or in derogation of the</w:t>
      </w:r>
      <w:r w:rsidRPr="00BE2519">
        <w:rPr>
          <w:sz w:val="24"/>
          <w:szCs w:val="24"/>
        </w:rPr>
        <w:t xml:space="preserve"> </w:t>
      </w:r>
      <w:r w:rsidR="00C72A56" w:rsidRPr="00BE2519">
        <w:rPr>
          <w:sz w:val="24"/>
          <w:szCs w:val="24"/>
        </w:rPr>
        <w:t>interests of others goes to the heart of honesty and integrity</w:t>
      </w:r>
      <w:r w:rsidR="0099575B" w:rsidRPr="00BE2519">
        <w:rPr>
          <w:sz w:val="24"/>
          <w:szCs w:val="24"/>
        </w:rPr>
        <w:t>.</w:t>
      </w:r>
      <w:r w:rsidR="00ED106A" w:rsidRPr="00BE2519">
        <w:rPr>
          <w:sz w:val="24"/>
          <w:szCs w:val="24"/>
        </w:rPr>
        <w:t xml:space="preserve"> </w:t>
      </w:r>
      <w:r w:rsidR="00C72A56" w:rsidRPr="00BE2519">
        <w:rPr>
          <w:sz w:val="24"/>
          <w:szCs w:val="24"/>
        </w:rPr>
        <w:t>On the other hand, crimes or conduct occasioned by addiction</w:t>
      </w:r>
      <w:r w:rsidRPr="00BE2519">
        <w:rPr>
          <w:sz w:val="24"/>
          <w:szCs w:val="24"/>
        </w:rPr>
        <w:t xml:space="preserve"> </w:t>
      </w:r>
      <w:r w:rsidR="00C72A56" w:rsidRPr="00BE2519">
        <w:rPr>
          <w:sz w:val="24"/>
          <w:szCs w:val="24"/>
        </w:rPr>
        <w:t>or uncontrollable habit, as with alcohol or drugs . . . may have lesser probative value as to lack of in-court veracity. . . .</w:t>
      </w:r>
    </w:p>
    <w:p w14:paraId="3A89936B" w14:textId="77777777" w:rsidR="00BC21AB" w:rsidRPr="00BE2519" w:rsidRDefault="00BC21AB" w:rsidP="00F87993">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p>
    <w:p w14:paraId="4AE944EA" w14:textId="09E8CA54" w:rsidR="00C72A56" w:rsidRPr="00BE2519" w:rsidRDefault="00BC21AB" w:rsidP="00F87993">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r w:rsidRPr="00BE2519">
        <w:rPr>
          <w:sz w:val="24"/>
          <w:szCs w:val="24"/>
        </w:rPr>
        <w:t>“</w:t>
      </w:r>
      <w:r w:rsidR="00C72A56" w:rsidRPr="00BE2519">
        <w:rPr>
          <w:sz w:val="24"/>
          <w:szCs w:val="24"/>
        </w:rPr>
        <w:t>Commission of perjury or other crimes or acts of individual dishonesty, or untrustworthiness (e.g., offenses involving theft or fraud, bribery, or acts of deceit, cheating, breach of trust) will usually have a very material relevance, whenever</w:t>
      </w:r>
      <w:r w:rsidRPr="00BE2519">
        <w:rPr>
          <w:sz w:val="24"/>
          <w:szCs w:val="24"/>
        </w:rPr>
        <w:t xml:space="preserve"> </w:t>
      </w:r>
      <w:r w:rsidR="00C72A56" w:rsidRPr="00BE2519">
        <w:rPr>
          <w:sz w:val="24"/>
          <w:szCs w:val="24"/>
        </w:rPr>
        <w:t>committed</w:t>
      </w:r>
      <w:r w:rsidR="0099575B" w:rsidRPr="00BE2519">
        <w:rPr>
          <w:sz w:val="24"/>
          <w:szCs w:val="24"/>
        </w:rPr>
        <w:t>.</w:t>
      </w:r>
      <w:r w:rsidR="00ED106A" w:rsidRPr="00BE2519">
        <w:rPr>
          <w:sz w:val="24"/>
          <w:szCs w:val="24"/>
        </w:rPr>
        <w:t xml:space="preserve"> </w:t>
      </w:r>
      <w:r w:rsidR="00C72A56" w:rsidRPr="00BE2519">
        <w:rPr>
          <w:sz w:val="24"/>
          <w:szCs w:val="24"/>
        </w:rPr>
        <w:t>By contrast, questions as to traffic violations should rarely, if ever, be permitted.</w:t>
      </w:r>
      <w:r w:rsidR="004B576C" w:rsidRPr="00BE2519">
        <w:rPr>
          <w:sz w:val="24"/>
          <w:szCs w:val="24"/>
        </w:rPr>
        <w:t>”</w:t>
      </w:r>
      <w:r w:rsidR="00C72A56" w:rsidRPr="00BE2519">
        <w:rPr>
          <w:sz w:val="24"/>
          <w:szCs w:val="24"/>
        </w:rPr>
        <w:t xml:space="preserve"> (</w:t>
      </w:r>
      <w:r w:rsidR="00C72A56" w:rsidRPr="00BE2519">
        <w:rPr>
          <w:i/>
          <w:iCs/>
          <w:sz w:val="24"/>
          <w:szCs w:val="24"/>
        </w:rPr>
        <w:t>Sandoval</w:t>
      </w:r>
      <w:r w:rsidR="00C72A56" w:rsidRPr="00BE2519">
        <w:rPr>
          <w:sz w:val="24"/>
          <w:szCs w:val="24"/>
        </w:rPr>
        <w:t xml:space="preserve"> at 376</w:t>
      </w:r>
      <w:r w:rsidR="007140E2" w:rsidRPr="00BE2519">
        <w:rPr>
          <w:sz w:val="24"/>
          <w:szCs w:val="24"/>
        </w:rPr>
        <w:t>-</w:t>
      </w:r>
      <w:r w:rsidR="00C72A56" w:rsidRPr="00BE2519">
        <w:rPr>
          <w:sz w:val="24"/>
          <w:szCs w:val="24"/>
        </w:rPr>
        <w:t xml:space="preserve">377.) </w:t>
      </w:r>
    </w:p>
    <w:p w14:paraId="055A79CA" w14:textId="77777777" w:rsidR="008177B1" w:rsidRPr="00BE2519" w:rsidRDefault="008177B1" w:rsidP="00F87993">
      <w:pPr>
        <w:widowControl/>
        <w:tabs>
          <w:tab w:val="left" w:pos="720"/>
          <w:tab w:val="left" w:pos="1440"/>
          <w:tab w:val="left" w:pos="2160"/>
          <w:tab w:val="left" w:pos="2880"/>
          <w:tab w:val="left" w:pos="3600"/>
          <w:tab w:val="left" w:pos="4320"/>
          <w:tab w:val="left" w:pos="5040"/>
          <w:tab w:val="left" w:pos="5760"/>
          <w:tab w:val="left" w:pos="6480"/>
          <w:tab w:val="left" w:pos="7198"/>
        </w:tabs>
        <w:ind w:right="720"/>
        <w:jc w:val="both"/>
        <w:rPr>
          <w:sz w:val="24"/>
          <w:szCs w:val="24"/>
        </w:rPr>
      </w:pPr>
    </w:p>
    <w:p w14:paraId="5D9A51C5" w14:textId="0614975F" w:rsidR="00C72A56" w:rsidRPr="00BE2519" w:rsidRDefault="00BC21AB"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2519">
        <w:rPr>
          <w:b/>
          <w:bCs/>
          <w:sz w:val="24"/>
          <w:szCs w:val="24"/>
        </w:rPr>
        <w:tab/>
      </w:r>
      <w:r w:rsidR="00C72A56" w:rsidRPr="00BE2519">
        <w:rPr>
          <w:b/>
          <w:bCs/>
          <w:sz w:val="24"/>
          <w:szCs w:val="24"/>
        </w:rPr>
        <w:t>Subdivision (2)</w:t>
      </w:r>
      <w:r w:rsidR="0099575B" w:rsidRPr="00BE2519">
        <w:rPr>
          <w:b/>
          <w:bCs/>
          <w:sz w:val="24"/>
          <w:szCs w:val="24"/>
        </w:rPr>
        <w:t>.</w:t>
      </w:r>
      <w:r w:rsidR="00ED106A" w:rsidRPr="00BE2519">
        <w:rPr>
          <w:b/>
          <w:bCs/>
          <w:sz w:val="24"/>
          <w:szCs w:val="24"/>
        </w:rPr>
        <w:t xml:space="preserve"> </w:t>
      </w:r>
      <w:r w:rsidR="00C72A56" w:rsidRPr="00BE2519">
        <w:rPr>
          <w:sz w:val="24"/>
          <w:szCs w:val="24"/>
        </w:rPr>
        <w:t>The rule stated in subdivision (2) is derived from substantial Court of Appeals precedent</w:t>
      </w:r>
      <w:r w:rsidR="0099575B" w:rsidRPr="00BE2519">
        <w:rPr>
          <w:sz w:val="24"/>
          <w:szCs w:val="24"/>
        </w:rPr>
        <w:t xml:space="preserve">. </w:t>
      </w:r>
      <w:r w:rsidR="00C72A56" w:rsidRPr="00BE2519">
        <w:rPr>
          <w:sz w:val="24"/>
          <w:szCs w:val="24"/>
        </w:rPr>
        <w:t>(</w:t>
      </w:r>
      <w:r w:rsidR="00C72A56" w:rsidRPr="00BE2519">
        <w:rPr>
          <w:i/>
          <w:iCs/>
          <w:sz w:val="24"/>
          <w:szCs w:val="24"/>
        </w:rPr>
        <w:t>See e.g. Badr v Hogan</w:t>
      </w:r>
      <w:r w:rsidR="00C72A56" w:rsidRPr="00BE2519">
        <w:rPr>
          <w:sz w:val="24"/>
          <w:szCs w:val="24"/>
        </w:rPr>
        <w:t>,</w:t>
      </w:r>
      <w:r w:rsidR="00C72A56" w:rsidRPr="00BE2519">
        <w:rPr>
          <w:i/>
          <w:iCs/>
          <w:sz w:val="24"/>
          <w:szCs w:val="24"/>
        </w:rPr>
        <w:t xml:space="preserve"> </w:t>
      </w:r>
      <w:r w:rsidR="00C72A56" w:rsidRPr="00BE2519">
        <w:rPr>
          <w:sz w:val="24"/>
          <w:szCs w:val="24"/>
        </w:rPr>
        <w:t>75 NY2d 629, 635 [1990] [“Unlike material facts in dispute, or matters suc</w:t>
      </w:r>
      <w:r w:rsidR="004B576C" w:rsidRPr="00BE2519">
        <w:rPr>
          <w:sz w:val="24"/>
          <w:szCs w:val="24"/>
        </w:rPr>
        <w:t>h as a witness’</w:t>
      </w:r>
      <w:r w:rsidR="00C72A56" w:rsidRPr="00BE2519">
        <w:rPr>
          <w:sz w:val="24"/>
          <w:szCs w:val="24"/>
        </w:rPr>
        <w:t>s bias, hostility, or impaired ability to perceive which may be proved independe</w:t>
      </w:r>
      <w:r w:rsidR="004B576C" w:rsidRPr="00BE2519">
        <w:rPr>
          <w:sz w:val="24"/>
          <w:szCs w:val="24"/>
        </w:rPr>
        <w:t>ntly for impeachment, plaintiff’</w:t>
      </w:r>
      <w:r w:rsidR="00C72A56" w:rsidRPr="00BE2519">
        <w:rPr>
          <w:sz w:val="24"/>
          <w:szCs w:val="24"/>
        </w:rPr>
        <w:t>s alleged prior misconduct had no direct bearing on any issue in the case other than credibility</w:t>
      </w:r>
      <w:r w:rsidR="0099575B" w:rsidRPr="00BE2519">
        <w:rPr>
          <w:sz w:val="24"/>
          <w:szCs w:val="24"/>
        </w:rPr>
        <w:t xml:space="preserve">. </w:t>
      </w:r>
      <w:r w:rsidR="00C72A56" w:rsidRPr="00BE2519">
        <w:rPr>
          <w:sz w:val="24"/>
          <w:szCs w:val="24"/>
        </w:rPr>
        <w:t xml:space="preserve">If proven, it would show only that plaintiff had acted deceitfully on a prior </w:t>
      </w:r>
      <w:r w:rsidR="00C72A56" w:rsidRPr="00BE2519">
        <w:rPr>
          <w:i/>
          <w:iCs/>
          <w:sz w:val="24"/>
          <w:szCs w:val="24"/>
        </w:rPr>
        <w:t>unrelated</w:t>
      </w:r>
      <w:r w:rsidR="00C72A56" w:rsidRPr="00BE2519">
        <w:rPr>
          <w:sz w:val="24"/>
          <w:szCs w:val="24"/>
        </w:rPr>
        <w:t xml:space="preserve"> occasion</w:t>
      </w:r>
      <w:r w:rsidR="0099575B" w:rsidRPr="00BE2519">
        <w:rPr>
          <w:sz w:val="24"/>
          <w:szCs w:val="24"/>
        </w:rPr>
        <w:t xml:space="preserve">. </w:t>
      </w:r>
      <w:r w:rsidR="00C72A56" w:rsidRPr="00BE2519">
        <w:rPr>
          <w:sz w:val="24"/>
          <w:szCs w:val="24"/>
        </w:rPr>
        <w:t>The matter was, therefore, collateral and, under the settled rule, could not be pursued by the cross-examiner with extrins</w:t>
      </w:r>
      <w:r w:rsidR="004B576C" w:rsidRPr="00BE2519">
        <w:rPr>
          <w:sz w:val="24"/>
          <w:szCs w:val="24"/>
        </w:rPr>
        <w:t>ic evidence to refute plaintiff</w:t>
      </w:r>
      <w:r w:rsidR="00885E5D" w:rsidRPr="00BE2519">
        <w:rPr>
          <w:sz w:val="24"/>
          <w:szCs w:val="24"/>
        </w:rPr>
        <w:t>’</w:t>
      </w:r>
      <w:r w:rsidR="00C72A56" w:rsidRPr="00BE2519">
        <w:rPr>
          <w:sz w:val="24"/>
          <w:szCs w:val="24"/>
        </w:rPr>
        <w:t xml:space="preserve">s denial” (citation omitted)]; </w:t>
      </w:r>
      <w:r w:rsidR="00C72A56" w:rsidRPr="00BE2519">
        <w:rPr>
          <w:i/>
          <w:iCs/>
          <w:sz w:val="24"/>
          <w:szCs w:val="24"/>
        </w:rPr>
        <w:t>People v</w:t>
      </w:r>
      <w:r w:rsidR="00C72A56" w:rsidRPr="00BE2519">
        <w:rPr>
          <w:sz w:val="24"/>
          <w:szCs w:val="24"/>
        </w:rPr>
        <w:t xml:space="preserve"> </w:t>
      </w:r>
      <w:r w:rsidR="00C72A56" w:rsidRPr="00BE2519">
        <w:rPr>
          <w:i/>
          <w:iCs/>
          <w:sz w:val="24"/>
          <w:szCs w:val="24"/>
        </w:rPr>
        <w:t>Zabrocky</w:t>
      </w:r>
      <w:r w:rsidR="00C72A56" w:rsidRPr="00BE2519">
        <w:rPr>
          <w:sz w:val="24"/>
          <w:szCs w:val="24"/>
        </w:rPr>
        <w:t>, 26 NY2d 530, 535 [1970];</w:t>
      </w:r>
      <w:r w:rsidR="00C72A56" w:rsidRPr="00BE2519">
        <w:rPr>
          <w:i/>
          <w:iCs/>
          <w:sz w:val="24"/>
          <w:szCs w:val="24"/>
        </w:rPr>
        <w:t xml:space="preserve"> Sorge</w:t>
      </w:r>
      <w:r w:rsidR="00C72A56" w:rsidRPr="00BE2519">
        <w:rPr>
          <w:sz w:val="24"/>
          <w:szCs w:val="24"/>
        </w:rPr>
        <w:t>, 301 NY at 200</w:t>
      </w:r>
      <w:r w:rsidR="002858FA" w:rsidRPr="00BE2519">
        <w:rPr>
          <w:sz w:val="24"/>
          <w:szCs w:val="24"/>
        </w:rPr>
        <w:t>.</w:t>
      </w:r>
      <w:r w:rsidR="00C72A56" w:rsidRPr="00BE2519">
        <w:rPr>
          <w:sz w:val="24"/>
          <w:szCs w:val="24"/>
        </w:rPr>
        <w:t>)</w:t>
      </w:r>
      <w:r w:rsidR="002858FA" w:rsidRPr="00BE2519">
        <w:rPr>
          <w:sz w:val="24"/>
          <w:szCs w:val="24"/>
        </w:rPr>
        <w:t xml:space="preserve"> </w:t>
      </w:r>
      <w:r w:rsidR="00C72A56" w:rsidRPr="00BE2519">
        <w:rPr>
          <w:sz w:val="24"/>
          <w:szCs w:val="24"/>
        </w:rPr>
        <w:t xml:space="preserve">In </w:t>
      </w:r>
      <w:r w:rsidR="00C72A56" w:rsidRPr="00BE2519">
        <w:rPr>
          <w:i/>
          <w:iCs/>
          <w:sz w:val="24"/>
          <w:szCs w:val="24"/>
        </w:rPr>
        <w:t>Sorge</w:t>
      </w:r>
      <w:r w:rsidR="00C72A56" w:rsidRPr="00BE2519">
        <w:rPr>
          <w:sz w:val="24"/>
          <w:szCs w:val="24"/>
        </w:rPr>
        <w:t>, the Court noted that this rule barring the admissibility of extrinsic evidence did not preclude further questioning of the witness when the witness denied committing the act, stating: “[A] negative response will not fob off further interrogation of the witness himself, for, if it did, the witness would have it within his power to render futile most cross-examination</w:t>
      </w:r>
      <w:r w:rsidR="0099575B" w:rsidRPr="00BE2519">
        <w:rPr>
          <w:sz w:val="24"/>
          <w:szCs w:val="24"/>
        </w:rPr>
        <w:t xml:space="preserve">. </w:t>
      </w:r>
      <w:r w:rsidR="00C72A56" w:rsidRPr="00BE2519">
        <w:rPr>
          <w:sz w:val="24"/>
          <w:szCs w:val="24"/>
        </w:rPr>
        <w:t>The rul</w:t>
      </w:r>
      <w:r w:rsidR="004B576C" w:rsidRPr="00BE2519">
        <w:rPr>
          <w:sz w:val="24"/>
          <w:szCs w:val="24"/>
        </w:rPr>
        <w:t>e is clear that while a witness’</w:t>
      </w:r>
      <w:r w:rsidR="00C72A56" w:rsidRPr="00BE2519">
        <w:rPr>
          <w:sz w:val="24"/>
          <w:szCs w:val="24"/>
        </w:rPr>
        <w:t>[s] testimony regarding collateral matters may not be refuted by the calling of other witnesses or by the production of extrinsic evidence, there is no prohibition against examining the witness himself further on the chance that he may chan</w:t>
      </w:r>
      <w:r w:rsidR="004B576C" w:rsidRPr="00BE2519">
        <w:rPr>
          <w:sz w:val="24"/>
          <w:szCs w:val="24"/>
        </w:rPr>
        <w:t>ge his testimony or his answer.”</w:t>
      </w:r>
      <w:r w:rsidR="00C72A56" w:rsidRPr="00BE2519">
        <w:rPr>
          <w:sz w:val="24"/>
          <w:szCs w:val="24"/>
        </w:rPr>
        <w:t xml:space="preserve"> (</w:t>
      </w:r>
      <w:r w:rsidR="00C72A56" w:rsidRPr="00BE2519">
        <w:rPr>
          <w:i/>
          <w:iCs/>
          <w:sz w:val="24"/>
          <w:szCs w:val="24"/>
        </w:rPr>
        <w:t>Id.</w:t>
      </w:r>
      <w:r w:rsidR="00C72A56" w:rsidRPr="00BE2519">
        <w:rPr>
          <w:sz w:val="24"/>
          <w:szCs w:val="24"/>
        </w:rPr>
        <w:t xml:space="preserve"> at 200-201 [citations omitted]; </w:t>
      </w:r>
      <w:r w:rsidR="00C72A56" w:rsidRPr="00BE2519">
        <w:rPr>
          <w:i/>
          <w:iCs/>
          <w:sz w:val="24"/>
          <w:szCs w:val="24"/>
        </w:rPr>
        <w:t>compare</w:t>
      </w:r>
      <w:r w:rsidR="00C72A56" w:rsidRPr="00BE2519">
        <w:rPr>
          <w:sz w:val="24"/>
          <w:szCs w:val="24"/>
        </w:rPr>
        <w:t xml:space="preserve"> </w:t>
      </w:r>
      <w:r w:rsidR="002858FA" w:rsidRPr="00BE2519">
        <w:rPr>
          <w:sz w:val="24"/>
          <w:szCs w:val="24"/>
        </w:rPr>
        <w:t xml:space="preserve">Guide to NY Evid </w:t>
      </w:r>
      <w:r w:rsidR="00C72A56" w:rsidRPr="00BE2519">
        <w:rPr>
          <w:sz w:val="24"/>
          <w:szCs w:val="24"/>
        </w:rPr>
        <w:t>rule 8.35</w:t>
      </w:r>
      <w:r w:rsidR="002858FA" w:rsidRPr="00BE2519">
        <w:rPr>
          <w:sz w:val="24"/>
          <w:szCs w:val="24"/>
        </w:rPr>
        <w:t xml:space="preserve">, </w:t>
      </w:r>
      <w:r w:rsidR="00C72A56" w:rsidRPr="00BE2519">
        <w:rPr>
          <w:sz w:val="24"/>
          <w:szCs w:val="24"/>
        </w:rPr>
        <w:t>Prior Judgment of Conviction.)</w:t>
      </w:r>
    </w:p>
    <w:p w14:paraId="043FCF42" w14:textId="77777777" w:rsidR="00BC21AB" w:rsidRPr="00BE2519" w:rsidRDefault="00BC21AB"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EFEBE8B" w14:textId="65F3865E" w:rsidR="00C72A56" w:rsidRPr="00BE2519" w:rsidRDefault="00BC21AB"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2519">
        <w:rPr>
          <w:b/>
          <w:bCs/>
          <w:sz w:val="24"/>
          <w:szCs w:val="24"/>
        </w:rPr>
        <w:tab/>
      </w:r>
      <w:r w:rsidR="00C72A56" w:rsidRPr="00BE2519">
        <w:rPr>
          <w:b/>
          <w:bCs/>
          <w:sz w:val="24"/>
          <w:szCs w:val="24"/>
        </w:rPr>
        <w:t>Subdivision (3)</w:t>
      </w:r>
      <w:r w:rsidR="0099575B" w:rsidRPr="00BE2519">
        <w:rPr>
          <w:b/>
          <w:bCs/>
          <w:sz w:val="24"/>
          <w:szCs w:val="24"/>
        </w:rPr>
        <w:t xml:space="preserve">. </w:t>
      </w:r>
      <w:r w:rsidR="00C72A56" w:rsidRPr="00BE2519">
        <w:rPr>
          <w:sz w:val="24"/>
          <w:szCs w:val="24"/>
        </w:rPr>
        <w:t xml:space="preserve">The rule stated in subdivision (3) is derived from </w:t>
      </w:r>
      <w:r w:rsidR="00C72A56" w:rsidRPr="00BE2519">
        <w:rPr>
          <w:i/>
          <w:iCs/>
          <w:sz w:val="24"/>
          <w:szCs w:val="24"/>
        </w:rPr>
        <w:t>People v Betts</w:t>
      </w:r>
      <w:r w:rsidR="00C72A56" w:rsidRPr="00BE2519">
        <w:rPr>
          <w:sz w:val="24"/>
          <w:szCs w:val="24"/>
        </w:rPr>
        <w:t xml:space="preserve"> (70 NY2d 289, 295 [1987] [“The pol</w:t>
      </w:r>
      <w:r w:rsidR="004B576C" w:rsidRPr="00BE2519">
        <w:rPr>
          <w:sz w:val="24"/>
          <w:szCs w:val="24"/>
        </w:rPr>
        <w:t>icy of protecting the defendant’</w:t>
      </w:r>
      <w:r w:rsidR="00C72A56" w:rsidRPr="00BE2519">
        <w:rPr>
          <w:sz w:val="24"/>
          <w:szCs w:val="24"/>
        </w:rPr>
        <w:t>s opportunity to testify, while allowing the prosecution a balanced evidentiary response, is well served</w:t>
      </w:r>
      <w:r w:rsidR="004B576C" w:rsidRPr="00BE2519">
        <w:rPr>
          <w:sz w:val="24"/>
          <w:szCs w:val="24"/>
        </w:rPr>
        <w:t xml:space="preserve"> by the rule that the defendant’</w:t>
      </w:r>
      <w:r w:rsidR="00C72A56" w:rsidRPr="00BE2519">
        <w:rPr>
          <w:sz w:val="24"/>
          <w:szCs w:val="24"/>
        </w:rPr>
        <w:t>s choice to testify in the case on trial does not, by itself, effect a waiver of the privilege against self-incrimination as to pending unrelated charges</w:t>
      </w:r>
      <w:r w:rsidR="0099575B" w:rsidRPr="00BE2519">
        <w:rPr>
          <w:sz w:val="24"/>
          <w:szCs w:val="24"/>
        </w:rPr>
        <w:t>.</w:t>
      </w:r>
      <w:r w:rsidR="002858FA" w:rsidRPr="00BE2519">
        <w:rPr>
          <w:sz w:val="24"/>
          <w:szCs w:val="24"/>
        </w:rPr>
        <w:t xml:space="preserve"> </w:t>
      </w:r>
      <w:r w:rsidR="00C72A56" w:rsidRPr="00BE2519">
        <w:rPr>
          <w:sz w:val="24"/>
          <w:szCs w:val="24"/>
        </w:rPr>
        <w:t xml:space="preserve">This rule will not, on the other hand, preclude prosecutors from inquiry into pending criminal charges if a defendant, in taking the stand, makes assertions that open the door and render those charges relevant for contradiction and response”]); and </w:t>
      </w:r>
      <w:r w:rsidR="00C72A56" w:rsidRPr="00BE2519">
        <w:rPr>
          <w:i/>
          <w:iCs/>
          <w:sz w:val="24"/>
          <w:szCs w:val="24"/>
        </w:rPr>
        <w:t>People v Cantave</w:t>
      </w:r>
      <w:r w:rsidR="00C72A56" w:rsidRPr="00BE2519">
        <w:rPr>
          <w:sz w:val="24"/>
          <w:szCs w:val="24"/>
        </w:rPr>
        <w:t xml:space="preserve"> (21 NY3d 374, 381 [2013] [“We hold that the prosecution may not cross-examine a defendant about the underlying facts of an unrelated criminal conviction on appeal, for the purpose of impeaching his credibility”]; </w:t>
      </w:r>
      <w:r w:rsidR="00C72A56" w:rsidRPr="00BE2519">
        <w:rPr>
          <w:i/>
          <w:iCs/>
          <w:sz w:val="24"/>
          <w:szCs w:val="24"/>
        </w:rPr>
        <w:t>People v Smith</w:t>
      </w:r>
      <w:r w:rsidR="00C51ECD" w:rsidRPr="00BE2519">
        <w:rPr>
          <w:sz w:val="24"/>
          <w:szCs w:val="24"/>
        </w:rPr>
        <w:t xml:space="preserve">, </w:t>
      </w:r>
      <w:r w:rsidR="00C72A56" w:rsidRPr="00BE2519">
        <w:rPr>
          <w:sz w:val="24"/>
          <w:szCs w:val="24"/>
        </w:rPr>
        <w:t xml:space="preserve">87 NY2d 715, 721 [1996] [“a prospective defendant who elects to testify before the Grand Jury does not waive </w:t>
      </w:r>
      <w:r w:rsidR="00C72A56" w:rsidRPr="00BE2519">
        <w:rPr>
          <w:sz w:val="24"/>
          <w:szCs w:val="24"/>
        </w:rPr>
        <w:lastRenderedPageBreak/>
        <w:t xml:space="preserve">the privilege against self-incrimination as to credibility questioning regarding unrelated pending charges”]; </w:t>
      </w:r>
      <w:r w:rsidR="00C72A56" w:rsidRPr="00BE2519">
        <w:rPr>
          <w:i/>
          <w:iCs/>
          <w:sz w:val="24"/>
          <w:szCs w:val="24"/>
        </w:rPr>
        <w:t>compare People v Brady</w:t>
      </w:r>
      <w:r w:rsidR="00C72A56" w:rsidRPr="00BE2519">
        <w:rPr>
          <w:sz w:val="24"/>
          <w:szCs w:val="24"/>
        </w:rPr>
        <w:t>, 97 NY2d 233, 235 [2002] [defendant in a criminal proceeding may be cross-examined regarding his “admissions at the guilty plea allocution” to an unrelated charge for which he was awaiting sentencing]).</w:t>
      </w:r>
      <w:r w:rsidR="008969C4" w:rsidRPr="00BE2519">
        <w:rPr>
          <w:sz w:val="24"/>
          <w:szCs w:val="24"/>
        </w:rPr>
        <w:t xml:space="preserve"> </w:t>
      </w:r>
    </w:p>
    <w:p w14:paraId="2DE08A60" w14:textId="77777777" w:rsidR="00BC21AB" w:rsidRPr="00BE2519" w:rsidRDefault="00BC21AB"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A296157" w14:textId="4A769EBD" w:rsidR="00C72A56" w:rsidRPr="00BE2519" w:rsidRDefault="00BC21AB" w:rsidP="00F879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2519">
        <w:rPr>
          <w:b/>
          <w:bCs/>
          <w:sz w:val="24"/>
          <w:szCs w:val="24"/>
        </w:rPr>
        <w:tab/>
      </w:r>
      <w:r w:rsidR="00C72A56" w:rsidRPr="00BE2519">
        <w:rPr>
          <w:b/>
          <w:bCs/>
          <w:sz w:val="24"/>
          <w:szCs w:val="24"/>
        </w:rPr>
        <w:t>Subdivision (4).</w:t>
      </w:r>
      <w:r w:rsidR="00973593" w:rsidRPr="00BE2519">
        <w:rPr>
          <w:b/>
          <w:bCs/>
          <w:sz w:val="24"/>
          <w:szCs w:val="24"/>
        </w:rPr>
        <w:t xml:space="preserve"> </w:t>
      </w:r>
      <w:r w:rsidR="00C72A56" w:rsidRPr="00BE2519">
        <w:rPr>
          <w:sz w:val="24"/>
          <w:szCs w:val="24"/>
        </w:rPr>
        <w:t xml:space="preserve">See commentary in the </w:t>
      </w:r>
      <w:r w:rsidR="000A2DB2" w:rsidRPr="00BE2519">
        <w:rPr>
          <w:sz w:val="24"/>
          <w:szCs w:val="24"/>
        </w:rPr>
        <w:t>N</w:t>
      </w:r>
      <w:r w:rsidR="00C72A56" w:rsidRPr="00BE2519">
        <w:rPr>
          <w:sz w:val="24"/>
          <w:szCs w:val="24"/>
        </w:rPr>
        <w:t xml:space="preserve">ote to </w:t>
      </w:r>
      <w:r w:rsidR="002858FA" w:rsidRPr="00BE2519">
        <w:rPr>
          <w:sz w:val="24"/>
          <w:szCs w:val="24"/>
        </w:rPr>
        <w:t xml:space="preserve">Guide to New York Evidence </w:t>
      </w:r>
      <w:r w:rsidR="00C72A56" w:rsidRPr="00BE2519">
        <w:rPr>
          <w:sz w:val="24"/>
          <w:szCs w:val="24"/>
        </w:rPr>
        <w:t xml:space="preserve">rule 6.23 (2). </w:t>
      </w:r>
    </w:p>
    <w:sectPr w:rsidR="00C72A56" w:rsidRPr="00BE2519" w:rsidSect="009A5EE2">
      <w:footerReference w:type="default" r:id="rId7"/>
      <w:endnotePr>
        <w:numFmt w:val="decimal"/>
      </w:endnotePr>
      <w:type w:val="continuous"/>
      <w:pgSz w:w="12240" w:h="15840" w:code="1"/>
      <w:pgMar w:top="1080" w:right="2160" w:bottom="1080" w:left="21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B608" w14:textId="77777777" w:rsidR="008832AF" w:rsidRDefault="008832AF">
      <w:r>
        <w:separator/>
      </w:r>
    </w:p>
  </w:endnote>
  <w:endnote w:type="continuationSeparator" w:id="0">
    <w:p w14:paraId="14B2F25E" w14:textId="77777777" w:rsidR="008832AF" w:rsidRDefault="008832AF">
      <w:r>
        <w:continuationSeparator/>
      </w:r>
    </w:p>
  </w:endnote>
  <w:endnote w:id="1">
    <w:p w14:paraId="28F4C1C3" w14:textId="3159FABF" w:rsidR="008D141A" w:rsidRPr="002420FF" w:rsidRDefault="0012129F" w:rsidP="00F87993">
      <w:pPr>
        <w:pStyle w:val="EndnoteText"/>
        <w:ind w:left="432"/>
        <w:jc w:val="both"/>
        <w:rPr>
          <w:rFonts w:eastAsia="Times New Roman"/>
          <w:i/>
          <w:iCs/>
          <w:color w:val="00B050"/>
          <w:sz w:val="24"/>
          <w:szCs w:val="24"/>
        </w:rPr>
      </w:pPr>
      <w:r w:rsidRPr="002420FF">
        <w:rPr>
          <w:rStyle w:val="EndnoteReference"/>
          <w:sz w:val="24"/>
          <w:szCs w:val="24"/>
        </w:rPr>
        <w:endnoteRef/>
      </w:r>
      <w:r w:rsidRPr="002420FF">
        <w:rPr>
          <w:sz w:val="24"/>
          <w:szCs w:val="24"/>
        </w:rPr>
        <w:t xml:space="preserve"> In December 2021, </w:t>
      </w:r>
      <w:r w:rsidR="00F40DF0" w:rsidRPr="002420FF">
        <w:rPr>
          <w:sz w:val="24"/>
          <w:szCs w:val="24"/>
        </w:rPr>
        <w:t xml:space="preserve">this rule was revised: </w:t>
      </w:r>
      <w:r w:rsidR="002F3F7C" w:rsidRPr="002420FF">
        <w:rPr>
          <w:sz w:val="24"/>
          <w:szCs w:val="24"/>
        </w:rPr>
        <w:t>(</w:t>
      </w:r>
      <w:r w:rsidR="00F40DF0" w:rsidRPr="002420FF">
        <w:rPr>
          <w:sz w:val="24"/>
          <w:szCs w:val="24"/>
        </w:rPr>
        <w:t>1</w:t>
      </w:r>
      <w:r w:rsidR="002F3F7C" w:rsidRPr="002420FF">
        <w:rPr>
          <w:sz w:val="24"/>
          <w:szCs w:val="24"/>
        </w:rPr>
        <w:t>)</w:t>
      </w:r>
      <w:r w:rsidR="00F40DF0" w:rsidRPr="002420FF">
        <w:rPr>
          <w:sz w:val="24"/>
          <w:szCs w:val="24"/>
        </w:rPr>
        <w:t xml:space="preserve"> </w:t>
      </w:r>
      <w:r w:rsidR="00A106B7" w:rsidRPr="002420FF">
        <w:rPr>
          <w:sz w:val="24"/>
          <w:szCs w:val="24"/>
        </w:rPr>
        <w:t>to substitute</w:t>
      </w:r>
      <w:r w:rsidR="00052E76" w:rsidRPr="002420FF">
        <w:rPr>
          <w:sz w:val="24"/>
          <w:szCs w:val="24"/>
        </w:rPr>
        <w:t xml:space="preserve"> </w:t>
      </w:r>
      <w:r w:rsidR="00942ED0" w:rsidRPr="002420FF">
        <w:rPr>
          <w:sz w:val="24"/>
          <w:szCs w:val="24"/>
        </w:rPr>
        <w:t>in</w:t>
      </w:r>
      <w:r w:rsidR="00C84078" w:rsidRPr="002420FF">
        <w:rPr>
          <w:sz w:val="24"/>
          <w:szCs w:val="24"/>
        </w:rPr>
        <w:t xml:space="preserve"> the rule </w:t>
      </w:r>
      <w:r w:rsidR="00FB09FB" w:rsidRPr="002420FF">
        <w:rPr>
          <w:sz w:val="24"/>
          <w:szCs w:val="24"/>
        </w:rPr>
        <w:t>of</w:t>
      </w:r>
      <w:r w:rsidR="00942ED0" w:rsidRPr="002420FF">
        <w:rPr>
          <w:sz w:val="24"/>
          <w:szCs w:val="24"/>
        </w:rPr>
        <w:t xml:space="preserve"> s</w:t>
      </w:r>
      <w:r w:rsidR="00052E76" w:rsidRPr="002420FF">
        <w:rPr>
          <w:sz w:val="24"/>
          <w:szCs w:val="24"/>
        </w:rPr>
        <w:t>ubdivision (1)</w:t>
      </w:r>
      <w:r w:rsidR="00E665D7" w:rsidRPr="002420FF">
        <w:rPr>
          <w:sz w:val="24"/>
          <w:szCs w:val="24"/>
        </w:rPr>
        <w:t xml:space="preserve"> </w:t>
      </w:r>
      <w:r w:rsidR="00052E76" w:rsidRPr="002420FF">
        <w:rPr>
          <w:sz w:val="24"/>
          <w:szCs w:val="24"/>
        </w:rPr>
        <w:t xml:space="preserve">(b) </w:t>
      </w:r>
      <w:r w:rsidR="00A106B7" w:rsidRPr="002420FF">
        <w:rPr>
          <w:sz w:val="24"/>
          <w:szCs w:val="24"/>
        </w:rPr>
        <w:t xml:space="preserve">the word “person” </w:t>
      </w:r>
      <w:r w:rsidR="00D938EE" w:rsidRPr="002420FF">
        <w:rPr>
          <w:sz w:val="24"/>
          <w:szCs w:val="24"/>
        </w:rPr>
        <w:t xml:space="preserve">for </w:t>
      </w:r>
      <w:r w:rsidR="00942ED0" w:rsidRPr="002420FF">
        <w:rPr>
          <w:sz w:val="24"/>
          <w:szCs w:val="24"/>
        </w:rPr>
        <w:t>“</w:t>
      </w:r>
      <w:r w:rsidR="00D938EE" w:rsidRPr="002420FF">
        <w:rPr>
          <w:sz w:val="24"/>
          <w:szCs w:val="24"/>
        </w:rPr>
        <w:t>witness</w:t>
      </w:r>
      <w:r w:rsidR="00942ED0" w:rsidRPr="002420FF">
        <w:rPr>
          <w:sz w:val="24"/>
          <w:szCs w:val="24"/>
        </w:rPr>
        <w:t>”</w:t>
      </w:r>
      <w:r w:rsidR="00D938EE" w:rsidRPr="002420FF">
        <w:rPr>
          <w:sz w:val="24"/>
          <w:szCs w:val="24"/>
        </w:rPr>
        <w:t xml:space="preserve"> </w:t>
      </w:r>
      <w:r w:rsidRPr="002420FF">
        <w:rPr>
          <w:sz w:val="24"/>
          <w:szCs w:val="24"/>
        </w:rPr>
        <w:t>in in the phrase “conduct of the person who was the subject of the character testimony”</w:t>
      </w:r>
      <w:r w:rsidR="00D938EE" w:rsidRPr="002420FF">
        <w:rPr>
          <w:sz w:val="24"/>
          <w:szCs w:val="24"/>
        </w:rPr>
        <w:t xml:space="preserve">; </w:t>
      </w:r>
      <w:r w:rsidR="002F3F7C" w:rsidRPr="002420FF">
        <w:rPr>
          <w:sz w:val="24"/>
          <w:szCs w:val="24"/>
        </w:rPr>
        <w:t>(</w:t>
      </w:r>
      <w:r w:rsidR="00D938EE" w:rsidRPr="002420FF">
        <w:rPr>
          <w:sz w:val="24"/>
          <w:szCs w:val="24"/>
        </w:rPr>
        <w:t>2</w:t>
      </w:r>
      <w:r w:rsidR="002F3F7C" w:rsidRPr="002420FF">
        <w:rPr>
          <w:sz w:val="24"/>
          <w:szCs w:val="24"/>
        </w:rPr>
        <w:t>)</w:t>
      </w:r>
      <w:r w:rsidR="00D938EE" w:rsidRPr="002420FF">
        <w:rPr>
          <w:sz w:val="24"/>
          <w:szCs w:val="24"/>
        </w:rPr>
        <w:t xml:space="preserve"> </w:t>
      </w:r>
      <w:r w:rsidR="00052E76" w:rsidRPr="002420FF">
        <w:rPr>
          <w:sz w:val="24"/>
          <w:szCs w:val="24"/>
        </w:rPr>
        <w:t xml:space="preserve">to substitute </w:t>
      </w:r>
      <w:r w:rsidRPr="002420FF">
        <w:rPr>
          <w:sz w:val="24"/>
          <w:szCs w:val="24"/>
        </w:rPr>
        <w:t xml:space="preserve">in </w:t>
      </w:r>
      <w:r w:rsidR="00FB09FB" w:rsidRPr="002420FF">
        <w:rPr>
          <w:sz w:val="24"/>
          <w:szCs w:val="24"/>
        </w:rPr>
        <w:t xml:space="preserve">the rule of </w:t>
      </w:r>
      <w:r w:rsidRPr="002420FF">
        <w:rPr>
          <w:sz w:val="24"/>
          <w:szCs w:val="24"/>
        </w:rPr>
        <w:t>subdivision (1)</w:t>
      </w:r>
      <w:r w:rsidR="00E665D7" w:rsidRPr="002420FF">
        <w:rPr>
          <w:sz w:val="24"/>
          <w:szCs w:val="24"/>
        </w:rPr>
        <w:t xml:space="preserve"> </w:t>
      </w:r>
      <w:r w:rsidRPr="002420FF">
        <w:rPr>
          <w:sz w:val="24"/>
          <w:szCs w:val="24"/>
        </w:rPr>
        <w:t>(c)</w:t>
      </w:r>
      <w:r w:rsidR="00E665D7" w:rsidRPr="002420FF">
        <w:rPr>
          <w:sz w:val="24"/>
          <w:szCs w:val="24"/>
        </w:rPr>
        <w:t xml:space="preserve"> </w:t>
      </w:r>
      <w:r w:rsidRPr="002420FF">
        <w:rPr>
          <w:sz w:val="24"/>
          <w:szCs w:val="24"/>
        </w:rPr>
        <w:t>(iv) the phrase “a question directed to a testifying defendant about the defendant’s alleged</w:t>
      </w:r>
      <w:r w:rsidR="00B1550A" w:rsidRPr="002420FF">
        <w:rPr>
          <w:sz w:val="24"/>
          <w:szCs w:val="24"/>
        </w:rPr>
        <w:t>. . .</w:t>
      </w:r>
      <w:r w:rsidRPr="002420FF">
        <w:rPr>
          <w:sz w:val="24"/>
          <w:szCs w:val="24"/>
        </w:rPr>
        <w:t>”</w:t>
      </w:r>
      <w:r w:rsidR="00E665D7" w:rsidRPr="002420FF">
        <w:rPr>
          <w:sz w:val="24"/>
          <w:szCs w:val="24"/>
        </w:rPr>
        <w:t xml:space="preserve"> </w:t>
      </w:r>
      <w:r w:rsidR="00942ED0" w:rsidRPr="002420FF">
        <w:rPr>
          <w:sz w:val="24"/>
          <w:szCs w:val="24"/>
        </w:rPr>
        <w:t>for</w:t>
      </w:r>
      <w:r w:rsidRPr="002420FF">
        <w:rPr>
          <w:sz w:val="24"/>
          <w:szCs w:val="24"/>
        </w:rPr>
        <w:t xml:space="preserve"> the phrase: “the question about”</w:t>
      </w:r>
      <w:r w:rsidR="00AF6923" w:rsidRPr="002420FF">
        <w:rPr>
          <w:sz w:val="24"/>
          <w:szCs w:val="24"/>
        </w:rPr>
        <w:t xml:space="preserve">; </w:t>
      </w:r>
      <w:r w:rsidR="002F3F7C" w:rsidRPr="002420FF">
        <w:rPr>
          <w:sz w:val="24"/>
          <w:szCs w:val="24"/>
        </w:rPr>
        <w:t>(</w:t>
      </w:r>
      <w:r w:rsidR="00AF6923" w:rsidRPr="002420FF">
        <w:rPr>
          <w:sz w:val="24"/>
          <w:szCs w:val="24"/>
        </w:rPr>
        <w:t>3</w:t>
      </w:r>
      <w:r w:rsidR="002F3F7C" w:rsidRPr="002420FF">
        <w:rPr>
          <w:sz w:val="24"/>
          <w:szCs w:val="24"/>
        </w:rPr>
        <w:t>)</w:t>
      </w:r>
      <w:r w:rsidR="00D639DD" w:rsidRPr="002420FF">
        <w:rPr>
          <w:sz w:val="24"/>
          <w:szCs w:val="24"/>
        </w:rPr>
        <w:t xml:space="preserve"> to add at the end of </w:t>
      </w:r>
      <w:r w:rsidR="00B71F4C" w:rsidRPr="002420FF">
        <w:rPr>
          <w:sz w:val="24"/>
          <w:szCs w:val="24"/>
        </w:rPr>
        <w:t xml:space="preserve">the rule in </w:t>
      </w:r>
      <w:r w:rsidR="00D639DD" w:rsidRPr="002420FF">
        <w:rPr>
          <w:sz w:val="24"/>
          <w:szCs w:val="24"/>
        </w:rPr>
        <w:t>subdivision (1)</w:t>
      </w:r>
      <w:r w:rsidR="00E665D7" w:rsidRPr="002420FF">
        <w:rPr>
          <w:sz w:val="24"/>
          <w:szCs w:val="24"/>
        </w:rPr>
        <w:t xml:space="preserve"> </w:t>
      </w:r>
      <w:r w:rsidR="00D639DD" w:rsidRPr="002420FF">
        <w:rPr>
          <w:sz w:val="24"/>
          <w:szCs w:val="24"/>
        </w:rPr>
        <w:t>(c)</w:t>
      </w:r>
      <w:r w:rsidR="00E665D7" w:rsidRPr="002420FF">
        <w:rPr>
          <w:sz w:val="24"/>
          <w:szCs w:val="24"/>
        </w:rPr>
        <w:t xml:space="preserve"> </w:t>
      </w:r>
      <w:r w:rsidR="00D639DD" w:rsidRPr="002420FF">
        <w:rPr>
          <w:sz w:val="24"/>
          <w:szCs w:val="24"/>
        </w:rPr>
        <w:t>(iv)</w:t>
      </w:r>
      <w:r w:rsidR="00497989" w:rsidRPr="002420FF">
        <w:rPr>
          <w:sz w:val="24"/>
          <w:szCs w:val="24"/>
        </w:rPr>
        <w:t xml:space="preserve"> </w:t>
      </w:r>
      <w:r w:rsidR="00B51C96" w:rsidRPr="002420FF">
        <w:rPr>
          <w:sz w:val="24"/>
          <w:szCs w:val="24"/>
        </w:rPr>
        <w:t xml:space="preserve">“or during trial upon </w:t>
      </w:r>
      <w:r w:rsidR="00C80CDF" w:rsidRPr="002420FF">
        <w:rPr>
          <w:sz w:val="24"/>
          <w:szCs w:val="24"/>
        </w:rPr>
        <w:t xml:space="preserve">a defense </w:t>
      </w:r>
      <w:r w:rsidR="00B51C96" w:rsidRPr="002420FF">
        <w:rPr>
          <w:sz w:val="24"/>
          <w:szCs w:val="24"/>
        </w:rPr>
        <w:t xml:space="preserve">objection” </w:t>
      </w:r>
      <w:r w:rsidR="00D52941" w:rsidRPr="002420FF">
        <w:rPr>
          <w:sz w:val="24"/>
          <w:szCs w:val="24"/>
        </w:rPr>
        <w:t>per</w:t>
      </w:r>
      <w:r w:rsidR="00B51C96" w:rsidRPr="002420FF">
        <w:rPr>
          <w:sz w:val="24"/>
          <w:szCs w:val="24"/>
        </w:rPr>
        <w:t xml:space="preserve"> </w:t>
      </w:r>
      <w:r w:rsidR="00F81247" w:rsidRPr="002420FF">
        <w:rPr>
          <w:sz w:val="24"/>
          <w:szCs w:val="24"/>
        </w:rPr>
        <w:t xml:space="preserve">the holding in </w:t>
      </w:r>
      <w:r w:rsidR="00F81247" w:rsidRPr="002420FF">
        <w:rPr>
          <w:rFonts w:eastAsia="Times New Roman"/>
          <w:i/>
          <w:iCs/>
          <w:sz w:val="24"/>
          <w:szCs w:val="24"/>
        </w:rPr>
        <w:t>People v Syposs</w:t>
      </w:r>
      <w:r w:rsidR="00E665D7" w:rsidRPr="002420FF">
        <w:rPr>
          <w:rFonts w:eastAsia="Times New Roman"/>
          <w:i/>
          <w:iCs/>
          <w:sz w:val="24"/>
          <w:szCs w:val="24"/>
        </w:rPr>
        <w:t xml:space="preserve"> </w:t>
      </w:r>
      <w:r w:rsidR="00E665D7" w:rsidRPr="002420FF">
        <w:rPr>
          <w:rFonts w:eastAsia="Times New Roman"/>
          <w:sz w:val="24"/>
          <w:szCs w:val="24"/>
        </w:rPr>
        <w:t>(</w:t>
      </w:r>
      <w:r w:rsidR="00F81247" w:rsidRPr="002420FF">
        <w:rPr>
          <w:rFonts w:eastAsia="Times New Roman"/>
          <w:sz w:val="24"/>
          <w:szCs w:val="24"/>
        </w:rPr>
        <w:t>122 AD2d 600, 600-</w:t>
      </w:r>
      <w:r w:rsidR="00E665D7" w:rsidRPr="002420FF">
        <w:rPr>
          <w:rFonts w:eastAsia="Times New Roman"/>
          <w:sz w:val="24"/>
          <w:szCs w:val="24"/>
        </w:rPr>
        <w:t>6</w:t>
      </w:r>
      <w:r w:rsidR="00F81247" w:rsidRPr="002420FF">
        <w:rPr>
          <w:rFonts w:eastAsia="Times New Roman"/>
          <w:sz w:val="24"/>
          <w:szCs w:val="24"/>
        </w:rPr>
        <w:t>01</w:t>
      </w:r>
      <w:r w:rsidR="00B51C96" w:rsidRPr="002420FF">
        <w:rPr>
          <w:sz w:val="24"/>
          <w:szCs w:val="24"/>
        </w:rPr>
        <w:t xml:space="preserve"> [19</w:t>
      </w:r>
      <w:r w:rsidR="00E665D7" w:rsidRPr="002420FF">
        <w:rPr>
          <w:sz w:val="24"/>
          <w:szCs w:val="24"/>
        </w:rPr>
        <w:t>86</w:t>
      </w:r>
      <w:r w:rsidR="00B51C96" w:rsidRPr="002420FF">
        <w:rPr>
          <w:sz w:val="24"/>
          <w:szCs w:val="24"/>
        </w:rPr>
        <w:t>])</w:t>
      </w:r>
      <w:r w:rsidR="009477D6" w:rsidRPr="002420FF">
        <w:rPr>
          <w:sz w:val="24"/>
          <w:szCs w:val="24"/>
        </w:rPr>
        <w:t xml:space="preserve"> that is </w:t>
      </w:r>
      <w:r w:rsidR="00F81247" w:rsidRPr="002420FF">
        <w:rPr>
          <w:sz w:val="24"/>
          <w:szCs w:val="24"/>
        </w:rPr>
        <w:t xml:space="preserve">summarized </w:t>
      </w:r>
      <w:r w:rsidR="009477D6" w:rsidRPr="002420FF">
        <w:rPr>
          <w:sz w:val="24"/>
          <w:szCs w:val="24"/>
        </w:rPr>
        <w:t xml:space="preserve">in the </w:t>
      </w:r>
      <w:r w:rsidR="00DE0A1D" w:rsidRPr="002420FF">
        <w:rPr>
          <w:sz w:val="24"/>
          <w:szCs w:val="24"/>
        </w:rPr>
        <w:t xml:space="preserve">third sentence of the </w:t>
      </w:r>
      <w:r w:rsidR="009477D6" w:rsidRPr="002420FF">
        <w:rPr>
          <w:sz w:val="24"/>
          <w:szCs w:val="24"/>
        </w:rPr>
        <w:t xml:space="preserve">Note to that </w:t>
      </w:r>
      <w:r w:rsidR="00F81247" w:rsidRPr="002420FF">
        <w:rPr>
          <w:sz w:val="24"/>
          <w:szCs w:val="24"/>
        </w:rPr>
        <w:t>subdivision</w:t>
      </w:r>
      <w:r w:rsidR="00E665D7" w:rsidRPr="002420FF">
        <w:rPr>
          <w:sz w:val="24"/>
          <w:szCs w:val="24"/>
        </w:rPr>
        <w:t>;</w:t>
      </w:r>
      <w:r w:rsidR="00F81247" w:rsidRPr="002420FF">
        <w:rPr>
          <w:sz w:val="24"/>
          <w:szCs w:val="24"/>
        </w:rPr>
        <w:t xml:space="preserve"> and </w:t>
      </w:r>
      <w:r w:rsidR="002F3F7C" w:rsidRPr="002420FF">
        <w:rPr>
          <w:sz w:val="24"/>
          <w:szCs w:val="24"/>
        </w:rPr>
        <w:t>(</w:t>
      </w:r>
      <w:r w:rsidR="00F81247" w:rsidRPr="002420FF">
        <w:rPr>
          <w:sz w:val="24"/>
          <w:szCs w:val="24"/>
        </w:rPr>
        <w:t>4</w:t>
      </w:r>
      <w:r w:rsidR="002F3F7C" w:rsidRPr="002420FF">
        <w:rPr>
          <w:sz w:val="24"/>
          <w:szCs w:val="24"/>
        </w:rPr>
        <w:t>)</w:t>
      </w:r>
      <w:r w:rsidR="00B51C96" w:rsidRPr="002420FF">
        <w:rPr>
          <w:sz w:val="24"/>
          <w:szCs w:val="24"/>
        </w:rPr>
        <w:t xml:space="preserve"> </w:t>
      </w:r>
      <w:r w:rsidR="00A90349" w:rsidRPr="002420FF">
        <w:rPr>
          <w:sz w:val="24"/>
          <w:szCs w:val="24"/>
        </w:rPr>
        <w:t xml:space="preserve">to </w:t>
      </w:r>
      <w:r w:rsidR="00163020" w:rsidRPr="002420FF">
        <w:rPr>
          <w:sz w:val="24"/>
          <w:szCs w:val="24"/>
        </w:rPr>
        <w:t xml:space="preserve">explain </w:t>
      </w:r>
      <w:r w:rsidR="00DE0A1D" w:rsidRPr="002420FF">
        <w:rPr>
          <w:sz w:val="24"/>
          <w:szCs w:val="24"/>
        </w:rPr>
        <w:t xml:space="preserve">in the first sentence </w:t>
      </w:r>
      <w:r w:rsidR="00C37FCF" w:rsidRPr="002420FF">
        <w:rPr>
          <w:sz w:val="24"/>
          <w:szCs w:val="24"/>
        </w:rPr>
        <w:t>of</w:t>
      </w:r>
      <w:r w:rsidR="00DE0A1D" w:rsidRPr="002420FF">
        <w:rPr>
          <w:sz w:val="24"/>
          <w:szCs w:val="24"/>
        </w:rPr>
        <w:t xml:space="preserve"> the Note </w:t>
      </w:r>
      <w:r w:rsidR="00C37FCF" w:rsidRPr="002420FF">
        <w:rPr>
          <w:sz w:val="24"/>
          <w:szCs w:val="24"/>
        </w:rPr>
        <w:t>to</w:t>
      </w:r>
      <w:r w:rsidR="00C84078" w:rsidRPr="002420FF">
        <w:rPr>
          <w:sz w:val="24"/>
          <w:szCs w:val="24"/>
        </w:rPr>
        <w:t xml:space="preserve"> </w:t>
      </w:r>
      <w:r w:rsidR="00DE0A1D" w:rsidRPr="002420FF">
        <w:rPr>
          <w:sz w:val="24"/>
          <w:szCs w:val="24"/>
        </w:rPr>
        <w:t>s</w:t>
      </w:r>
      <w:r w:rsidR="00DE0A1D" w:rsidRPr="002420FF">
        <w:rPr>
          <w:bCs/>
          <w:sz w:val="24"/>
          <w:szCs w:val="24"/>
        </w:rPr>
        <w:t>ubdivision (1) (c) (iv)</w:t>
      </w:r>
      <w:r w:rsidR="00DE0A1D" w:rsidRPr="002420FF">
        <w:rPr>
          <w:sz w:val="24"/>
          <w:szCs w:val="24"/>
        </w:rPr>
        <w:t xml:space="preserve"> </w:t>
      </w:r>
      <w:r w:rsidR="00163020" w:rsidRPr="002420FF">
        <w:rPr>
          <w:sz w:val="24"/>
          <w:szCs w:val="24"/>
        </w:rPr>
        <w:t xml:space="preserve">that </w:t>
      </w:r>
      <w:r w:rsidR="00D942EA" w:rsidRPr="002420FF">
        <w:rPr>
          <w:sz w:val="24"/>
          <w:szCs w:val="24"/>
        </w:rPr>
        <w:t xml:space="preserve">CPL 240.43 was repealed and </w:t>
      </w:r>
      <w:r w:rsidR="00770F53" w:rsidRPr="002420FF">
        <w:rPr>
          <w:sz w:val="24"/>
          <w:szCs w:val="24"/>
        </w:rPr>
        <w:t>replaced by</w:t>
      </w:r>
      <w:r w:rsidR="00D942EA" w:rsidRPr="002420FF">
        <w:rPr>
          <w:sz w:val="24"/>
          <w:szCs w:val="24"/>
        </w:rPr>
        <w:t xml:space="preserve"> </w:t>
      </w:r>
      <w:r w:rsidR="009C49E1" w:rsidRPr="002420FF">
        <w:rPr>
          <w:sz w:val="24"/>
          <w:szCs w:val="24"/>
        </w:rPr>
        <w:t>CPL 245.20</w:t>
      </w:r>
      <w:r w:rsidR="00E665D7" w:rsidRPr="002420FF">
        <w:rPr>
          <w:sz w:val="24"/>
          <w:szCs w:val="24"/>
        </w:rPr>
        <w:t xml:space="preserve"> (</w:t>
      </w:r>
      <w:r w:rsidR="009C49E1" w:rsidRPr="002420FF">
        <w:rPr>
          <w:sz w:val="24"/>
          <w:szCs w:val="24"/>
        </w:rPr>
        <w:t>3</w:t>
      </w:r>
      <w:r w:rsidR="00E665D7" w:rsidRPr="002420FF">
        <w:rPr>
          <w:sz w:val="24"/>
          <w:szCs w:val="24"/>
        </w:rPr>
        <w:t>)</w:t>
      </w:r>
      <w:r w:rsidR="00770F53" w:rsidRPr="002420FF">
        <w:rPr>
          <w:sz w:val="24"/>
          <w:szCs w:val="24"/>
        </w:rPr>
        <w:t>.</w:t>
      </w:r>
    </w:p>
    <w:p w14:paraId="239F5382" w14:textId="5B9F2B4B" w:rsidR="009847EE" w:rsidRPr="00AC618F" w:rsidRDefault="009847EE" w:rsidP="003C62EE">
      <w:pPr>
        <w:pStyle w:val="EndnoteText"/>
        <w:ind w:left="432" w:right="432"/>
        <w:jc w:val="both"/>
        <w:rPr>
          <w:color w:val="00B05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30AC" w14:textId="77777777" w:rsidR="00C72A56" w:rsidRPr="00EE52D8" w:rsidRDefault="00EE52D8" w:rsidP="00EE52D8">
    <w:pPr>
      <w:pStyle w:val="Footer"/>
      <w:jc w:val="center"/>
    </w:pPr>
    <w:r>
      <w:fldChar w:fldCharType="begin"/>
    </w:r>
    <w:r>
      <w:instrText xml:space="preserve"> PAGE   \* MERGEFORMAT </w:instrText>
    </w:r>
    <w:r>
      <w:fldChar w:fldCharType="separate"/>
    </w:r>
    <w:r w:rsidR="00BC23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FB04" w14:textId="77777777" w:rsidR="008832AF" w:rsidRDefault="008832AF">
      <w:r>
        <w:separator/>
      </w:r>
    </w:p>
  </w:footnote>
  <w:footnote w:type="continuationSeparator" w:id="0">
    <w:p w14:paraId="5DA0EBE8" w14:textId="77777777" w:rsidR="008832AF" w:rsidRDefault="00883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AB"/>
    <w:rsid w:val="00052E76"/>
    <w:rsid w:val="00064F8C"/>
    <w:rsid w:val="00072FC5"/>
    <w:rsid w:val="000800FC"/>
    <w:rsid w:val="000A2DB2"/>
    <w:rsid w:val="000D55E9"/>
    <w:rsid w:val="000E018F"/>
    <w:rsid w:val="001008B6"/>
    <w:rsid w:val="00101AA7"/>
    <w:rsid w:val="0012129F"/>
    <w:rsid w:val="00121CC6"/>
    <w:rsid w:val="001466D5"/>
    <w:rsid w:val="00163020"/>
    <w:rsid w:val="001A752B"/>
    <w:rsid w:val="002420FF"/>
    <w:rsid w:val="002423CA"/>
    <w:rsid w:val="00251134"/>
    <w:rsid w:val="00262975"/>
    <w:rsid w:val="002858FA"/>
    <w:rsid w:val="002B4722"/>
    <w:rsid w:val="002D4B2C"/>
    <w:rsid w:val="002D5220"/>
    <w:rsid w:val="002F3F7C"/>
    <w:rsid w:val="003828F7"/>
    <w:rsid w:val="003C3418"/>
    <w:rsid w:val="003C62EE"/>
    <w:rsid w:val="003E3412"/>
    <w:rsid w:val="00401358"/>
    <w:rsid w:val="0041372F"/>
    <w:rsid w:val="00480898"/>
    <w:rsid w:val="00482888"/>
    <w:rsid w:val="00497989"/>
    <w:rsid w:val="004A64D2"/>
    <w:rsid w:val="004B576C"/>
    <w:rsid w:val="004D1575"/>
    <w:rsid w:val="004E5810"/>
    <w:rsid w:val="004F472B"/>
    <w:rsid w:val="0052576A"/>
    <w:rsid w:val="005629E8"/>
    <w:rsid w:val="0057642A"/>
    <w:rsid w:val="005B1434"/>
    <w:rsid w:val="005B7E9A"/>
    <w:rsid w:val="005F7EEB"/>
    <w:rsid w:val="00666A70"/>
    <w:rsid w:val="006957B3"/>
    <w:rsid w:val="006A074A"/>
    <w:rsid w:val="006D74D0"/>
    <w:rsid w:val="006F6677"/>
    <w:rsid w:val="007140E2"/>
    <w:rsid w:val="00734719"/>
    <w:rsid w:val="00752590"/>
    <w:rsid w:val="00770F53"/>
    <w:rsid w:val="007A5C08"/>
    <w:rsid w:val="007B55EF"/>
    <w:rsid w:val="007C0724"/>
    <w:rsid w:val="007F0E8E"/>
    <w:rsid w:val="007F39C4"/>
    <w:rsid w:val="007F5DE2"/>
    <w:rsid w:val="008177B1"/>
    <w:rsid w:val="00822171"/>
    <w:rsid w:val="0084063E"/>
    <w:rsid w:val="00853E25"/>
    <w:rsid w:val="008832AF"/>
    <w:rsid w:val="00885E5D"/>
    <w:rsid w:val="008969C4"/>
    <w:rsid w:val="008B771B"/>
    <w:rsid w:val="008C4895"/>
    <w:rsid w:val="008D141A"/>
    <w:rsid w:val="008D6913"/>
    <w:rsid w:val="009409B9"/>
    <w:rsid w:val="00942ED0"/>
    <w:rsid w:val="0094400D"/>
    <w:rsid w:val="009477D6"/>
    <w:rsid w:val="00973593"/>
    <w:rsid w:val="00976004"/>
    <w:rsid w:val="00983168"/>
    <w:rsid w:val="009847EE"/>
    <w:rsid w:val="0099575B"/>
    <w:rsid w:val="009A2CCE"/>
    <w:rsid w:val="009A5EE2"/>
    <w:rsid w:val="009B2985"/>
    <w:rsid w:val="009C10D5"/>
    <w:rsid w:val="009C49E1"/>
    <w:rsid w:val="009E22F9"/>
    <w:rsid w:val="00A01180"/>
    <w:rsid w:val="00A106B7"/>
    <w:rsid w:val="00A32F70"/>
    <w:rsid w:val="00A439A2"/>
    <w:rsid w:val="00A71265"/>
    <w:rsid w:val="00A90349"/>
    <w:rsid w:val="00AB0E10"/>
    <w:rsid w:val="00AC618F"/>
    <w:rsid w:val="00AE23CC"/>
    <w:rsid w:val="00AF6923"/>
    <w:rsid w:val="00B01C29"/>
    <w:rsid w:val="00B1550A"/>
    <w:rsid w:val="00B15BAD"/>
    <w:rsid w:val="00B51C96"/>
    <w:rsid w:val="00B57278"/>
    <w:rsid w:val="00B71F4C"/>
    <w:rsid w:val="00B77720"/>
    <w:rsid w:val="00B86088"/>
    <w:rsid w:val="00BB1779"/>
    <w:rsid w:val="00BB53A2"/>
    <w:rsid w:val="00BC21AB"/>
    <w:rsid w:val="00BC2332"/>
    <w:rsid w:val="00BC5F41"/>
    <w:rsid w:val="00BE072C"/>
    <w:rsid w:val="00BE2519"/>
    <w:rsid w:val="00C24BF7"/>
    <w:rsid w:val="00C37FCF"/>
    <w:rsid w:val="00C43922"/>
    <w:rsid w:val="00C51ECD"/>
    <w:rsid w:val="00C72A56"/>
    <w:rsid w:val="00C76B97"/>
    <w:rsid w:val="00C80CDF"/>
    <w:rsid w:val="00C84078"/>
    <w:rsid w:val="00CA1FE0"/>
    <w:rsid w:val="00CB5D56"/>
    <w:rsid w:val="00D02DAF"/>
    <w:rsid w:val="00D056EA"/>
    <w:rsid w:val="00D427DF"/>
    <w:rsid w:val="00D52941"/>
    <w:rsid w:val="00D639DD"/>
    <w:rsid w:val="00D7090A"/>
    <w:rsid w:val="00D938EE"/>
    <w:rsid w:val="00D942EA"/>
    <w:rsid w:val="00DC1964"/>
    <w:rsid w:val="00DC3AE4"/>
    <w:rsid w:val="00DE0A1D"/>
    <w:rsid w:val="00E00E37"/>
    <w:rsid w:val="00E40EDD"/>
    <w:rsid w:val="00E665D7"/>
    <w:rsid w:val="00E772C6"/>
    <w:rsid w:val="00E85413"/>
    <w:rsid w:val="00ED106A"/>
    <w:rsid w:val="00EE52D8"/>
    <w:rsid w:val="00EF0E15"/>
    <w:rsid w:val="00F21971"/>
    <w:rsid w:val="00F26335"/>
    <w:rsid w:val="00F272B8"/>
    <w:rsid w:val="00F3257E"/>
    <w:rsid w:val="00F33886"/>
    <w:rsid w:val="00F3606B"/>
    <w:rsid w:val="00F40DF0"/>
    <w:rsid w:val="00F81247"/>
    <w:rsid w:val="00F87993"/>
    <w:rsid w:val="00FB09FB"/>
    <w:rsid w:val="00FB738A"/>
    <w:rsid w:val="00FC1E80"/>
    <w:rsid w:val="00FD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B0542D"/>
  <w14:defaultImageDpi w14:val="0"/>
  <w15:docId w15:val="{8A189EA0-5631-4734-9E17-4AF3E305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ascii="Calibri" w:hAnsi="Calibri" w:cs="Calibri"/>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Header">
    <w:name w:val="header"/>
    <w:basedOn w:val="Normal"/>
    <w:link w:val="HeaderChar"/>
    <w:uiPriority w:val="99"/>
    <w:unhideWhenUsed/>
    <w:rsid w:val="00EE52D8"/>
    <w:pPr>
      <w:tabs>
        <w:tab w:val="center" w:pos="4680"/>
        <w:tab w:val="right" w:pos="9360"/>
      </w:tabs>
    </w:pPr>
  </w:style>
  <w:style w:type="character" w:customStyle="1" w:styleId="HeaderChar">
    <w:name w:val="Header Char"/>
    <w:basedOn w:val="DefaultParagraphFont"/>
    <w:link w:val="Header"/>
    <w:uiPriority w:val="99"/>
    <w:locked/>
    <w:rsid w:val="00EE52D8"/>
    <w:rPr>
      <w:rFonts w:ascii="Times New Roman" w:hAnsi="Times New Roman" w:cs="Times New Roman"/>
      <w:sz w:val="20"/>
      <w:szCs w:val="20"/>
    </w:rPr>
  </w:style>
  <w:style w:type="paragraph" w:styleId="EndnoteText">
    <w:name w:val="endnote text"/>
    <w:basedOn w:val="Normal"/>
    <w:link w:val="EndnoteTextChar"/>
    <w:uiPriority w:val="99"/>
    <w:semiHidden/>
    <w:unhideWhenUsed/>
    <w:rsid w:val="0012129F"/>
  </w:style>
  <w:style w:type="character" w:customStyle="1" w:styleId="EndnoteTextChar">
    <w:name w:val="Endnote Text Char"/>
    <w:basedOn w:val="DefaultParagraphFont"/>
    <w:link w:val="EndnoteText"/>
    <w:uiPriority w:val="99"/>
    <w:semiHidden/>
    <w:rsid w:val="0012129F"/>
    <w:rPr>
      <w:rFonts w:ascii="Times New Roman" w:hAnsi="Times New Roman"/>
      <w:sz w:val="20"/>
      <w:szCs w:val="20"/>
    </w:rPr>
  </w:style>
  <w:style w:type="character" w:styleId="EndnoteReference">
    <w:name w:val="endnote reference"/>
    <w:basedOn w:val="DefaultParagraphFont"/>
    <w:uiPriority w:val="99"/>
    <w:semiHidden/>
    <w:unhideWhenUsed/>
    <w:rsid w:val="0012129F"/>
    <w:rPr>
      <w:vertAlign w:val="superscript"/>
    </w:rPr>
  </w:style>
  <w:style w:type="paragraph" w:customStyle="1" w:styleId="xmsonormal">
    <w:name w:val="x_msonormal"/>
    <w:basedOn w:val="Normal"/>
    <w:rsid w:val="00A32F70"/>
    <w:pPr>
      <w:widowControl/>
      <w:autoSpaceDE/>
      <w:autoSpaceDN/>
      <w:adjustRightInd/>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A71265"/>
    <w:rPr>
      <w:sz w:val="16"/>
      <w:szCs w:val="16"/>
    </w:rPr>
  </w:style>
  <w:style w:type="paragraph" w:styleId="CommentText">
    <w:name w:val="annotation text"/>
    <w:basedOn w:val="Normal"/>
    <w:link w:val="CommentTextChar"/>
    <w:uiPriority w:val="99"/>
    <w:semiHidden/>
    <w:unhideWhenUsed/>
    <w:rsid w:val="00A71265"/>
  </w:style>
  <w:style w:type="character" w:customStyle="1" w:styleId="CommentTextChar">
    <w:name w:val="Comment Text Char"/>
    <w:basedOn w:val="DefaultParagraphFont"/>
    <w:link w:val="CommentText"/>
    <w:uiPriority w:val="99"/>
    <w:semiHidden/>
    <w:rsid w:val="00A7126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71265"/>
    <w:rPr>
      <w:b/>
      <w:bCs/>
    </w:rPr>
  </w:style>
  <w:style w:type="character" w:customStyle="1" w:styleId="CommentSubjectChar">
    <w:name w:val="Comment Subject Char"/>
    <w:basedOn w:val="CommentTextChar"/>
    <w:link w:val="CommentSubject"/>
    <w:uiPriority w:val="99"/>
    <w:semiHidden/>
    <w:rsid w:val="00A71265"/>
    <w:rPr>
      <w:rFonts w:ascii="Times New Roman" w:hAnsi="Times New Roman"/>
      <w:b/>
      <w:bCs/>
      <w:sz w:val="20"/>
      <w:szCs w:val="20"/>
    </w:rPr>
  </w:style>
  <w:style w:type="paragraph" w:styleId="BalloonText">
    <w:name w:val="Balloon Text"/>
    <w:basedOn w:val="Normal"/>
    <w:link w:val="BalloonTextChar"/>
    <w:uiPriority w:val="99"/>
    <w:semiHidden/>
    <w:unhideWhenUsed/>
    <w:rsid w:val="00A71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5297">
      <w:bodyDiv w:val="1"/>
      <w:marLeft w:val="0"/>
      <w:marRight w:val="0"/>
      <w:marTop w:val="0"/>
      <w:marBottom w:val="0"/>
      <w:divBdr>
        <w:top w:val="none" w:sz="0" w:space="0" w:color="auto"/>
        <w:left w:val="none" w:sz="0" w:space="0" w:color="auto"/>
        <w:bottom w:val="none" w:sz="0" w:space="0" w:color="auto"/>
        <w:right w:val="none" w:sz="0" w:space="0" w:color="auto"/>
      </w:divBdr>
    </w:div>
    <w:div w:id="730277180">
      <w:bodyDiv w:val="1"/>
      <w:marLeft w:val="0"/>
      <w:marRight w:val="0"/>
      <w:marTop w:val="0"/>
      <w:marBottom w:val="0"/>
      <w:divBdr>
        <w:top w:val="none" w:sz="0" w:space="0" w:color="auto"/>
        <w:left w:val="none" w:sz="0" w:space="0" w:color="auto"/>
        <w:bottom w:val="none" w:sz="0" w:space="0" w:color="auto"/>
        <w:right w:val="none" w:sz="0" w:space="0" w:color="auto"/>
      </w:divBdr>
    </w:div>
    <w:div w:id="1142193139">
      <w:bodyDiv w:val="1"/>
      <w:marLeft w:val="0"/>
      <w:marRight w:val="0"/>
      <w:marTop w:val="0"/>
      <w:marBottom w:val="0"/>
      <w:divBdr>
        <w:top w:val="none" w:sz="0" w:space="0" w:color="auto"/>
        <w:left w:val="none" w:sz="0" w:space="0" w:color="auto"/>
        <w:bottom w:val="none" w:sz="0" w:space="0" w:color="auto"/>
        <w:right w:val="none" w:sz="0" w:space="0" w:color="auto"/>
      </w:divBdr>
    </w:div>
    <w:div w:id="15352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D8349-0D1B-4F47-A882-DE08DF29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6</Pages>
  <Words>2284</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132</cp:revision>
  <cp:lastPrinted>2021-10-27T03:01:00Z</cp:lastPrinted>
  <dcterms:created xsi:type="dcterms:W3CDTF">2021-09-27T21:31:00Z</dcterms:created>
  <dcterms:modified xsi:type="dcterms:W3CDTF">2021-12-02T21:30:00Z</dcterms:modified>
</cp:coreProperties>
</file>