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426B" w:rsidRDefault="001D426B" w:rsidP="00C161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both"/>
        <w:rPr>
          <w:b/>
          <w:bCs/>
          <w:sz w:val="28"/>
          <w:szCs w:val="28"/>
        </w:rPr>
      </w:pPr>
      <w:r w:rsidRPr="00C16132">
        <w:rPr>
          <w:sz w:val="28"/>
          <w:szCs w:val="28"/>
          <w:lang w:val="en-CA"/>
        </w:rPr>
        <w:fldChar w:fldCharType="begin"/>
      </w:r>
      <w:r w:rsidRPr="00C16132">
        <w:rPr>
          <w:sz w:val="28"/>
          <w:szCs w:val="28"/>
          <w:lang w:val="en-CA"/>
        </w:rPr>
        <w:instrText xml:space="preserve"> SEQ CHAPTER \h \r 1</w:instrText>
      </w:r>
      <w:r w:rsidRPr="00C16132">
        <w:rPr>
          <w:sz w:val="28"/>
          <w:szCs w:val="28"/>
          <w:lang w:val="en-CA"/>
        </w:rPr>
        <w:fldChar w:fldCharType="end"/>
      </w:r>
      <w:r w:rsidRPr="00C16132">
        <w:rPr>
          <w:b/>
          <w:bCs/>
          <w:sz w:val="28"/>
          <w:szCs w:val="28"/>
        </w:rPr>
        <w:t>6.21. Religious Beliefs or Opinions</w:t>
      </w:r>
    </w:p>
    <w:p w:rsidR="00C16132" w:rsidRPr="00C16132" w:rsidRDefault="00C16132" w:rsidP="00C161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both"/>
        <w:rPr>
          <w:b/>
          <w:bCs/>
          <w:sz w:val="28"/>
          <w:szCs w:val="28"/>
        </w:rPr>
      </w:pPr>
    </w:p>
    <w:p w:rsidR="00C16132" w:rsidRDefault="001D426B" w:rsidP="00C1613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720" w:right="720"/>
        <w:jc w:val="both"/>
        <w:rPr>
          <w:b/>
          <w:bCs/>
          <w:sz w:val="28"/>
          <w:szCs w:val="28"/>
        </w:rPr>
      </w:pPr>
      <w:r w:rsidRPr="00C16132">
        <w:rPr>
          <w:b/>
          <w:bCs/>
          <w:sz w:val="28"/>
          <w:szCs w:val="28"/>
        </w:rPr>
        <w:t>Evidence of a witness’s religious beliefs or opinions is not admissible to impeach or support the witness’s credibility.</w:t>
      </w:r>
    </w:p>
    <w:p w:rsidR="00C16132" w:rsidRDefault="00C16132" w:rsidP="00C1613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720" w:right="720"/>
        <w:jc w:val="both"/>
        <w:rPr>
          <w:b/>
          <w:bCs/>
          <w:sz w:val="28"/>
          <w:szCs w:val="28"/>
        </w:rPr>
      </w:pPr>
    </w:p>
    <w:p w:rsidR="001D426B" w:rsidRPr="00C16132" w:rsidRDefault="001D426B" w:rsidP="00C1613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right="720"/>
        <w:jc w:val="center"/>
        <w:rPr>
          <w:b/>
          <w:bCs/>
          <w:sz w:val="24"/>
          <w:szCs w:val="24"/>
        </w:rPr>
      </w:pPr>
      <w:r w:rsidRPr="00C16132">
        <w:rPr>
          <w:b/>
          <w:bCs/>
          <w:sz w:val="24"/>
          <w:szCs w:val="24"/>
        </w:rPr>
        <w:t>Note</w:t>
      </w:r>
    </w:p>
    <w:p w:rsidR="00C16132" w:rsidRPr="00C16132" w:rsidRDefault="00C16132" w:rsidP="00C1613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right="720"/>
        <w:jc w:val="center"/>
        <w:rPr>
          <w:b/>
          <w:bCs/>
          <w:sz w:val="24"/>
          <w:szCs w:val="24"/>
        </w:rPr>
      </w:pPr>
    </w:p>
    <w:p w:rsidR="001D426B" w:rsidRPr="00C16132" w:rsidRDefault="001D426B" w:rsidP="00C161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both"/>
        <w:rPr>
          <w:sz w:val="24"/>
          <w:szCs w:val="24"/>
        </w:rPr>
      </w:pPr>
      <w:r w:rsidRPr="00C16132">
        <w:rPr>
          <w:b/>
          <w:bCs/>
          <w:sz w:val="24"/>
          <w:szCs w:val="24"/>
        </w:rPr>
        <w:tab/>
      </w:r>
      <w:r w:rsidRPr="00C16132">
        <w:rPr>
          <w:sz w:val="24"/>
          <w:szCs w:val="24"/>
        </w:rPr>
        <w:t>This rule is derived from substantial Court of Appeals precedent. (</w:t>
      </w:r>
      <w:r w:rsidRPr="00C16132">
        <w:rPr>
          <w:i/>
          <w:iCs/>
          <w:sz w:val="24"/>
          <w:szCs w:val="24"/>
        </w:rPr>
        <w:t>See e.g. Matter of State of New York v Andrew O</w:t>
      </w:r>
      <w:r w:rsidRPr="00C16132">
        <w:rPr>
          <w:sz w:val="24"/>
          <w:szCs w:val="24"/>
        </w:rPr>
        <w:t xml:space="preserve">., 16 NY3d 841, 844 [2011]; </w:t>
      </w:r>
      <w:r w:rsidRPr="00C16132">
        <w:rPr>
          <w:i/>
          <w:iCs/>
          <w:sz w:val="24"/>
          <w:szCs w:val="24"/>
        </w:rPr>
        <w:t>People v Wood</w:t>
      </w:r>
      <w:r w:rsidRPr="00C16132">
        <w:rPr>
          <w:sz w:val="24"/>
          <w:szCs w:val="24"/>
        </w:rPr>
        <w:t xml:space="preserve">, 66 NY2d 374, 379 [1985]; </w:t>
      </w:r>
      <w:r w:rsidRPr="00C16132">
        <w:rPr>
          <w:i/>
          <w:iCs/>
          <w:sz w:val="24"/>
          <w:szCs w:val="24"/>
        </w:rPr>
        <w:t>Brink v Stratton</w:t>
      </w:r>
      <w:r w:rsidRPr="00C16132">
        <w:rPr>
          <w:sz w:val="24"/>
          <w:szCs w:val="24"/>
        </w:rPr>
        <w:t xml:space="preserve">, 176 NY 150, 154-156 [1903].) As stated by the Court in </w:t>
      </w:r>
      <w:r w:rsidRPr="00C16132">
        <w:rPr>
          <w:i/>
          <w:iCs/>
          <w:sz w:val="24"/>
          <w:szCs w:val="24"/>
        </w:rPr>
        <w:t>Wood</w:t>
      </w:r>
      <w:r w:rsidRPr="00C16132">
        <w:rPr>
          <w:sz w:val="24"/>
          <w:szCs w:val="24"/>
        </w:rPr>
        <w:t>: “[A]ny attempt to discredit . . . a witness because of his religious beliefs or for the exercise of his right to affirm the truth of his testimony is improper, because those factors are irreleva</w:t>
      </w:r>
      <w:r w:rsidR="00C16132">
        <w:rPr>
          <w:sz w:val="24"/>
          <w:szCs w:val="24"/>
        </w:rPr>
        <w:t>nt to the issue of credibility.”</w:t>
      </w:r>
      <w:r w:rsidRPr="00C16132">
        <w:rPr>
          <w:sz w:val="24"/>
          <w:szCs w:val="24"/>
        </w:rPr>
        <w:t xml:space="preserve"> (</w:t>
      </w:r>
      <w:r w:rsidRPr="00C16132">
        <w:rPr>
          <w:i/>
          <w:iCs/>
          <w:sz w:val="24"/>
          <w:szCs w:val="24"/>
        </w:rPr>
        <w:t>Wood</w:t>
      </w:r>
      <w:r w:rsidRPr="00C16132">
        <w:rPr>
          <w:sz w:val="24"/>
          <w:szCs w:val="24"/>
        </w:rPr>
        <w:t>, 66 NY2d at 378</w:t>
      </w:r>
      <w:r w:rsidRPr="00C26BA3">
        <w:rPr>
          <w:iCs/>
          <w:sz w:val="24"/>
          <w:szCs w:val="24"/>
        </w:rPr>
        <w:t>;</w:t>
      </w:r>
      <w:r w:rsidRPr="00C16132">
        <w:rPr>
          <w:i/>
          <w:iCs/>
          <w:sz w:val="24"/>
          <w:szCs w:val="24"/>
        </w:rPr>
        <w:t xml:space="preserve"> see also Saunders v Champlain Bus Corp.</w:t>
      </w:r>
      <w:r w:rsidRPr="00B702E3">
        <w:rPr>
          <w:iCs/>
          <w:sz w:val="24"/>
          <w:szCs w:val="24"/>
        </w:rPr>
        <w:t>,</w:t>
      </w:r>
      <w:r w:rsidRPr="00C16132">
        <w:rPr>
          <w:i/>
          <w:iCs/>
          <w:sz w:val="24"/>
          <w:szCs w:val="24"/>
        </w:rPr>
        <w:t xml:space="preserve"> </w:t>
      </w:r>
      <w:r w:rsidRPr="00C16132">
        <w:rPr>
          <w:sz w:val="24"/>
          <w:szCs w:val="24"/>
        </w:rPr>
        <w:t>263 App Div</w:t>
      </w:r>
      <w:r w:rsidRPr="00C16132">
        <w:rPr>
          <w:i/>
          <w:iCs/>
          <w:sz w:val="24"/>
          <w:szCs w:val="24"/>
        </w:rPr>
        <w:t xml:space="preserve"> </w:t>
      </w:r>
      <w:r w:rsidRPr="00C16132">
        <w:rPr>
          <w:sz w:val="24"/>
          <w:szCs w:val="24"/>
        </w:rPr>
        <w:t>683, 684 [3d Dept 1942] [“</w:t>
      </w:r>
      <w:r w:rsidRPr="00C16132">
        <w:rPr>
          <w:color w:val="212121"/>
          <w:sz w:val="24"/>
          <w:szCs w:val="24"/>
        </w:rPr>
        <w:t>The basic principle of our jurisprudence is that every citizen regardless of his position, his property, his race or his creed, is entitled to equal and exact justice”]</w:t>
      </w:r>
      <w:r w:rsidRPr="00C16132">
        <w:rPr>
          <w:sz w:val="24"/>
          <w:szCs w:val="24"/>
        </w:rPr>
        <w:t>.)</w:t>
      </w:r>
    </w:p>
    <w:p w:rsidR="00C16132" w:rsidRPr="00C16132" w:rsidRDefault="00C16132" w:rsidP="00C161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both"/>
        <w:rPr>
          <w:sz w:val="24"/>
          <w:szCs w:val="24"/>
        </w:rPr>
      </w:pPr>
    </w:p>
    <w:p w:rsidR="001D426B" w:rsidRPr="00C16132" w:rsidRDefault="001D426B" w:rsidP="00C161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jc w:val="both"/>
        <w:rPr>
          <w:color w:val="212121"/>
          <w:sz w:val="24"/>
          <w:szCs w:val="24"/>
        </w:rPr>
      </w:pPr>
      <w:r w:rsidRPr="00C16132">
        <w:rPr>
          <w:sz w:val="24"/>
          <w:szCs w:val="24"/>
        </w:rPr>
        <w:tab/>
        <w:t>This rule does not prevent the admission of evidence of religious beliefs or opinions when such evidence is relevant for a purpose other than attacking or supporting the witness’s credibility. (</w:t>
      </w:r>
      <w:r w:rsidRPr="00C16132">
        <w:rPr>
          <w:i/>
          <w:iCs/>
          <w:sz w:val="24"/>
          <w:szCs w:val="24"/>
        </w:rPr>
        <w:t>See e.g. Toomey v Farley</w:t>
      </w:r>
      <w:r w:rsidRPr="00C16132">
        <w:rPr>
          <w:sz w:val="24"/>
          <w:szCs w:val="24"/>
        </w:rPr>
        <w:t>, 2 NY2d 71, 82 [1956] [“</w:t>
      </w:r>
      <w:r w:rsidRPr="00C16132">
        <w:rPr>
          <w:color w:val="212121"/>
          <w:sz w:val="24"/>
          <w:szCs w:val="24"/>
        </w:rPr>
        <w:t>This . . . is that rare case in which proof of plaintiffs</w:t>
      </w:r>
      <w:r w:rsidR="00C16132">
        <w:rPr>
          <w:color w:val="212121"/>
          <w:sz w:val="24"/>
          <w:szCs w:val="24"/>
        </w:rPr>
        <w:t>’</w:t>
      </w:r>
      <w:r w:rsidRPr="00C16132">
        <w:rPr>
          <w:color w:val="212121"/>
          <w:sz w:val="24"/>
          <w:szCs w:val="24"/>
        </w:rPr>
        <w:t xml:space="preserve"> piety and devotion to the tenets of their religion and of their prominence and activity in their church was pertinent to show</w:t>
      </w:r>
      <w:r w:rsidR="00EB7557">
        <w:rPr>
          <w:color w:val="212121"/>
          <w:sz w:val="24"/>
          <w:szCs w:val="24"/>
        </w:rPr>
        <w:t xml:space="preserve"> the circumstances surrounding (plaintiffs)</w:t>
      </w:r>
      <w:r w:rsidRPr="00C16132">
        <w:rPr>
          <w:color w:val="212121"/>
          <w:sz w:val="24"/>
          <w:szCs w:val="24"/>
        </w:rPr>
        <w:t xml:space="preserve">, and as bearing upon the hurtful tendency of the libel, and the general damage to which </w:t>
      </w:r>
      <w:r w:rsidR="00A62193">
        <w:rPr>
          <w:color w:val="212121"/>
          <w:sz w:val="24"/>
          <w:szCs w:val="24"/>
        </w:rPr>
        <w:t>(they were)</w:t>
      </w:r>
      <w:r w:rsidR="00F954C8">
        <w:rPr>
          <w:color w:val="212121"/>
          <w:sz w:val="24"/>
          <w:szCs w:val="24"/>
        </w:rPr>
        <w:t xml:space="preserve"> exposed” (</w:t>
      </w:r>
      <w:r w:rsidRPr="00C16132">
        <w:rPr>
          <w:color w:val="212121"/>
          <w:sz w:val="24"/>
          <w:szCs w:val="24"/>
        </w:rPr>
        <w:t>internal quotation marks omitted</w:t>
      </w:r>
      <w:r w:rsidR="0052397E">
        <w:rPr>
          <w:color w:val="212121"/>
          <w:sz w:val="24"/>
          <w:szCs w:val="24"/>
        </w:rPr>
        <w:t>)</w:t>
      </w:r>
      <w:r w:rsidRPr="00C16132">
        <w:rPr>
          <w:color w:val="212121"/>
          <w:sz w:val="24"/>
          <w:szCs w:val="24"/>
        </w:rPr>
        <w:t xml:space="preserve">]; </w:t>
      </w:r>
      <w:r w:rsidRPr="00C16132">
        <w:rPr>
          <w:i/>
          <w:iCs/>
          <w:color w:val="212121"/>
          <w:sz w:val="24"/>
          <w:szCs w:val="24"/>
        </w:rPr>
        <w:t>United States v Teicher</w:t>
      </w:r>
      <w:r w:rsidRPr="00C16132">
        <w:rPr>
          <w:color w:val="212121"/>
          <w:sz w:val="24"/>
          <w:szCs w:val="24"/>
        </w:rPr>
        <w:t>, 987 F2d 112, 118 [2d Cir 1993] [inquiry into a</w:t>
      </w:r>
      <w:r w:rsidR="00C16132">
        <w:rPr>
          <w:color w:val="212121"/>
          <w:sz w:val="24"/>
          <w:szCs w:val="24"/>
        </w:rPr>
        <w:t xml:space="preserve"> witness’s religious beliefs “ ‘</w:t>
      </w:r>
      <w:r w:rsidRPr="00C16132">
        <w:rPr>
          <w:color w:val="212121"/>
          <w:sz w:val="24"/>
          <w:szCs w:val="24"/>
        </w:rPr>
        <w:t>for the purpose of showing interest or bias because of them’ ” is not barred].)</w:t>
      </w:r>
    </w:p>
    <w:sectPr w:rsidR="001D426B" w:rsidRPr="00C16132" w:rsidSect="00C16132">
      <w:pgSz w:w="12240" w:h="15840"/>
      <w:pgMar w:top="1440" w:right="2160" w:bottom="1440" w:left="216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4A" w:rsidRDefault="003A6D4A">
      <w:r>
        <w:separator/>
      </w:r>
    </w:p>
  </w:endnote>
  <w:endnote w:type="continuationSeparator" w:id="0">
    <w:p w:rsidR="003A6D4A" w:rsidRDefault="003A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4A" w:rsidRDefault="003A6D4A">
      <w:r>
        <w:separator/>
      </w:r>
    </w:p>
  </w:footnote>
  <w:footnote w:type="continuationSeparator" w:id="0">
    <w:p w:rsidR="003A6D4A" w:rsidRDefault="003A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2"/>
    <w:rsid w:val="001D426B"/>
    <w:rsid w:val="003A6D4A"/>
    <w:rsid w:val="0052397E"/>
    <w:rsid w:val="005401BD"/>
    <w:rsid w:val="00A62193"/>
    <w:rsid w:val="00B702E3"/>
    <w:rsid w:val="00C16132"/>
    <w:rsid w:val="00C26BA3"/>
    <w:rsid w:val="00E905F8"/>
    <w:rsid w:val="00EB7557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48E8D2-6C31-4F8F-BD17-7B44343D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13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1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Wendy Whiteman</cp:lastModifiedBy>
  <cp:revision>2</cp:revision>
  <dcterms:created xsi:type="dcterms:W3CDTF">2018-02-26T18:23:00Z</dcterms:created>
  <dcterms:modified xsi:type="dcterms:W3CDTF">2018-02-26T18:23:00Z</dcterms:modified>
</cp:coreProperties>
</file>