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6266" w14:textId="35956DE9" w:rsidR="001F0768" w:rsidRPr="00EC3542" w:rsidRDefault="00E55EFC" w:rsidP="00CC1190">
      <w:pPr>
        <w:pStyle w:val="ListParagraph"/>
        <w:spacing w:line="240" w:lineRule="auto"/>
        <w:ind w:left="0" w:right="0"/>
        <w:rPr>
          <w:rFonts w:cs="Times New Roman"/>
          <w:b/>
          <w:bCs/>
          <w:sz w:val="28"/>
          <w:szCs w:val="28"/>
        </w:rPr>
      </w:pPr>
      <w:r w:rsidRPr="00EC3542">
        <w:rPr>
          <w:rFonts w:cs="Times New Roman"/>
          <w:b/>
          <w:bCs/>
          <w:sz w:val="28"/>
          <w:szCs w:val="28"/>
        </w:rPr>
        <w:t>7.</w:t>
      </w:r>
      <w:r w:rsidR="00C93289">
        <w:rPr>
          <w:rFonts w:cs="Times New Roman"/>
          <w:b/>
          <w:bCs/>
          <w:sz w:val="28"/>
          <w:szCs w:val="28"/>
        </w:rPr>
        <w:t>10</w:t>
      </w:r>
      <w:r w:rsidRPr="00EC3542">
        <w:rPr>
          <w:rFonts w:cs="Times New Roman"/>
          <w:b/>
          <w:bCs/>
          <w:sz w:val="28"/>
          <w:szCs w:val="28"/>
        </w:rPr>
        <w:t xml:space="preserve"> </w:t>
      </w:r>
      <w:r w:rsidR="001F0768" w:rsidRPr="00EC3542">
        <w:rPr>
          <w:rFonts w:cs="Times New Roman"/>
          <w:b/>
          <w:bCs/>
          <w:sz w:val="28"/>
          <w:szCs w:val="28"/>
        </w:rPr>
        <w:t>Rape Trauma Syndrome</w:t>
      </w:r>
      <w:r w:rsidR="004C22B0" w:rsidRPr="00EC3542">
        <w:rPr>
          <w:rStyle w:val="EndnoteReference"/>
          <w:rFonts w:cs="Times New Roman"/>
          <w:b/>
          <w:bCs/>
          <w:sz w:val="28"/>
          <w:szCs w:val="28"/>
        </w:rPr>
        <w:endnoteReference w:id="1"/>
      </w:r>
    </w:p>
    <w:p w14:paraId="03E0D6E6" w14:textId="77777777" w:rsidR="001F0768" w:rsidRPr="00EC3542" w:rsidRDefault="001F0768" w:rsidP="00CC1190">
      <w:pPr>
        <w:spacing w:line="240" w:lineRule="auto"/>
        <w:ind w:left="0" w:right="0"/>
        <w:rPr>
          <w:rFonts w:cs="Times New Roman"/>
          <w:b/>
          <w:bCs/>
          <w:sz w:val="28"/>
          <w:szCs w:val="28"/>
        </w:rPr>
      </w:pPr>
    </w:p>
    <w:p w14:paraId="63A0E1FC" w14:textId="2594C179" w:rsidR="001F0768" w:rsidRPr="00EC3542" w:rsidRDefault="00512978" w:rsidP="00CC1190">
      <w:pPr>
        <w:pStyle w:val="ListParagraph"/>
        <w:spacing w:line="240" w:lineRule="auto"/>
        <w:ind w:left="720" w:right="720"/>
        <w:jc w:val="both"/>
        <w:rPr>
          <w:rFonts w:eastAsia="Times New Roman" w:cs="Times New Roman"/>
          <w:b/>
          <w:bCs/>
          <w:sz w:val="28"/>
          <w:szCs w:val="28"/>
          <w:lang w:val="x-none"/>
        </w:rPr>
      </w:pPr>
      <w:r w:rsidRPr="00EC3542">
        <w:rPr>
          <w:rFonts w:eastAsia="Times New Roman" w:cs="Times New Roman"/>
          <w:b/>
          <w:bCs/>
          <w:sz w:val="28"/>
          <w:szCs w:val="28"/>
        </w:rPr>
        <w:t xml:space="preserve">(1) </w:t>
      </w:r>
      <w:r w:rsidR="001F0768" w:rsidRPr="00EC3542">
        <w:rPr>
          <w:rFonts w:eastAsia="Times New Roman" w:cs="Times New Roman"/>
          <w:b/>
          <w:bCs/>
          <w:sz w:val="28"/>
          <w:szCs w:val="28"/>
        </w:rPr>
        <w:t>R</w:t>
      </w:r>
      <w:r w:rsidR="001F0768" w:rsidRPr="00EC3542">
        <w:rPr>
          <w:rFonts w:eastAsia="Times New Roman" w:cs="Times New Roman"/>
          <w:b/>
          <w:bCs/>
          <w:sz w:val="28"/>
          <w:szCs w:val="28"/>
          <w:lang w:val="x-none"/>
        </w:rPr>
        <w:t>ape trauma syndrome is a therapeutic concept</w:t>
      </w:r>
      <w:r w:rsidR="001F0768" w:rsidRPr="00EC3542">
        <w:rPr>
          <w:rFonts w:eastAsia="Times New Roman" w:cs="Times New Roman"/>
          <w:b/>
          <w:bCs/>
          <w:sz w:val="28"/>
          <w:szCs w:val="28"/>
        </w:rPr>
        <w:t xml:space="preserve"> encompassing identifiable </w:t>
      </w:r>
      <w:r w:rsidR="001F0768" w:rsidRPr="00EC3542">
        <w:rPr>
          <w:rFonts w:eastAsia="Times New Roman" w:cs="Times New Roman"/>
          <w:b/>
          <w:bCs/>
          <w:sz w:val="28"/>
          <w:szCs w:val="28"/>
          <w:lang w:val="x-none"/>
        </w:rPr>
        <w:t>behavioral, somatic, and</w:t>
      </w:r>
      <w:r w:rsidR="001F0768" w:rsidRPr="00EC3542">
        <w:rPr>
          <w:rFonts w:eastAsia="Times New Roman" w:cs="Times New Roman"/>
          <w:b/>
          <w:bCs/>
          <w:sz w:val="28"/>
          <w:szCs w:val="28"/>
        </w:rPr>
        <w:t xml:space="preserve"> </w:t>
      </w:r>
      <w:r w:rsidR="001F0768" w:rsidRPr="00EC3542">
        <w:rPr>
          <w:rFonts w:eastAsia="Times New Roman" w:cs="Times New Roman"/>
          <w:b/>
          <w:bCs/>
          <w:sz w:val="28"/>
          <w:szCs w:val="28"/>
          <w:lang w:val="x-none"/>
        </w:rPr>
        <w:t>psychological reactions</w:t>
      </w:r>
      <w:r w:rsidR="001F0768" w:rsidRPr="00EC3542">
        <w:rPr>
          <w:rFonts w:eastAsia="Times New Roman" w:cs="Times New Roman"/>
          <w:b/>
          <w:bCs/>
          <w:sz w:val="28"/>
          <w:szCs w:val="28"/>
        </w:rPr>
        <w:t xml:space="preserve"> a person may experience after a rape or attempted rape.</w:t>
      </w:r>
    </w:p>
    <w:p w14:paraId="2E0A75BC" w14:textId="77777777" w:rsidR="001F0768" w:rsidRPr="00EC3542" w:rsidRDefault="001F0768" w:rsidP="00CC1190">
      <w:pPr>
        <w:spacing w:line="240" w:lineRule="auto"/>
        <w:ind w:left="0" w:right="720"/>
        <w:rPr>
          <w:rFonts w:eastAsia="Times New Roman" w:cs="Times New Roman"/>
          <w:b/>
          <w:bCs/>
          <w:sz w:val="28"/>
          <w:szCs w:val="28"/>
        </w:rPr>
      </w:pPr>
    </w:p>
    <w:p w14:paraId="62538A6E" w14:textId="1D496C54" w:rsidR="001F0768" w:rsidRPr="00EC3542" w:rsidRDefault="00512978" w:rsidP="00CC1190">
      <w:pPr>
        <w:pStyle w:val="ListParagraph"/>
        <w:spacing w:line="240" w:lineRule="auto"/>
        <w:ind w:left="720" w:right="720"/>
        <w:jc w:val="both"/>
        <w:rPr>
          <w:rFonts w:eastAsia="Times New Roman" w:cs="Times New Roman"/>
          <w:b/>
          <w:bCs/>
          <w:sz w:val="28"/>
          <w:szCs w:val="28"/>
          <w:lang w:val="x-none"/>
        </w:rPr>
      </w:pPr>
      <w:r w:rsidRPr="00EC3542">
        <w:rPr>
          <w:rFonts w:eastAsia="Times New Roman" w:cs="Times New Roman"/>
          <w:b/>
          <w:bCs/>
          <w:sz w:val="28"/>
          <w:szCs w:val="28"/>
        </w:rPr>
        <w:t xml:space="preserve">(2) </w:t>
      </w:r>
      <w:r w:rsidR="001F0768" w:rsidRPr="00EC3542">
        <w:rPr>
          <w:rFonts w:eastAsia="Times New Roman" w:cs="Times New Roman"/>
          <w:b/>
          <w:bCs/>
          <w:sz w:val="28"/>
          <w:szCs w:val="28"/>
        </w:rPr>
        <w:t xml:space="preserve">The admissibility of expert testimony about an identifiable rape trauma syndrome reaction depends </w:t>
      </w:r>
      <w:r w:rsidR="00145D5E" w:rsidRPr="00EC3542">
        <w:rPr>
          <w:rFonts w:eastAsia="Times New Roman" w:cs="Times New Roman"/>
          <w:b/>
          <w:sz w:val="28"/>
          <w:szCs w:val="28"/>
        </w:rPr>
        <w:t>on meeting the criteria of Guide to N</w:t>
      </w:r>
      <w:r w:rsidR="003708C2" w:rsidRPr="00EC3542">
        <w:rPr>
          <w:rFonts w:eastAsia="Times New Roman" w:cs="Times New Roman"/>
          <w:b/>
          <w:sz w:val="28"/>
          <w:szCs w:val="28"/>
        </w:rPr>
        <w:t xml:space="preserve">ew </w:t>
      </w:r>
      <w:r w:rsidR="00145D5E" w:rsidRPr="00EC3542">
        <w:rPr>
          <w:rFonts w:eastAsia="Times New Roman" w:cs="Times New Roman"/>
          <w:b/>
          <w:sz w:val="28"/>
          <w:szCs w:val="28"/>
        </w:rPr>
        <w:t>Y</w:t>
      </w:r>
      <w:r w:rsidR="003708C2" w:rsidRPr="00EC3542">
        <w:rPr>
          <w:rFonts w:eastAsia="Times New Roman" w:cs="Times New Roman"/>
          <w:b/>
          <w:sz w:val="28"/>
          <w:szCs w:val="28"/>
        </w:rPr>
        <w:t>ork</w:t>
      </w:r>
      <w:r w:rsidR="00145D5E" w:rsidRPr="00EC3542">
        <w:rPr>
          <w:rFonts w:eastAsia="Times New Roman" w:cs="Times New Roman"/>
          <w:b/>
          <w:sz w:val="28"/>
          <w:szCs w:val="28"/>
        </w:rPr>
        <w:t xml:space="preserve"> Evidence rule 7.01 and </w:t>
      </w:r>
      <w:r w:rsidR="001F0768" w:rsidRPr="00EC3542">
        <w:rPr>
          <w:rFonts w:eastAsia="Times New Roman" w:cs="Times New Roman"/>
          <w:b/>
          <w:bCs/>
          <w:sz w:val="28"/>
          <w:szCs w:val="28"/>
        </w:rPr>
        <w:t xml:space="preserve">on the reason the evidence is offered. It is admissible </w:t>
      </w:r>
      <w:r w:rsidR="001F0768" w:rsidRPr="00EC3542">
        <w:rPr>
          <w:rFonts w:eastAsia="Times New Roman" w:cs="Times New Roman"/>
          <w:b/>
          <w:bCs/>
          <w:sz w:val="28"/>
          <w:szCs w:val="28"/>
          <w:lang w:val="x-none"/>
        </w:rPr>
        <w:t xml:space="preserve">to dispel juror misconceptions regarding the ordinary responses of </w:t>
      </w:r>
      <w:r w:rsidR="001F0768" w:rsidRPr="00EC3542">
        <w:rPr>
          <w:rFonts w:eastAsia="Times New Roman" w:cs="Times New Roman"/>
          <w:b/>
          <w:bCs/>
          <w:sz w:val="28"/>
          <w:szCs w:val="28"/>
        </w:rPr>
        <w:t xml:space="preserve">a victim of rape or attempted </w:t>
      </w:r>
      <w:r w:rsidR="001F0768" w:rsidRPr="00EC3542">
        <w:rPr>
          <w:rFonts w:eastAsia="Times New Roman" w:cs="Times New Roman"/>
          <w:b/>
          <w:bCs/>
          <w:sz w:val="28"/>
          <w:szCs w:val="28"/>
          <w:lang w:val="x-none"/>
        </w:rPr>
        <w:t>rape</w:t>
      </w:r>
      <w:r w:rsidR="001F0768" w:rsidRPr="00EC3542">
        <w:rPr>
          <w:rFonts w:eastAsia="Times New Roman" w:cs="Times New Roman"/>
          <w:b/>
          <w:bCs/>
          <w:sz w:val="28"/>
          <w:szCs w:val="28"/>
        </w:rPr>
        <w:t>. Thus, for example:</w:t>
      </w:r>
    </w:p>
    <w:p w14:paraId="39F295B2" w14:textId="77777777" w:rsidR="001F0768" w:rsidRPr="00EC3542" w:rsidRDefault="001F0768" w:rsidP="00CC1190">
      <w:pPr>
        <w:spacing w:line="240" w:lineRule="auto"/>
        <w:ind w:left="0"/>
        <w:rPr>
          <w:rFonts w:eastAsia="Times New Roman" w:cs="Times New Roman"/>
          <w:b/>
          <w:bCs/>
          <w:sz w:val="28"/>
          <w:szCs w:val="28"/>
        </w:rPr>
      </w:pPr>
    </w:p>
    <w:p w14:paraId="2A65B18C" w14:textId="414BEDC3" w:rsidR="001F0768" w:rsidRPr="00EC3542" w:rsidRDefault="00512978" w:rsidP="00CC1190">
      <w:pPr>
        <w:pStyle w:val="ListParagraph"/>
        <w:spacing w:line="240" w:lineRule="auto"/>
        <w:ind w:left="1440" w:right="720"/>
        <w:jc w:val="both"/>
        <w:rPr>
          <w:rFonts w:cs="Times New Roman"/>
          <w:b/>
          <w:bCs/>
          <w:sz w:val="28"/>
          <w:szCs w:val="28"/>
        </w:rPr>
      </w:pPr>
      <w:r w:rsidRPr="00EC3542">
        <w:rPr>
          <w:rFonts w:cs="Times New Roman"/>
          <w:b/>
          <w:bCs/>
          <w:sz w:val="28"/>
          <w:szCs w:val="28"/>
        </w:rPr>
        <w:t xml:space="preserve">(a) </w:t>
      </w:r>
      <w:r w:rsidR="001F0768" w:rsidRPr="00EC3542">
        <w:rPr>
          <w:rFonts w:cs="Times New Roman"/>
          <w:b/>
          <w:bCs/>
          <w:sz w:val="28"/>
          <w:szCs w:val="28"/>
        </w:rPr>
        <w:t>rape trauma syndrome evidence that a</w:t>
      </w:r>
      <w:r w:rsidR="001F0768" w:rsidRPr="00EC3542">
        <w:rPr>
          <w:rFonts w:eastAsia="Times New Roman" w:cs="Times New Roman"/>
          <w:b/>
          <w:bCs/>
          <w:sz w:val="28"/>
          <w:szCs w:val="28"/>
          <w:lang w:val="x-none"/>
        </w:rPr>
        <w:t xml:space="preserve"> rape victim who knows her assailant is more fearful of disclosing </w:t>
      </w:r>
      <w:r w:rsidR="001F0768" w:rsidRPr="00EC3542">
        <w:rPr>
          <w:rFonts w:eastAsia="Times New Roman" w:cs="Times New Roman"/>
          <w:b/>
          <w:bCs/>
          <w:sz w:val="28"/>
          <w:szCs w:val="28"/>
        </w:rPr>
        <w:t>the assailant’s</w:t>
      </w:r>
      <w:r w:rsidR="001F0768" w:rsidRPr="00EC3542">
        <w:rPr>
          <w:rFonts w:eastAsia="Times New Roman" w:cs="Times New Roman"/>
          <w:b/>
          <w:bCs/>
          <w:sz w:val="28"/>
          <w:szCs w:val="28"/>
          <w:lang w:val="x-none"/>
        </w:rPr>
        <w:t xml:space="preserve"> name to the</w:t>
      </w:r>
      <w:r w:rsidR="001F0768" w:rsidRPr="00EC3542">
        <w:rPr>
          <w:rFonts w:eastAsia="Times New Roman" w:cs="Times New Roman"/>
          <w:b/>
          <w:bCs/>
          <w:sz w:val="28"/>
          <w:szCs w:val="28"/>
        </w:rPr>
        <w:t xml:space="preserve"> </w:t>
      </w:r>
      <w:r w:rsidR="001F0768" w:rsidRPr="00EC3542">
        <w:rPr>
          <w:rFonts w:eastAsia="Times New Roman" w:cs="Times New Roman"/>
          <w:b/>
          <w:bCs/>
          <w:sz w:val="28"/>
          <w:szCs w:val="28"/>
          <w:lang w:val="x-none"/>
        </w:rPr>
        <w:t xml:space="preserve">police and is in fact less likely to report the rape at all </w:t>
      </w:r>
      <w:r w:rsidR="001F0768" w:rsidRPr="00EC3542">
        <w:rPr>
          <w:rFonts w:eastAsia="Times New Roman" w:cs="Times New Roman"/>
          <w:b/>
          <w:bCs/>
          <w:sz w:val="28"/>
          <w:szCs w:val="28"/>
        </w:rPr>
        <w:t>i</w:t>
      </w:r>
      <w:r w:rsidR="001F0768" w:rsidRPr="00EC3542">
        <w:rPr>
          <w:rFonts w:eastAsia="Times New Roman" w:cs="Times New Roman"/>
          <w:b/>
          <w:bCs/>
          <w:sz w:val="28"/>
          <w:szCs w:val="28"/>
          <w:lang w:val="x-none"/>
        </w:rPr>
        <w:t xml:space="preserve">s </w:t>
      </w:r>
      <w:r w:rsidR="001F0768" w:rsidRPr="00EC3542">
        <w:rPr>
          <w:rFonts w:eastAsia="Times New Roman" w:cs="Times New Roman"/>
          <w:b/>
          <w:bCs/>
          <w:sz w:val="28"/>
          <w:szCs w:val="28"/>
        </w:rPr>
        <w:t xml:space="preserve">admissible </w:t>
      </w:r>
      <w:r w:rsidR="001F0768" w:rsidRPr="00EC3542">
        <w:rPr>
          <w:rFonts w:eastAsia="Times New Roman" w:cs="Times New Roman"/>
          <w:b/>
          <w:bCs/>
          <w:sz w:val="28"/>
          <w:szCs w:val="28"/>
          <w:lang w:val="x-none"/>
        </w:rPr>
        <w:t>to explain why the complainant may have been</w:t>
      </w:r>
      <w:r w:rsidR="001F0768" w:rsidRPr="00EC3542">
        <w:rPr>
          <w:rFonts w:eastAsia="Times New Roman" w:cs="Times New Roman"/>
          <w:b/>
          <w:bCs/>
          <w:sz w:val="28"/>
          <w:szCs w:val="28"/>
        </w:rPr>
        <w:t xml:space="preserve"> </w:t>
      </w:r>
      <w:r w:rsidR="001F0768" w:rsidRPr="00EC3542">
        <w:rPr>
          <w:rFonts w:eastAsia="Times New Roman" w:cs="Times New Roman"/>
          <w:b/>
          <w:bCs/>
          <w:sz w:val="28"/>
          <w:szCs w:val="28"/>
          <w:lang w:val="x-none"/>
        </w:rPr>
        <w:t>initially unwilling to report that the defendant had been the man who attacked her.</w:t>
      </w:r>
    </w:p>
    <w:p w14:paraId="1A590035" w14:textId="77777777" w:rsidR="001F0768" w:rsidRPr="00EC3542" w:rsidRDefault="001F0768" w:rsidP="00CC1190">
      <w:pPr>
        <w:spacing w:line="240" w:lineRule="auto"/>
        <w:ind w:left="0"/>
        <w:rPr>
          <w:rFonts w:cs="Times New Roman"/>
          <w:b/>
          <w:bCs/>
          <w:sz w:val="28"/>
          <w:szCs w:val="28"/>
        </w:rPr>
      </w:pPr>
    </w:p>
    <w:p w14:paraId="6369BB82" w14:textId="0EF4E0F7" w:rsidR="001F0768" w:rsidRPr="00EC3542" w:rsidRDefault="00512978" w:rsidP="00CC1190">
      <w:pPr>
        <w:pStyle w:val="ListParagraph"/>
        <w:spacing w:line="240" w:lineRule="auto"/>
        <w:ind w:left="1440" w:right="720"/>
        <w:jc w:val="both"/>
        <w:rPr>
          <w:rFonts w:cs="Times New Roman"/>
          <w:b/>
          <w:bCs/>
          <w:sz w:val="28"/>
          <w:szCs w:val="28"/>
        </w:rPr>
      </w:pPr>
      <w:bookmarkStart w:id="0" w:name="_Hlk64823018"/>
      <w:r w:rsidRPr="00EC3542">
        <w:rPr>
          <w:rFonts w:cs="Times New Roman"/>
          <w:b/>
          <w:bCs/>
          <w:sz w:val="28"/>
          <w:szCs w:val="28"/>
        </w:rPr>
        <w:t xml:space="preserve">(b) </w:t>
      </w:r>
      <w:r w:rsidR="001F0768" w:rsidRPr="00EC3542">
        <w:rPr>
          <w:rFonts w:cs="Times New Roman"/>
          <w:b/>
          <w:bCs/>
          <w:sz w:val="28"/>
          <w:szCs w:val="28"/>
        </w:rPr>
        <w:t xml:space="preserve">rape trauma syndrome </w:t>
      </w:r>
      <w:bookmarkEnd w:id="0"/>
      <w:r w:rsidR="001F0768" w:rsidRPr="00EC3542">
        <w:rPr>
          <w:rFonts w:cs="Times New Roman"/>
          <w:b/>
          <w:bCs/>
          <w:sz w:val="28"/>
          <w:szCs w:val="28"/>
        </w:rPr>
        <w:t>evidence t</w:t>
      </w:r>
      <w:r w:rsidR="001F0768" w:rsidRPr="00EC3542">
        <w:rPr>
          <w:rFonts w:cs="Times New Roman"/>
          <w:b/>
          <w:bCs/>
          <w:sz w:val="28"/>
          <w:szCs w:val="28"/>
          <w:lang w:val="x-none"/>
        </w:rPr>
        <w:t>hat</w:t>
      </w:r>
      <w:r w:rsidR="001F0768" w:rsidRPr="00EC3542">
        <w:rPr>
          <w:rFonts w:cs="Times New Roman"/>
          <w:b/>
          <w:bCs/>
          <w:sz w:val="28"/>
          <w:szCs w:val="28"/>
        </w:rPr>
        <w:t xml:space="preserve"> </w:t>
      </w:r>
      <w:r w:rsidR="001F0768" w:rsidRPr="00EC3542">
        <w:rPr>
          <w:rFonts w:cs="Times New Roman"/>
          <w:b/>
          <w:bCs/>
          <w:sz w:val="28"/>
          <w:szCs w:val="28"/>
          <w:lang w:val="x-none"/>
        </w:rPr>
        <w:t xml:space="preserve">half of all women who have been forcibly raped are controlled and subdued following the attack is </w:t>
      </w:r>
      <w:r w:rsidR="001F0768" w:rsidRPr="00EC3542">
        <w:rPr>
          <w:rFonts w:cs="Times New Roman"/>
          <w:b/>
          <w:bCs/>
          <w:sz w:val="28"/>
          <w:szCs w:val="28"/>
        </w:rPr>
        <w:t>admissible</w:t>
      </w:r>
      <w:r w:rsidR="001F0768" w:rsidRPr="00EC3542">
        <w:rPr>
          <w:rFonts w:cs="Times New Roman"/>
          <w:b/>
          <w:bCs/>
          <w:sz w:val="28"/>
          <w:szCs w:val="28"/>
          <w:lang w:val="x-none"/>
        </w:rPr>
        <w:t xml:space="preserve"> to dispel misconceptions that</w:t>
      </w:r>
      <w:r w:rsidR="001F0768" w:rsidRPr="00EC3542">
        <w:rPr>
          <w:rFonts w:cs="Times New Roman"/>
          <w:b/>
          <w:bCs/>
          <w:sz w:val="28"/>
          <w:szCs w:val="28"/>
        </w:rPr>
        <w:t xml:space="preserve"> </w:t>
      </w:r>
      <w:r w:rsidR="001F0768" w:rsidRPr="00EC3542">
        <w:rPr>
          <w:rFonts w:cs="Times New Roman"/>
          <w:b/>
          <w:bCs/>
          <w:sz w:val="28"/>
          <w:szCs w:val="28"/>
          <w:lang w:val="x-none"/>
        </w:rPr>
        <w:t>jurors might possess regarding the ordinary responses of rape victims in the first hours after their attack.</w:t>
      </w:r>
    </w:p>
    <w:p w14:paraId="6A4B444A" w14:textId="77777777" w:rsidR="001F0768" w:rsidRPr="00EC3542" w:rsidRDefault="001F0768" w:rsidP="00CC1190">
      <w:pPr>
        <w:spacing w:line="240" w:lineRule="auto"/>
        <w:ind w:left="0"/>
        <w:rPr>
          <w:rFonts w:eastAsia="Times New Roman" w:cs="Times New Roman"/>
          <w:sz w:val="28"/>
          <w:szCs w:val="28"/>
          <w:shd w:val="clear" w:color="auto" w:fill="FFFFFF"/>
        </w:rPr>
      </w:pPr>
    </w:p>
    <w:p w14:paraId="6487B175" w14:textId="15B0C375" w:rsidR="001F0768" w:rsidRPr="00EC3542" w:rsidRDefault="00512978" w:rsidP="00CC1190">
      <w:pPr>
        <w:pStyle w:val="ListParagraph"/>
        <w:spacing w:line="240" w:lineRule="auto"/>
        <w:ind w:left="1440" w:right="720"/>
        <w:jc w:val="both"/>
        <w:rPr>
          <w:rFonts w:cs="Times New Roman"/>
          <w:b/>
          <w:bCs/>
          <w:sz w:val="28"/>
          <w:szCs w:val="28"/>
        </w:rPr>
      </w:pPr>
      <w:r w:rsidRPr="00EC3542">
        <w:rPr>
          <w:rFonts w:eastAsia="Times New Roman" w:cs="Times New Roman"/>
          <w:b/>
          <w:bCs/>
          <w:sz w:val="28"/>
          <w:szCs w:val="28"/>
          <w:shd w:val="clear" w:color="auto" w:fill="FFFFFF"/>
        </w:rPr>
        <w:t xml:space="preserve">(c) </w:t>
      </w:r>
      <w:r w:rsidR="001F0768" w:rsidRPr="00EC3542">
        <w:rPr>
          <w:rFonts w:eastAsia="Times New Roman" w:cs="Times New Roman"/>
          <w:b/>
          <w:bCs/>
          <w:sz w:val="28"/>
          <w:szCs w:val="28"/>
          <w:shd w:val="clear" w:color="auto" w:fill="FFFFFF"/>
        </w:rPr>
        <w:t>rape trauma syndrome evidence is admissible to assist the jury in understanding why the victim told her boyfriend about the rape the day after it occurred but refrained from telling her mother and the police until two weeks later as consistent with patterns of response exhibited by rape victims.</w:t>
      </w:r>
    </w:p>
    <w:p w14:paraId="44AFC8E5" w14:textId="77777777" w:rsidR="001F0768" w:rsidRPr="00EC3542" w:rsidRDefault="001F0768" w:rsidP="00CC1190">
      <w:pPr>
        <w:spacing w:line="240" w:lineRule="auto"/>
        <w:ind w:left="0"/>
        <w:rPr>
          <w:rFonts w:cs="Times New Roman"/>
          <w:b/>
          <w:bCs/>
          <w:sz w:val="28"/>
          <w:szCs w:val="28"/>
        </w:rPr>
      </w:pPr>
    </w:p>
    <w:p w14:paraId="26BAC88B" w14:textId="38D5E793" w:rsidR="001F0768" w:rsidRPr="00EC3542" w:rsidRDefault="00512978" w:rsidP="00CC1190">
      <w:pPr>
        <w:pStyle w:val="ListParagraph"/>
        <w:spacing w:line="240" w:lineRule="auto"/>
        <w:ind w:left="720" w:right="720"/>
        <w:jc w:val="both"/>
        <w:rPr>
          <w:rFonts w:eastAsia="Times New Roman" w:cs="Times New Roman"/>
          <w:b/>
          <w:bCs/>
          <w:sz w:val="28"/>
          <w:szCs w:val="28"/>
        </w:rPr>
      </w:pPr>
      <w:r w:rsidRPr="00EC3542">
        <w:rPr>
          <w:rFonts w:eastAsia="Times New Roman" w:cs="Times New Roman"/>
          <w:b/>
          <w:bCs/>
          <w:sz w:val="28"/>
          <w:szCs w:val="28"/>
        </w:rPr>
        <w:t xml:space="preserve">(3) </w:t>
      </w:r>
      <w:r w:rsidR="001F0768" w:rsidRPr="00EC3542">
        <w:rPr>
          <w:rFonts w:eastAsia="Times New Roman" w:cs="Times New Roman"/>
          <w:b/>
          <w:bCs/>
          <w:sz w:val="28"/>
          <w:szCs w:val="28"/>
        </w:rPr>
        <w:t>Evidence of rape trauma syndrome is not admissible</w:t>
      </w:r>
      <w:r w:rsidR="001F0768" w:rsidRPr="00EC3542">
        <w:rPr>
          <w:rFonts w:eastAsia="Times New Roman" w:cs="Times New Roman"/>
          <w:b/>
          <w:bCs/>
          <w:sz w:val="28"/>
          <w:szCs w:val="28"/>
          <w:lang w:val="x-none"/>
        </w:rPr>
        <w:t xml:space="preserve"> when it bears solely on proving that a rape </w:t>
      </w:r>
      <w:r w:rsidR="001F0768" w:rsidRPr="00EC3542">
        <w:rPr>
          <w:rFonts w:eastAsia="Times New Roman" w:cs="Times New Roman"/>
          <w:b/>
          <w:bCs/>
          <w:sz w:val="28"/>
          <w:szCs w:val="28"/>
          <w:lang w:val="x-none"/>
        </w:rPr>
        <w:lastRenderedPageBreak/>
        <w:t>occurred</w:t>
      </w:r>
      <w:r w:rsidR="001F0768" w:rsidRPr="00EC3542">
        <w:rPr>
          <w:rFonts w:eastAsia="Times New Roman" w:cs="Times New Roman"/>
          <w:b/>
          <w:bCs/>
          <w:sz w:val="28"/>
          <w:szCs w:val="28"/>
        </w:rPr>
        <w:t xml:space="preserve"> or when its purpose is solely to bolster the credibility of the complainant’s testimony.</w:t>
      </w:r>
    </w:p>
    <w:p w14:paraId="66AC3DAF" w14:textId="77777777" w:rsidR="001F0768" w:rsidRPr="00EC3542" w:rsidRDefault="001F0768" w:rsidP="00CC1190">
      <w:pPr>
        <w:spacing w:line="240" w:lineRule="auto"/>
        <w:ind w:left="0" w:right="0"/>
        <w:rPr>
          <w:rFonts w:eastAsia="Times New Roman" w:cs="Times New Roman"/>
          <w:b/>
          <w:bCs/>
          <w:sz w:val="28"/>
          <w:szCs w:val="28"/>
        </w:rPr>
      </w:pPr>
    </w:p>
    <w:p w14:paraId="78C73D76" w14:textId="77777777" w:rsidR="001F0768" w:rsidRPr="00EC3542" w:rsidRDefault="001F0768" w:rsidP="00CC1190">
      <w:pPr>
        <w:pStyle w:val="ListParagraph"/>
        <w:spacing w:line="240" w:lineRule="auto"/>
        <w:ind w:left="0" w:right="0"/>
        <w:jc w:val="center"/>
        <w:rPr>
          <w:rFonts w:eastAsia="Times New Roman" w:cs="Times New Roman"/>
          <w:b/>
          <w:bCs/>
          <w:szCs w:val="24"/>
        </w:rPr>
      </w:pPr>
      <w:r w:rsidRPr="00EC3542">
        <w:rPr>
          <w:rFonts w:eastAsia="Times New Roman" w:cs="Times New Roman"/>
          <w:b/>
          <w:bCs/>
          <w:szCs w:val="24"/>
        </w:rPr>
        <w:t>Note</w:t>
      </w:r>
    </w:p>
    <w:p w14:paraId="0E8DBE5F" w14:textId="77777777" w:rsidR="001F0768" w:rsidRPr="00EC3542" w:rsidRDefault="001F0768" w:rsidP="00CC1190">
      <w:pPr>
        <w:pStyle w:val="ListParagraph"/>
        <w:spacing w:line="240" w:lineRule="auto"/>
        <w:ind w:left="0" w:right="0"/>
        <w:rPr>
          <w:rFonts w:eastAsia="Times New Roman" w:cs="Times New Roman"/>
          <w:b/>
          <w:bCs/>
          <w:szCs w:val="24"/>
        </w:rPr>
      </w:pPr>
    </w:p>
    <w:p w14:paraId="6ECD0891" w14:textId="7BC830DF" w:rsidR="001F0768" w:rsidRPr="00EC3542" w:rsidRDefault="00512978" w:rsidP="00CC1190">
      <w:pPr>
        <w:tabs>
          <w:tab w:val="left" w:pos="720"/>
        </w:tabs>
        <w:spacing w:line="240" w:lineRule="auto"/>
        <w:ind w:left="0" w:right="0"/>
        <w:rPr>
          <w:rFonts w:eastAsia="Times New Roman" w:cs="Times New Roman"/>
          <w:szCs w:val="24"/>
        </w:rPr>
      </w:pPr>
      <w:r w:rsidRPr="00EC3542">
        <w:rPr>
          <w:rFonts w:eastAsia="Times New Roman" w:cs="Times New Roman"/>
          <w:szCs w:val="24"/>
        </w:rPr>
        <w:tab/>
      </w:r>
      <w:r w:rsidR="001F0768" w:rsidRPr="00EC3542">
        <w:rPr>
          <w:rFonts w:eastAsia="Times New Roman" w:cs="Times New Roman"/>
          <w:szCs w:val="24"/>
        </w:rPr>
        <w:t xml:space="preserve">This rule is derived from the seminal Court of Appeals decision in </w:t>
      </w:r>
      <w:r w:rsidR="001F0768" w:rsidRPr="00EC3542">
        <w:rPr>
          <w:rFonts w:eastAsia="Times New Roman" w:cs="Times New Roman"/>
          <w:i/>
          <w:iCs/>
          <w:szCs w:val="24"/>
        </w:rPr>
        <w:t>People v Taylor</w:t>
      </w:r>
      <w:r w:rsidR="001F0768" w:rsidRPr="00EC3542">
        <w:rPr>
          <w:rFonts w:eastAsia="Times New Roman" w:cs="Times New Roman"/>
          <w:szCs w:val="24"/>
        </w:rPr>
        <w:t xml:space="preserve"> </w:t>
      </w:r>
      <w:r w:rsidR="00FC6B6D" w:rsidRPr="00EC3542">
        <w:rPr>
          <w:rFonts w:eastAsia="Times New Roman" w:cs="Times New Roman"/>
          <w:szCs w:val="24"/>
        </w:rPr>
        <w:t>(</w:t>
      </w:r>
      <w:r w:rsidR="001F0768" w:rsidRPr="00EC3542">
        <w:rPr>
          <w:rFonts w:eastAsia="Times New Roman" w:cs="Times New Roman"/>
          <w:szCs w:val="24"/>
        </w:rPr>
        <w:t xml:space="preserve">75 NY2d 277 </w:t>
      </w:r>
      <w:r w:rsidR="00FC6B6D" w:rsidRPr="00EC3542">
        <w:rPr>
          <w:rFonts w:eastAsia="Times New Roman" w:cs="Times New Roman"/>
          <w:szCs w:val="24"/>
        </w:rPr>
        <w:t>[</w:t>
      </w:r>
      <w:r w:rsidR="001F0768" w:rsidRPr="00EC3542">
        <w:rPr>
          <w:rFonts w:eastAsia="Times New Roman" w:cs="Times New Roman"/>
          <w:szCs w:val="24"/>
        </w:rPr>
        <w:t>1990</w:t>
      </w:r>
      <w:r w:rsidR="00FC6B6D" w:rsidRPr="00EC3542">
        <w:rPr>
          <w:rFonts w:eastAsia="Times New Roman" w:cs="Times New Roman"/>
          <w:szCs w:val="24"/>
        </w:rPr>
        <w:t>]</w:t>
      </w:r>
      <w:r w:rsidR="001F0768" w:rsidRPr="00EC3542">
        <w:rPr>
          <w:rFonts w:eastAsia="Times New Roman" w:cs="Times New Roman"/>
          <w:szCs w:val="24"/>
        </w:rPr>
        <w:t>).</w:t>
      </w:r>
    </w:p>
    <w:p w14:paraId="4ACE9C82" w14:textId="77777777" w:rsidR="001F0768" w:rsidRPr="00EC3542" w:rsidRDefault="001F0768" w:rsidP="00CC1190">
      <w:pPr>
        <w:spacing w:line="240" w:lineRule="auto"/>
        <w:ind w:left="0" w:right="0"/>
        <w:rPr>
          <w:rFonts w:eastAsia="Times New Roman" w:cs="Times New Roman"/>
          <w:szCs w:val="24"/>
        </w:rPr>
      </w:pPr>
    </w:p>
    <w:p w14:paraId="73570E8D" w14:textId="4A07E58E" w:rsidR="001F0768" w:rsidRPr="00EC3542" w:rsidRDefault="00512978" w:rsidP="00CC1190">
      <w:pPr>
        <w:tabs>
          <w:tab w:val="left" w:pos="720"/>
        </w:tabs>
        <w:spacing w:line="240" w:lineRule="auto"/>
        <w:ind w:left="0" w:right="0"/>
        <w:jc w:val="both"/>
        <w:rPr>
          <w:rFonts w:eastAsia="Times New Roman" w:cs="Times New Roman"/>
          <w:szCs w:val="24"/>
        </w:rPr>
      </w:pPr>
      <w:r w:rsidRPr="00EC3542">
        <w:rPr>
          <w:rFonts w:eastAsia="Times New Roman" w:cs="Times New Roman"/>
          <w:b/>
          <w:bCs/>
          <w:szCs w:val="24"/>
        </w:rPr>
        <w:tab/>
      </w:r>
      <w:r w:rsidR="001F0768" w:rsidRPr="00EC3542">
        <w:rPr>
          <w:rFonts w:eastAsia="Times New Roman" w:cs="Times New Roman"/>
          <w:b/>
          <w:bCs/>
          <w:szCs w:val="24"/>
        </w:rPr>
        <w:t>Subdivision (1)</w:t>
      </w:r>
      <w:r w:rsidR="001F0768" w:rsidRPr="00EC3542">
        <w:rPr>
          <w:rFonts w:eastAsia="Times New Roman" w:cs="Times New Roman"/>
          <w:szCs w:val="24"/>
        </w:rPr>
        <w:t xml:space="preserve"> provides a description of the syndrome drawn from </w:t>
      </w:r>
      <w:r w:rsidR="001F0768" w:rsidRPr="00EC3542">
        <w:rPr>
          <w:rFonts w:eastAsia="Times New Roman" w:cs="Times New Roman"/>
          <w:i/>
          <w:iCs/>
          <w:szCs w:val="24"/>
        </w:rPr>
        <w:t xml:space="preserve">Taylor. Taylor </w:t>
      </w:r>
      <w:r w:rsidR="001F0768" w:rsidRPr="00EC3542">
        <w:rPr>
          <w:rFonts w:eastAsia="Times New Roman" w:cs="Times New Roman"/>
          <w:szCs w:val="24"/>
        </w:rPr>
        <w:t xml:space="preserve">noted that the syndrome was a “therapeutic” concept, </w:t>
      </w:r>
      <w:r w:rsidR="001F0768" w:rsidRPr="00EC3542">
        <w:rPr>
          <w:rFonts w:eastAsia="Times New Roman" w:cs="Times New Roman"/>
          <w:szCs w:val="24"/>
          <w:lang w:val="x-none"/>
        </w:rPr>
        <w:t xml:space="preserve">described as </w:t>
      </w:r>
      <w:r w:rsidR="001F0768" w:rsidRPr="00EC3542">
        <w:rPr>
          <w:rFonts w:eastAsia="Times New Roman" w:cs="Times New Roman"/>
          <w:szCs w:val="24"/>
        </w:rPr>
        <w:t>“</w:t>
      </w:r>
      <w:r w:rsidR="00FC6B6D" w:rsidRPr="00EC3542">
        <w:rPr>
          <w:rFonts w:eastAsia="Times New Roman" w:cs="Times New Roman"/>
          <w:szCs w:val="24"/>
        </w:rPr>
        <w:t xml:space="preserve"> </w:t>
      </w:r>
      <w:r w:rsidR="001F0768" w:rsidRPr="00EC3542">
        <w:rPr>
          <w:rFonts w:eastAsia="Times New Roman" w:cs="Times New Roman"/>
          <w:szCs w:val="24"/>
        </w:rPr>
        <w:t>‘</w:t>
      </w:r>
      <w:r w:rsidR="001F0768" w:rsidRPr="00EC3542">
        <w:rPr>
          <w:rFonts w:eastAsia="Times New Roman" w:cs="Times New Roman"/>
          <w:szCs w:val="24"/>
          <w:lang w:val="x-none"/>
        </w:rPr>
        <w:t>the acute phase and long-term reorganization process</w:t>
      </w:r>
      <w:r w:rsidR="001F0768" w:rsidRPr="00EC3542">
        <w:rPr>
          <w:rFonts w:eastAsia="Times New Roman" w:cs="Times New Roman"/>
          <w:szCs w:val="24"/>
        </w:rPr>
        <w:t xml:space="preserve"> </w:t>
      </w:r>
      <w:r w:rsidR="001F0768" w:rsidRPr="00EC3542">
        <w:rPr>
          <w:rFonts w:eastAsia="Times New Roman" w:cs="Times New Roman"/>
          <w:szCs w:val="24"/>
          <w:lang w:val="x-none"/>
        </w:rPr>
        <w:t>that occurs as a result of forcible rape or attempted forcible rape</w:t>
      </w:r>
      <w:r w:rsidR="003045A2" w:rsidRPr="00EC3542">
        <w:rPr>
          <w:rFonts w:eastAsia="Times New Roman" w:cs="Times New Roman"/>
          <w:szCs w:val="24"/>
          <w:lang w:val="x-none"/>
        </w:rPr>
        <w:t>.</w:t>
      </w:r>
      <w:r w:rsidR="003708C2" w:rsidRPr="00EC3542">
        <w:rPr>
          <w:rFonts w:eastAsia="Times New Roman" w:cs="Times New Roman"/>
          <w:szCs w:val="24"/>
        </w:rPr>
        <w:t xml:space="preserve"> </w:t>
      </w:r>
      <w:r w:rsidR="001F0768" w:rsidRPr="00EC3542">
        <w:rPr>
          <w:rFonts w:eastAsia="Times New Roman" w:cs="Times New Roman"/>
          <w:szCs w:val="24"/>
          <w:lang w:val="x-none"/>
        </w:rPr>
        <w:t>This syndrome of behavioral, somatic, and</w:t>
      </w:r>
      <w:r w:rsidR="001F0768" w:rsidRPr="00EC3542">
        <w:rPr>
          <w:rFonts w:eastAsia="Times New Roman" w:cs="Times New Roman"/>
          <w:szCs w:val="24"/>
        </w:rPr>
        <w:t xml:space="preserve"> </w:t>
      </w:r>
      <w:r w:rsidR="001F0768" w:rsidRPr="00EC3542">
        <w:rPr>
          <w:rFonts w:eastAsia="Times New Roman" w:cs="Times New Roman"/>
          <w:szCs w:val="24"/>
          <w:lang w:val="x-none"/>
        </w:rPr>
        <w:t>psychological reactions is an acute stress reaction to a life-threatening situation</w:t>
      </w:r>
      <w:r w:rsidR="001F0768" w:rsidRPr="00EC3542">
        <w:rPr>
          <w:rFonts w:eastAsia="Times New Roman" w:cs="Times New Roman"/>
          <w:szCs w:val="24"/>
        </w:rPr>
        <w:t>’</w:t>
      </w:r>
      <w:r w:rsidR="001F0768" w:rsidRPr="00EC3542">
        <w:rPr>
          <w:rFonts w:eastAsia="Times New Roman" w:cs="Times New Roman"/>
          <w:szCs w:val="24"/>
          <w:lang w:val="x-none"/>
        </w:rPr>
        <w:t xml:space="preserve"> (Burgess &amp; Holmstrom, </w:t>
      </w:r>
      <w:r w:rsidR="001F0768" w:rsidRPr="00EC3542">
        <w:rPr>
          <w:rFonts w:eastAsia="Times New Roman" w:cs="Times New Roman"/>
          <w:i/>
          <w:szCs w:val="24"/>
          <w:lang w:val="x-none"/>
        </w:rPr>
        <w:t>Rape</w:t>
      </w:r>
      <w:r w:rsidR="001F0768" w:rsidRPr="00EC3542">
        <w:rPr>
          <w:rFonts w:eastAsia="Times New Roman" w:cs="Times New Roman"/>
          <w:i/>
          <w:szCs w:val="24"/>
        </w:rPr>
        <w:t xml:space="preserve"> </w:t>
      </w:r>
      <w:r w:rsidR="001F0768" w:rsidRPr="00EC3542">
        <w:rPr>
          <w:rFonts w:eastAsia="Times New Roman" w:cs="Times New Roman"/>
          <w:i/>
          <w:szCs w:val="24"/>
          <w:lang w:val="x-none"/>
        </w:rPr>
        <w:t>Trauma Syndrome</w:t>
      </w:r>
      <w:r w:rsidR="001F0768" w:rsidRPr="00EC3542">
        <w:rPr>
          <w:rFonts w:eastAsia="Times New Roman" w:cs="Times New Roman"/>
          <w:iCs/>
          <w:szCs w:val="24"/>
          <w:lang w:val="x-none"/>
        </w:rPr>
        <w:t>,</w:t>
      </w:r>
      <w:r w:rsidR="001F0768" w:rsidRPr="00EC3542">
        <w:rPr>
          <w:rFonts w:eastAsia="Times New Roman" w:cs="Times New Roman"/>
          <w:i/>
          <w:szCs w:val="24"/>
          <w:lang w:val="x-none"/>
        </w:rPr>
        <w:t xml:space="preserve"> </w:t>
      </w:r>
      <w:r w:rsidR="001F0768" w:rsidRPr="00EC3542">
        <w:rPr>
          <w:rFonts w:eastAsia="Times New Roman" w:cs="Times New Roman"/>
          <w:szCs w:val="24"/>
          <w:lang w:val="x-none"/>
        </w:rPr>
        <w:t>131 Am J Psychiatry 981, 982 [1974])</w:t>
      </w:r>
      <w:r w:rsidR="001F0768" w:rsidRPr="00EC3542">
        <w:rPr>
          <w:rFonts w:eastAsia="Times New Roman" w:cs="Times New Roman"/>
          <w:szCs w:val="24"/>
        </w:rPr>
        <w:t>”</w:t>
      </w:r>
      <w:r w:rsidR="00FC6B6D" w:rsidRPr="00EC3542">
        <w:rPr>
          <w:rFonts w:eastAsia="Times New Roman" w:cs="Times New Roman"/>
          <w:szCs w:val="24"/>
        </w:rPr>
        <w:t xml:space="preserve"> (</w:t>
      </w:r>
      <w:r w:rsidR="00FC6B6D" w:rsidRPr="00EC3542">
        <w:rPr>
          <w:rFonts w:eastAsia="Times New Roman" w:cs="Times New Roman"/>
          <w:i/>
          <w:iCs/>
          <w:szCs w:val="24"/>
        </w:rPr>
        <w:t>Taylor</w:t>
      </w:r>
      <w:r w:rsidR="00FC6B6D" w:rsidRPr="00EC3542">
        <w:rPr>
          <w:rFonts w:eastAsia="Times New Roman" w:cs="Times New Roman"/>
          <w:szCs w:val="24"/>
        </w:rPr>
        <w:t xml:space="preserve"> at 285).</w:t>
      </w:r>
    </w:p>
    <w:p w14:paraId="6DD62391" w14:textId="77777777" w:rsidR="001F0768" w:rsidRPr="00EC3542" w:rsidRDefault="001F0768" w:rsidP="00CC1190">
      <w:pPr>
        <w:spacing w:line="240" w:lineRule="auto"/>
        <w:ind w:left="0"/>
        <w:rPr>
          <w:rFonts w:eastAsia="Times New Roman" w:cs="Times New Roman"/>
          <w:szCs w:val="24"/>
        </w:rPr>
      </w:pPr>
    </w:p>
    <w:p w14:paraId="4B1F64B1" w14:textId="0D6F9B56" w:rsidR="001F0768" w:rsidRPr="00EC3542" w:rsidRDefault="00512978" w:rsidP="00CC1190">
      <w:pPr>
        <w:tabs>
          <w:tab w:val="left" w:pos="720"/>
        </w:tabs>
        <w:spacing w:line="240" w:lineRule="auto"/>
        <w:ind w:left="0" w:right="0"/>
        <w:rPr>
          <w:rFonts w:eastAsia="Times New Roman" w:cs="Times New Roman"/>
          <w:szCs w:val="24"/>
        </w:rPr>
      </w:pPr>
      <w:r w:rsidRPr="00EC3542">
        <w:rPr>
          <w:rFonts w:eastAsia="Times New Roman" w:cs="Times New Roman"/>
          <w:b/>
          <w:bCs/>
          <w:szCs w:val="24"/>
        </w:rPr>
        <w:tab/>
      </w:r>
      <w:r w:rsidR="001F0768" w:rsidRPr="00EC3542">
        <w:rPr>
          <w:rFonts w:eastAsia="Times New Roman" w:cs="Times New Roman"/>
          <w:b/>
          <w:bCs/>
          <w:szCs w:val="24"/>
        </w:rPr>
        <w:t xml:space="preserve">Subdivision (2) (a) and </w:t>
      </w:r>
      <w:r w:rsidR="00FD614D" w:rsidRPr="00EC3542">
        <w:rPr>
          <w:rFonts w:eastAsia="Times New Roman" w:cs="Times New Roman"/>
          <w:b/>
          <w:bCs/>
          <w:szCs w:val="24"/>
        </w:rPr>
        <w:t xml:space="preserve">subdivision (2) </w:t>
      </w:r>
      <w:r w:rsidR="001F0768" w:rsidRPr="00EC3542">
        <w:rPr>
          <w:rFonts w:eastAsia="Times New Roman" w:cs="Times New Roman"/>
          <w:b/>
          <w:bCs/>
          <w:szCs w:val="24"/>
        </w:rPr>
        <w:t>(b)</w:t>
      </w:r>
      <w:r w:rsidR="001F0768" w:rsidRPr="00EC3542">
        <w:rPr>
          <w:rFonts w:eastAsia="Times New Roman" w:cs="Times New Roman"/>
          <w:szCs w:val="24"/>
        </w:rPr>
        <w:t xml:space="preserve"> </w:t>
      </w:r>
      <w:r w:rsidR="00FD614D" w:rsidRPr="00EC3542">
        <w:rPr>
          <w:rFonts w:eastAsia="Times New Roman" w:cs="Times New Roman"/>
          <w:szCs w:val="24"/>
        </w:rPr>
        <w:t>are</w:t>
      </w:r>
      <w:r w:rsidR="001F0768" w:rsidRPr="00EC3542">
        <w:rPr>
          <w:rFonts w:eastAsia="Times New Roman" w:cs="Times New Roman"/>
          <w:szCs w:val="24"/>
        </w:rPr>
        <w:t xml:space="preserve"> drawn from the following part of the </w:t>
      </w:r>
      <w:r w:rsidR="001F0768" w:rsidRPr="00EC3542">
        <w:rPr>
          <w:rFonts w:eastAsia="Times New Roman" w:cs="Times New Roman"/>
          <w:i/>
          <w:iCs/>
          <w:szCs w:val="24"/>
        </w:rPr>
        <w:t>Taylor</w:t>
      </w:r>
      <w:r w:rsidR="001F0768" w:rsidRPr="00EC3542">
        <w:rPr>
          <w:rFonts w:eastAsia="Times New Roman" w:cs="Times New Roman"/>
          <w:szCs w:val="24"/>
        </w:rPr>
        <w:t xml:space="preserve"> opinion:</w:t>
      </w:r>
    </w:p>
    <w:p w14:paraId="0E66AD40" w14:textId="77777777" w:rsidR="001F0768" w:rsidRPr="00EC3542" w:rsidRDefault="001F0768" w:rsidP="00CC1190">
      <w:pPr>
        <w:spacing w:line="240" w:lineRule="auto"/>
        <w:ind w:left="0" w:right="0"/>
        <w:rPr>
          <w:rFonts w:eastAsia="Times New Roman" w:cs="Times New Roman"/>
          <w:szCs w:val="24"/>
        </w:rPr>
      </w:pPr>
    </w:p>
    <w:p w14:paraId="141126A7" w14:textId="11DE5FC4" w:rsidR="001F0768" w:rsidRPr="00EC3542" w:rsidRDefault="00061D7C" w:rsidP="00CC1190">
      <w:pPr>
        <w:autoSpaceDE w:val="0"/>
        <w:autoSpaceDN w:val="0"/>
        <w:adjustRightInd w:val="0"/>
        <w:snapToGrid w:val="0"/>
        <w:spacing w:line="240" w:lineRule="auto"/>
        <w:ind w:left="720" w:right="720"/>
        <w:jc w:val="both"/>
        <w:rPr>
          <w:rFonts w:eastAsia="Times New Roman" w:cs="Times New Roman"/>
          <w:szCs w:val="24"/>
        </w:rPr>
      </w:pPr>
      <w:r w:rsidRPr="00EC3542">
        <w:rPr>
          <w:rFonts w:eastAsia="Times New Roman" w:cs="Times New Roman"/>
          <w:szCs w:val="24"/>
        </w:rPr>
        <w:t>“</w:t>
      </w:r>
      <w:r w:rsidR="001F0768" w:rsidRPr="00EC3542">
        <w:rPr>
          <w:rFonts w:eastAsia="Times New Roman" w:cs="Times New Roman"/>
          <w:szCs w:val="24"/>
        </w:rPr>
        <w:t>[E]</w:t>
      </w:r>
      <w:r w:rsidR="001F0768" w:rsidRPr="00EC3542">
        <w:rPr>
          <w:rFonts w:eastAsia="Times New Roman" w:cs="Times New Roman"/>
          <w:szCs w:val="24"/>
          <w:lang w:val="x-none"/>
        </w:rPr>
        <w:t>vidence of rape trauma syndrome can assist jurors in reaching a verdict by dispelling</w:t>
      </w:r>
      <w:r w:rsidR="001F0768" w:rsidRPr="00EC3542">
        <w:rPr>
          <w:rFonts w:eastAsia="Times New Roman" w:cs="Times New Roman"/>
          <w:szCs w:val="24"/>
        </w:rPr>
        <w:t xml:space="preserve"> </w:t>
      </w:r>
      <w:r w:rsidR="001F0768" w:rsidRPr="00EC3542">
        <w:rPr>
          <w:rFonts w:eastAsia="Times New Roman" w:cs="Times New Roman"/>
          <w:szCs w:val="24"/>
          <w:lang w:val="x-none"/>
        </w:rPr>
        <w:t xml:space="preserve">common misperceptions about rape </w:t>
      </w:r>
      <w:r w:rsidR="001F0768" w:rsidRPr="00EC3542">
        <w:rPr>
          <w:rFonts w:eastAsia="Times New Roman" w:cs="Times New Roman"/>
          <w:szCs w:val="24"/>
        </w:rPr>
        <w:t>. . .</w:t>
      </w:r>
      <w:r w:rsidR="00BE74FF" w:rsidRPr="00EC3542">
        <w:rPr>
          <w:rFonts w:eastAsia="Times New Roman" w:cs="Times New Roman"/>
          <w:szCs w:val="24"/>
        </w:rPr>
        <w:t xml:space="preserve"> .</w:t>
      </w:r>
      <w:r w:rsidR="001F0768" w:rsidRPr="00EC3542">
        <w:rPr>
          <w:rFonts w:eastAsia="Times New Roman" w:cs="Times New Roman"/>
          <w:szCs w:val="24"/>
        </w:rPr>
        <w:t xml:space="preserve"> </w:t>
      </w:r>
      <w:r w:rsidR="00BE74FF" w:rsidRPr="00EC3542">
        <w:rPr>
          <w:rFonts w:eastAsia="Times New Roman" w:cs="Times New Roman"/>
          <w:szCs w:val="24"/>
        </w:rPr>
        <w:t>[T]</w:t>
      </w:r>
      <w:r w:rsidR="001F0768" w:rsidRPr="00EC3542">
        <w:rPr>
          <w:rFonts w:eastAsia="Times New Roman" w:cs="Times New Roman"/>
          <w:szCs w:val="24"/>
          <w:lang w:val="x-none"/>
        </w:rPr>
        <w:t>he reason why the testimony is offered will determine its</w:t>
      </w:r>
      <w:r w:rsidR="001F0768" w:rsidRPr="00EC3542">
        <w:rPr>
          <w:rFonts w:eastAsia="Times New Roman" w:cs="Times New Roman"/>
          <w:szCs w:val="24"/>
        </w:rPr>
        <w:t xml:space="preserve"> </w:t>
      </w:r>
      <w:r w:rsidR="001F0768" w:rsidRPr="00EC3542">
        <w:rPr>
          <w:rFonts w:eastAsia="Times New Roman" w:cs="Times New Roman"/>
          <w:szCs w:val="24"/>
          <w:lang w:val="x-none"/>
        </w:rPr>
        <w:t>helpfulness, its relevance and its potential for prejudice.</w:t>
      </w:r>
      <w:r w:rsidR="001F0768" w:rsidRPr="00EC3542">
        <w:rPr>
          <w:rFonts w:eastAsia="Times New Roman" w:cs="Times New Roman"/>
          <w:szCs w:val="24"/>
        </w:rPr>
        <w:t xml:space="preserve"> . . .</w:t>
      </w:r>
    </w:p>
    <w:p w14:paraId="71048332" w14:textId="77777777" w:rsidR="001F0768" w:rsidRPr="00EC3542" w:rsidRDefault="001F0768" w:rsidP="00CC1190">
      <w:pPr>
        <w:autoSpaceDE w:val="0"/>
        <w:autoSpaceDN w:val="0"/>
        <w:adjustRightInd w:val="0"/>
        <w:snapToGrid w:val="0"/>
        <w:spacing w:line="240" w:lineRule="auto"/>
        <w:ind w:left="720"/>
        <w:jc w:val="both"/>
        <w:rPr>
          <w:rFonts w:eastAsia="Times New Roman" w:cs="Times New Roman"/>
          <w:szCs w:val="24"/>
          <w:lang w:val="x-none"/>
        </w:rPr>
      </w:pPr>
    </w:p>
    <w:p w14:paraId="552A0DA6" w14:textId="6356218C" w:rsidR="001F0768" w:rsidRPr="00EC3542" w:rsidRDefault="00A413B3" w:rsidP="00CC1190">
      <w:pPr>
        <w:autoSpaceDE w:val="0"/>
        <w:autoSpaceDN w:val="0"/>
        <w:adjustRightInd w:val="0"/>
        <w:snapToGrid w:val="0"/>
        <w:spacing w:line="240" w:lineRule="auto"/>
        <w:ind w:left="720" w:right="720"/>
        <w:jc w:val="both"/>
        <w:rPr>
          <w:rFonts w:eastAsia="Times New Roman" w:cs="Times New Roman"/>
          <w:szCs w:val="24"/>
        </w:rPr>
      </w:pPr>
      <w:r w:rsidRPr="00EC3542">
        <w:rPr>
          <w:rFonts w:eastAsia="Times New Roman" w:cs="Times New Roman"/>
          <w:szCs w:val="24"/>
        </w:rPr>
        <w:t>“</w:t>
      </w:r>
      <w:r w:rsidR="001F0768" w:rsidRPr="00EC3542">
        <w:rPr>
          <w:rFonts w:eastAsia="Times New Roman" w:cs="Times New Roman"/>
          <w:szCs w:val="24"/>
        </w:rPr>
        <w:t>[I]</w:t>
      </w:r>
      <w:r w:rsidR="001F0768" w:rsidRPr="00EC3542">
        <w:rPr>
          <w:rFonts w:eastAsia="Times New Roman" w:cs="Times New Roman"/>
          <w:szCs w:val="24"/>
          <w:lang w:val="x-none"/>
        </w:rPr>
        <w:t xml:space="preserve">n </w:t>
      </w:r>
      <w:r w:rsidR="001F0768" w:rsidRPr="00EC3542">
        <w:rPr>
          <w:rFonts w:eastAsia="Times New Roman" w:cs="Times New Roman"/>
          <w:i/>
          <w:szCs w:val="24"/>
          <w:lang w:val="x-none"/>
        </w:rPr>
        <w:t xml:space="preserve">Taylor </w:t>
      </w:r>
      <w:r w:rsidR="001F0768" w:rsidRPr="00EC3542">
        <w:rPr>
          <w:rFonts w:eastAsia="Times New Roman" w:cs="Times New Roman"/>
          <w:iCs/>
          <w:szCs w:val="24"/>
        </w:rPr>
        <w:t>[the complaining witness]</w:t>
      </w:r>
      <w:r w:rsidR="001F0768" w:rsidRPr="00EC3542">
        <w:rPr>
          <w:rFonts w:eastAsia="Times New Roman" w:cs="Times New Roman"/>
          <w:i/>
          <w:szCs w:val="24"/>
        </w:rPr>
        <w:t xml:space="preserve"> </w:t>
      </w:r>
      <w:r w:rsidR="001F0768" w:rsidRPr="00EC3542">
        <w:rPr>
          <w:rFonts w:eastAsia="Times New Roman" w:cs="Times New Roman"/>
          <w:szCs w:val="24"/>
          <w:lang w:val="x-none"/>
        </w:rPr>
        <w:t>had initially told the police that she could not identify her</w:t>
      </w:r>
      <w:r w:rsidR="001F0768" w:rsidRPr="00EC3542">
        <w:rPr>
          <w:rFonts w:eastAsia="Times New Roman" w:cs="Times New Roman"/>
          <w:szCs w:val="24"/>
        </w:rPr>
        <w:t xml:space="preserve"> </w:t>
      </w:r>
      <w:r w:rsidR="001F0768" w:rsidRPr="00EC3542">
        <w:rPr>
          <w:rFonts w:eastAsia="Times New Roman" w:cs="Times New Roman"/>
          <w:szCs w:val="24"/>
          <w:lang w:val="x-none"/>
        </w:rPr>
        <w:t>assailant</w:t>
      </w:r>
      <w:r w:rsidR="00F8315F" w:rsidRPr="00EC3542">
        <w:rPr>
          <w:rFonts w:eastAsia="Times New Roman" w:cs="Times New Roman"/>
          <w:szCs w:val="24"/>
          <w:lang w:val="x-none"/>
        </w:rPr>
        <w:t xml:space="preserve">. </w:t>
      </w:r>
      <w:r w:rsidR="001F0768" w:rsidRPr="00EC3542">
        <w:rPr>
          <w:rFonts w:eastAsia="Times New Roman" w:cs="Times New Roman"/>
          <w:szCs w:val="24"/>
          <w:lang w:val="x-none"/>
        </w:rPr>
        <w:t>Approximately two hours after she first told her mother that she had been raped and sodomized, she</w:t>
      </w:r>
      <w:r w:rsidR="001F0768" w:rsidRPr="00EC3542">
        <w:rPr>
          <w:rFonts w:eastAsia="Times New Roman" w:cs="Times New Roman"/>
          <w:szCs w:val="24"/>
        </w:rPr>
        <w:t xml:space="preserve"> </w:t>
      </w:r>
      <w:r w:rsidR="001F0768" w:rsidRPr="00EC3542">
        <w:rPr>
          <w:rFonts w:eastAsia="Times New Roman" w:cs="Times New Roman"/>
          <w:szCs w:val="24"/>
          <w:lang w:val="x-none"/>
        </w:rPr>
        <w:t>told her mother that she knew the defendant had done it. The complainant had known the defendant for years</w:t>
      </w:r>
      <w:r w:rsidR="001F0768" w:rsidRPr="00EC3542">
        <w:rPr>
          <w:rFonts w:eastAsia="Times New Roman" w:cs="Times New Roman"/>
          <w:szCs w:val="24"/>
        </w:rPr>
        <w:t xml:space="preserve"> </w:t>
      </w:r>
      <w:r w:rsidR="001F0768" w:rsidRPr="00EC3542">
        <w:rPr>
          <w:rFonts w:eastAsia="Times New Roman" w:cs="Times New Roman"/>
          <w:szCs w:val="24"/>
          <w:lang w:val="x-none"/>
        </w:rPr>
        <w:t xml:space="preserve">and had seen him the night before the assault. </w:t>
      </w:r>
      <w:r w:rsidR="001F0768" w:rsidRPr="00EC3542">
        <w:rPr>
          <w:rFonts w:eastAsia="Times New Roman" w:cs="Times New Roman"/>
          <w:szCs w:val="24"/>
        </w:rPr>
        <w:t>. . .</w:t>
      </w:r>
      <w:r w:rsidR="001F0768" w:rsidRPr="00EC3542">
        <w:rPr>
          <w:rFonts w:eastAsia="Times New Roman" w:cs="Times New Roman"/>
          <w:szCs w:val="24"/>
          <w:lang w:val="x-none"/>
        </w:rPr>
        <w:t xml:space="preserve"> </w:t>
      </w:r>
      <w:r w:rsidR="001F0768" w:rsidRPr="00EC3542">
        <w:rPr>
          <w:rFonts w:eastAsia="Times New Roman" w:cs="Times New Roman"/>
          <w:szCs w:val="24"/>
        </w:rPr>
        <w:t>[E]</w:t>
      </w:r>
      <w:r w:rsidR="001F0768" w:rsidRPr="00EC3542">
        <w:rPr>
          <w:rFonts w:eastAsia="Times New Roman" w:cs="Times New Roman"/>
          <w:szCs w:val="24"/>
          <w:lang w:val="x-none"/>
        </w:rPr>
        <w:t>xpert</w:t>
      </w:r>
      <w:r w:rsidR="001F0768" w:rsidRPr="00EC3542">
        <w:rPr>
          <w:rFonts w:eastAsia="Times New Roman" w:cs="Times New Roman"/>
          <w:szCs w:val="24"/>
        </w:rPr>
        <w:t xml:space="preserve"> </w:t>
      </w:r>
      <w:r w:rsidR="001F0768" w:rsidRPr="00EC3542">
        <w:rPr>
          <w:rFonts w:eastAsia="Times New Roman" w:cs="Times New Roman"/>
          <w:szCs w:val="24"/>
          <w:lang w:val="x-none"/>
        </w:rPr>
        <w:t>testimony explaining that a rape victim who knows her assailant is more fearful of disclosing his name to the</w:t>
      </w:r>
      <w:r w:rsidR="001F0768" w:rsidRPr="00EC3542">
        <w:rPr>
          <w:rFonts w:eastAsia="Times New Roman" w:cs="Times New Roman"/>
          <w:szCs w:val="24"/>
        </w:rPr>
        <w:t xml:space="preserve"> </w:t>
      </w:r>
      <w:r w:rsidR="001F0768" w:rsidRPr="00EC3542">
        <w:rPr>
          <w:rFonts w:eastAsia="Times New Roman" w:cs="Times New Roman"/>
          <w:szCs w:val="24"/>
          <w:lang w:val="x-none"/>
        </w:rPr>
        <w:t>police and is in fact less likely to report the rape at all was relevant to explain why the complainant may have been</w:t>
      </w:r>
      <w:r w:rsidR="001F0768" w:rsidRPr="00EC3542">
        <w:rPr>
          <w:rFonts w:eastAsia="Times New Roman" w:cs="Times New Roman"/>
          <w:szCs w:val="24"/>
        </w:rPr>
        <w:t xml:space="preserve"> </w:t>
      </w:r>
      <w:r w:rsidR="001F0768" w:rsidRPr="00EC3542">
        <w:rPr>
          <w:rFonts w:eastAsia="Times New Roman" w:cs="Times New Roman"/>
          <w:szCs w:val="24"/>
          <w:lang w:val="x-none"/>
        </w:rPr>
        <w:t>initially unwilling to report that the defendant had been the man who attacked her</w:t>
      </w:r>
      <w:r w:rsidR="00F8315F" w:rsidRPr="00EC3542">
        <w:rPr>
          <w:rFonts w:eastAsia="Times New Roman" w:cs="Times New Roman"/>
          <w:szCs w:val="24"/>
          <w:lang w:val="x-none"/>
        </w:rPr>
        <w:t xml:space="preserve">. </w:t>
      </w:r>
      <w:r w:rsidR="001F0768" w:rsidRPr="00EC3542">
        <w:rPr>
          <w:rFonts w:eastAsia="Times New Roman" w:cs="Times New Roman"/>
          <w:szCs w:val="24"/>
          <w:lang w:val="x-none"/>
        </w:rPr>
        <w:t>Behavior of this type is not</w:t>
      </w:r>
      <w:r w:rsidR="001F0768" w:rsidRPr="00EC3542">
        <w:rPr>
          <w:rFonts w:eastAsia="Times New Roman" w:cs="Times New Roman"/>
          <w:szCs w:val="24"/>
        </w:rPr>
        <w:t xml:space="preserve"> </w:t>
      </w:r>
      <w:r w:rsidR="001F0768" w:rsidRPr="00EC3542">
        <w:rPr>
          <w:rFonts w:eastAsia="Times New Roman" w:cs="Times New Roman"/>
          <w:szCs w:val="24"/>
          <w:lang w:val="x-none"/>
        </w:rPr>
        <w:t>within the ordinary understanding of the jury and testimony explaining this behavior assists the jury in determining</w:t>
      </w:r>
      <w:r w:rsidR="001F0768" w:rsidRPr="00EC3542">
        <w:rPr>
          <w:rFonts w:eastAsia="Times New Roman" w:cs="Times New Roman"/>
          <w:szCs w:val="24"/>
        </w:rPr>
        <w:t xml:space="preserve"> </w:t>
      </w:r>
      <w:r w:rsidR="001F0768" w:rsidRPr="00EC3542">
        <w:rPr>
          <w:rFonts w:eastAsia="Times New Roman" w:cs="Times New Roman"/>
          <w:szCs w:val="24"/>
          <w:lang w:val="x-none"/>
        </w:rPr>
        <w:t>what effect to give to the complainant</w:t>
      </w:r>
      <w:r w:rsidR="00594533" w:rsidRPr="00EC3542">
        <w:rPr>
          <w:rFonts w:eastAsia="Times New Roman" w:cs="Times New Roman"/>
          <w:szCs w:val="24"/>
        </w:rPr>
        <w:t>’</w:t>
      </w:r>
      <w:r w:rsidR="001F0768" w:rsidRPr="00EC3542">
        <w:rPr>
          <w:rFonts w:eastAsia="Times New Roman" w:cs="Times New Roman"/>
          <w:szCs w:val="24"/>
          <w:lang w:val="x-none"/>
        </w:rPr>
        <w:t>s initial failure to identify the defendant</w:t>
      </w:r>
      <w:r w:rsidR="00BE74FF" w:rsidRPr="00EC3542">
        <w:rPr>
          <w:rFonts w:eastAsia="Times New Roman" w:cs="Times New Roman"/>
          <w:szCs w:val="24"/>
        </w:rPr>
        <w:t xml:space="preserve">. </w:t>
      </w:r>
      <w:r w:rsidR="001F0768" w:rsidRPr="00EC3542">
        <w:rPr>
          <w:rFonts w:eastAsia="Times New Roman" w:cs="Times New Roman"/>
          <w:szCs w:val="24"/>
          <w:lang w:val="x-none"/>
        </w:rPr>
        <w:t>This</w:t>
      </w:r>
      <w:r w:rsidR="001F0768" w:rsidRPr="00EC3542">
        <w:rPr>
          <w:rFonts w:eastAsia="Times New Roman" w:cs="Times New Roman"/>
          <w:szCs w:val="24"/>
        </w:rPr>
        <w:t xml:space="preserve"> </w:t>
      </w:r>
      <w:r w:rsidR="001F0768" w:rsidRPr="00EC3542">
        <w:rPr>
          <w:rFonts w:eastAsia="Times New Roman" w:cs="Times New Roman"/>
          <w:szCs w:val="24"/>
          <w:lang w:val="x-none"/>
        </w:rPr>
        <w:t>evidence provides a possible explanation for the complainant</w:t>
      </w:r>
      <w:r w:rsidR="00CC677A" w:rsidRPr="00EC3542">
        <w:rPr>
          <w:rFonts w:eastAsia="Times New Roman" w:cs="Times New Roman"/>
          <w:szCs w:val="24"/>
        </w:rPr>
        <w:t>’</w:t>
      </w:r>
      <w:r w:rsidR="001F0768" w:rsidRPr="00EC3542">
        <w:rPr>
          <w:rFonts w:eastAsia="Times New Roman" w:cs="Times New Roman"/>
          <w:szCs w:val="24"/>
          <w:lang w:val="x-none"/>
        </w:rPr>
        <w:t>s behavior that is consistent with her claim</w:t>
      </w:r>
      <w:r w:rsidR="001F0768" w:rsidRPr="00EC3542">
        <w:rPr>
          <w:rFonts w:eastAsia="Times New Roman" w:cs="Times New Roman"/>
          <w:szCs w:val="24"/>
        </w:rPr>
        <w:t xml:space="preserve"> </w:t>
      </w:r>
      <w:r w:rsidR="001F0768" w:rsidRPr="00EC3542">
        <w:rPr>
          <w:rFonts w:eastAsia="Times New Roman" w:cs="Times New Roman"/>
          <w:szCs w:val="24"/>
          <w:lang w:val="x-none"/>
        </w:rPr>
        <w:t>that she was raped. As such, it is relevant.</w:t>
      </w:r>
      <w:r w:rsidR="001F0768" w:rsidRPr="00EC3542">
        <w:rPr>
          <w:rFonts w:eastAsia="Times New Roman" w:cs="Times New Roman"/>
          <w:szCs w:val="24"/>
        </w:rPr>
        <w:t xml:space="preserve"> </w:t>
      </w:r>
    </w:p>
    <w:p w14:paraId="0911A2D1" w14:textId="77777777" w:rsidR="00512978" w:rsidRPr="00EC3542" w:rsidRDefault="00512978" w:rsidP="00CC1190">
      <w:pPr>
        <w:autoSpaceDE w:val="0"/>
        <w:autoSpaceDN w:val="0"/>
        <w:adjustRightInd w:val="0"/>
        <w:snapToGrid w:val="0"/>
        <w:spacing w:line="240" w:lineRule="auto"/>
        <w:ind w:left="720" w:right="720"/>
        <w:jc w:val="both"/>
        <w:rPr>
          <w:rFonts w:eastAsia="Times New Roman" w:cs="Times New Roman"/>
          <w:szCs w:val="24"/>
        </w:rPr>
      </w:pPr>
    </w:p>
    <w:p w14:paraId="2E731EF1" w14:textId="7A51D0B9" w:rsidR="001F0768" w:rsidRPr="00EC3542" w:rsidRDefault="001F0768" w:rsidP="00CC1190">
      <w:pPr>
        <w:autoSpaceDE w:val="0"/>
        <w:autoSpaceDN w:val="0"/>
        <w:adjustRightInd w:val="0"/>
        <w:snapToGrid w:val="0"/>
        <w:spacing w:line="240" w:lineRule="auto"/>
        <w:ind w:left="720" w:right="720"/>
        <w:jc w:val="both"/>
        <w:rPr>
          <w:rFonts w:eastAsia="Times New Roman" w:cs="Times New Roman"/>
          <w:szCs w:val="24"/>
        </w:rPr>
      </w:pPr>
      <w:r w:rsidRPr="00EC3542">
        <w:rPr>
          <w:rFonts w:eastAsia="Times New Roman" w:cs="Times New Roman"/>
          <w:szCs w:val="24"/>
        </w:rPr>
        <w:t>“</w:t>
      </w:r>
      <w:r w:rsidRPr="00EC3542">
        <w:rPr>
          <w:rFonts w:eastAsia="Times New Roman" w:cs="Times New Roman"/>
          <w:szCs w:val="24"/>
          <w:lang w:val="x-none"/>
        </w:rPr>
        <w:t xml:space="preserve">Rape trauma syndrome evidence was also introduced in </w:t>
      </w:r>
      <w:r w:rsidRPr="00EC3542">
        <w:rPr>
          <w:rFonts w:eastAsia="Times New Roman" w:cs="Times New Roman"/>
          <w:i/>
          <w:szCs w:val="24"/>
          <w:lang w:val="x-none"/>
        </w:rPr>
        <w:t xml:space="preserve">Taylor </w:t>
      </w:r>
      <w:r w:rsidRPr="00EC3542">
        <w:rPr>
          <w:rFonts w:eastAsia="Times New Roman" w:cs="Times New Roman"/>
          <w:szCs w:val="24"/>
          <w:lang w:val="x-none"/>
        </w:rPr>
        <w:t>in response to evidence that revealed the</w:t>
      </w:r>
      <w:r w:rsidRPr="00EC3542">
        <w:rPr>
          <w:rFonts w:eastAsia="Times New Roman" w:cs="Times New Roman"/>
          <w:szCs w:val="24"/>
        </w:rPr>
        <w:t xml:space="preserve"> </w:t>
      </w:r>
      <w:r w:rsidRPr="00EC3542">
        <w:rPr>
          <w:rFonts w:eastAsia="Times New Roman" w:cs="Times New Roman"/>
          <w:szCs w:val="24"/>
          <w:lang w:val="x-none"/>
        </w:rPr>
        <w:t>complainant had not seemed upset following the attack</w:t>
      </w:r>
      <w:r w:rsidR="00F8315F" w:rsidRPr="00EC3542">
        <w:rPr>
          <w:rFonts w:eastAsia="Times New Roman" w:cs="Times New Roman"/>
          <w:szCs w:val="24"/>
          <w:lang w:val="x-none"/>
        </w:rPr>
        <w:t xml:space="preserve">. </w:t>
      </w:r>
      <w:r w:rsidRPr="00EC3542">
        <w:rPr>
          <w:rFonts w:eastAsia="Times New Roman" w:cs="Times New Roman"/>
          <w:szCs w:val="24"/>
          <w:lang w:val="x-none"/>
        </w:rPr>
        <w:t>We note again in this context that the reaction of a rape</w:t>
      </w:r>
      <w:r w:rsidRPr="00EC3542">
        <w:rPr>
          <w:rFonts w:eastAsia="Times New Roman" w:cs="Times New Roman"/>
          <w:szCs w:val="24"/>
        </w:rPr>
        <w:t xml:space="preserve"> </w:t>
      </w:r>
      <w:r w:rsidRPr="00EC3542">
        <w:rPr>
          <w:rFonts w:eastAsia="Times New Roman" w:cs="Times New Roman"/>
          <w:szCs w:val="24"/>
          <w:lang w:val="x-none"/>
        </w:rPr>
        <w:t>victim in the hours following her attack is not something within the common understanding of the average lay</w:t>
      </w:r>
      <w:r w:rsidRPr="00EC3542">
        <w:rPr>
          <w:rFonts w:eastAsia="Times New Roman" w:cs="Times New Roman"/>
          <w:szCs w:val="24"/>
        </w:rPr>
        <w:t xml:space="preserve"> </w:t>
      </w:r>
      <w:r w:rsidRPr="00EC3542">
        <w:rPr>
          <w:rFonts w:eastAsia="Times New Roman" w:cs="Times New Roman"/>
          <w:szCs w:val="24"/>
          <w:lang w:val="x-none"/>
        </w:rPr>
        <w:t>juror. Indeed, the defense would clearly want the jury to infer that because the victim was not upset following</w:t>
      </w:r>
      <w:r w:rsidRPr="00EC3542">
        <w:rPr>
          <w:rFonts w:eastAsia="Times New Roman" w:cs="Times New Roman"/>
          <w:szCs w:val="24"/>
        </w:rPr>
        <w:t xml:space="preserve"> </w:t>
      </w:r>
      <w:r w:rsidRPr="00EC3542">
        <w:rPr>
          <w:rFonts w:eastAsia="Times New Roman" w:cs="Times New Roman"/>
          <w:szCs w:val="24"/>
          <w:lang w:val="x-none"/>
        </w:rPr>
        <w:t xml:space="preserve">the attack, she must not </w:t>
      </w:r>
      <w:r w:rsidRPr="00EC3542">
        <w:rPr>
          <w:rFonts w:eastAsia="Times New Roman" w:cs="Times New Roman"/>
          <w:szCs w:val="24"/>
          <w:lang w:val="x-none"/>
        </w:rPr>
        <w:lastRenderedPageBreak/>
        <w:t xml:space="preserve">have been raped. This inference runs contrary to the studies </w:t>
      </w:r>
      <w:r w:rsidRPr="00EC3542">
        <w:rPr>
          <w:rFonts w:eastAsia="Times New Roman" w:cs="Times New Roman"/>
          <w:szCs w:val="24"/>
        </w:rPr>
        <w:t xml:space="preserve">. . . </w:t>
      </w:r>
      <w:r w:rsidRPr="00EC3542">
        <w:rPr>
          <w:rFonts w:eastAsia="Times New Roman" w:cs="Times New Roman"/>
          <w:szCs w:val="24"/>
          <w:lang w:val="x-none"/>
        </w:rPr>
        <w:t>which suggest</w:t>
      </w:r>
      <w:r w:rsidRPr="00EC3542">
        <w:rPr>
          <w:rFonts w:eastAsia="Times New Roman" w:cs="Times New Roman"/>
          <w:szCs w:val="24"/>
        </w:rPr>
        <w:t xml:space="preserve"> </w:t>
      </w:r>
      <w:r w:rsidRPr="00EC3542">
        <w:rPr>
          <w:rFonts w:eastAsia="Times New Roman" w:cs="Times New Roman"/>
          <w:szCs w:val="24"/>
          <w:lang w:val="x-none"/>
        </w:rPr>
        <w:t>that half of all women who have been forcibly raped are controlled and subdued following the attack</w:t>
      </w:r>
      <w:r w:rsidRPr="00EC3542">
        <w:rPr>
          <w:rFonts w:eastAsia="Times New Roman" w:cs="Times New Roman"/>
          <w:szCs w:val="24"/>
        </w:rPr>
        <w:t>.</w:t>
      </w:r>
      <w:r w:rsidR="00BE74FF" w:rsidRPr="00EC3542">
        <w:rPr>
          <w:rFonts w:eastAsia="Times New Roman" w:cs="Times New Roman"/>
          <w:szCs w:val="24"/>
        </w:rPr>
        <w:t xml:space="preserve"> </w:t>
      </w:r>
      <w:r w:rsidRPr="00EC3542">
        <w:rPr>
          <w:rFonts w:eastAsia="Times New Roman" w:cs="Times New Roman"/>
          <w:szCs w:val="24"/>
          <w:lang w:val="x-none"/>
        </w:rPr>
        <w:t>Thus, we conclude that evidence of this type is relevant to dispel misconceptions that</w:t>
      </w:r>
      <w:r w:rsidRPr="00EC3542">
        <w:rPr>
          <w:rFonts w:eastAsia="Times New Roman" w:cs="Times New Roman"/>
          <w:szCs w:val="24"/>
        </w:rPr>
        <w:t xml:space="preserve"> </w:t>
      </w:r>
      <w:r w:rsidRPr="00EC3542">
        <w:rPr>
          <w:rFonts w:eastAsia="Times New Roman" w:cs="Times New Roman"/>
          <w:szCs w:val="24"/>
          <w:lang w:val="x-none"/>
        </w:rPr>
        <w:t>jurors might possess regarding the ordinary responses of rape victims in the first hours after their attack</w:t>
      </w:r>
      <w:r w:rsidRPr="00EC3542">
        <w:rPr>
          <w:rFonts w:eastAsia="Times New Roman" w:cs="Times New Roman"/>
          <w:szCs w:val="24"/>
        </w:rPr>
        <w:t>”</w:t>
      </w:r>
      <w:r w:rsidR="00BE74FF" w:rsidRPr="00EC3542">
        <w:rPr>
          <w:rFonts w:eastAsia="Times New Roman" w:cs="Times New Roman"/>
          <w:szCs w:val="24"/>
        </w:rPr>
        <w:t xml:space="preserve"> (</w:t>
      </w:r>
      <w:r w:rsidRPr="00EC3542">
        <w:rPr>
          <w:rFonts w:eastAsia="Times New Roman" w:cs="Times New Roman"/>
          <w:i/>
          <w:iCs/>
          <w:szCs w:val="24"/>
        </w:rPr>
        <w:t xml:space="preserve">Taylor </w:t>
      </w:r>
      <w:r w:rsidRPr="00EC3542">
        <w:rPr>
          <w:rFonts w:eastAsia="Times New Roman" w:cs="Times New Roman"/>
          <w:szCs w:val="24"/>
        </w:rPr>
        <w:t>at 292-</w:t>
      </w:r>
      <w:r w:rsidR="00BE74FF" w:rsidRPr="00EC3542">
        <w:rPr>
          <w:rFonts w:eastAsia="Times New Roman" w:cs="Times New Roman"/>
          <w:szCs w:val="24"/>
        </w:rPr>
        <w:t>2</w:t>
      </w:r>
      <w:r w:rsidRPr="00EC3542">
        <w:rPr>
          <w:rFonts w:eastAsia="Times New Roman" w:cs="Times New Roman"/>
          <w:szCs w:val="24"/>
        </w:rPr>
        <w:t>93</w:t>
      </w:r>
      <w:r w:rsidR="00BE74FF" w:rsidRPr="00EC3542">
        <w:rPr>
          <w:rFonts w:eastAsia="Times New Roman" w:cs="Times New Roman"/>
          <w:szCs w:val="24"/>
        </w:rPr>
        <w:t xml:space="preserve"> [citations omitted])</w:t>
      </w:r>
      <w:r w:rsidRPr="00EC3542">
        <w:rPr>
          <w:rFonts w:eastAsia="Times New Roman" w:cs="Times New Roman"/>
          <w:szCs w:val="24"/>
        </w:rPr>
        <w:t>.</w:t>
      </w:r>
    </w:p>
    <w:p w14:paraId="4581FFD5" w14:textId="77777777" w:rsidR="00512978" w:rsidRPr="00EC3542" w:rsidRDefault="00512978" w:rsidP="00CC1190">
      <w:pPr>
        <w:autoSpaceDE w:val="0"/>
        <w:autoSpaceDN w:val="0"/>
        <w:adjustRightInd w:val="0"/>
        <w:snapToGrid w:val="0"/>
        <w:spacing w:line="240" w:lineRule="auto"/>
        <w:ind w:left="0" w:right="576"/>
        <w:jc w:val="both"/>
        <w:rPr>
          <w:rFonts w:eastAsia="Times New Roman" w:cs="Times New Roman"/>
          <w:szCs w:val="24"/>
        </w:rPr>
      </w:pPr>
    </w:p>
    <w:p w14:paraId="1176D18E" w14:textId="24120EFE" w:rsidR="001F0768" w:rsidRPr="00EC3542" w:rsidRDefault="00512978" w:rsidP="00CC1190">
      <w:pPr>
        <w:tabs>
          <w:tab w:val="left" w:pos="720"/>
        </w:tabs>
        <w:autoSpaceDE w:val="0"/>
        <w:autoSpaceDN w:val="0"/>
        <w:adjustRightInd w:val="0"/>
        <w:snapToGrid w:val="0"/>
        <w:spacing w:line="240" w:lineRule="auto"/>
        <w:ind w:left="0" w:right="0"/>
        <w:jc w:val="both"/>
        <w:rPr>
          <w:rFonts w:eastAsia="Times New Roman" w:cs="Times New Roman"/>
          <w:szCs w:val="24"/>
        </w:rPr>
      </w:pPr>
      <w:r w:rsidRPr="00EC3542">
        <w:rPr>
          <w:rFonts w:eastAsia="Times New Roman" w:cs="Times New Roman"/>
          <w:b/>
          <w:bCs/>
          <w:szCs w:val="24"/>
        </w:rPr>
        <w:tab/>
      </w:r>
      <w:r w:rsidR="001F0768" w:rsidRPr="00EC3542">
        <w:rPr>
          <w:rFonts w:eastAsia="Times New Roman" w:cs="Times New Roman"/>
          <w:b/>
          <w:bCs/>
          <w:szCs w:val="24"/>
        </w:rPr>
        <w:t>Subdivision (2)</w:t>
      </w:r>
      <w:r w:rsidR="00BE74FF" w:rsidRPr="00EC3542">
        <w:rPr>
          <w:rFonts w:eastAsia="Times New Roman" w:cs="Times New Roman"/>
          <w:b/>
          <w:bCs/>
          <w:szCs w:val="24"/>
        </w:rPr>
        <w:t xml:space="preserve"> </w:t>
      </w:r>
      <w:r w:rsidR="001F0768" w:rsidRPr="00EC3542">
        <w:rPr>
          <w:rFonts w:eastAsia="Times New Roman" w:cs="Times New Roman"/>
          <w:b/>
          <w:bCs/>
          <w:szCs w:val="24"/>
        </w:rPr>
        <w:t>(c)</w:t>
      </w:r>
      <w:r w:rsidR="001F0768" w:rsidRPr="00EC3542">
        <w:rPr>
          <w:rFonts w:eastAsia="Times New Roman" w:cs="Times New Roman"/>
          <w:szCs w:val="24"/>
        </w:rPr>
        <w:t xml:space="preserve"> recites the holding in </w:t>
      </w:r>
      <w:bookmarkStart w:id="1" w:name="_Hlk64896550"/>
      <w:r w:rsidR="001F0768" w:rsidRPr="00EC3542">
        <w:rPr>
          <w:rFonts w:eastAsia="Times New Roman" w:cs="Times New Roman"/>
          <w:i/>
          <w:iCs/>
          <w:szCs w:val="24"/>
        </w:rPr>
        <w:t>People v Maymi</w:t>
      </w:r>
      <w:r w:rsidR="00BE74FF" w:rsidRPr="00EC3542">
        <w:rPr>
          <w:rFonts w:eastAsia="Times New Roman" w:cs="Times New Roman"/>
          <w:i/>
          <w:iCs/>
          <w:szCs w:val="24"/>
        </w:rPr>
        <w:t xml:space="preserve"> </w:t>
      </w:r>
      <w:r w:rsidR="00BE74FF" w:rsidRPr="00EC3542">
        <w:rPr>
          <w:rFonts w:eastAsia="Times New Roman" w:cs="Times New Roman"/>
          <w:szCs w:val="24"/>
        </w:rPr>
        <w:t>(</w:t>
      </w:r>
      <w:r w:rsidR="001F0768" w:rsidRPr="00EC3542">
        <w:rPr>
          <w:rFonts w:eastAsia="Times New Roman" w:cs="Times New Roman"/>
          <w:szCs w:val="24"/>
        </w:rPr>
        <w:t>198 AD2d 153 [1st Dept 1993]</w:t>
      </w:r>
      <w:r w:rsidR="00BE74FF" w:rsidRPr="00EC3542">
        <w:rPr>
          <w:rFonts w:eastAsia="Times New Roman" w:cs="Times New Roman"/>
          <w:szCs w:val="24"/>
        </w:rPr>
        <w:t>)</w:t>
      </w:r>
      <w:r w:rsidR="001F0768" w:rsidRPr="00EC3542">
        <w:rPr>
          <w:rFonts w:eastAsia="Times New Roman" w:cs="Times New Roman"/>
          <w:szCs w:val="24"/>
        </w:rPr>
        <w:t>.</w:t>
      </w:r>
    </w:p>
    <w:p w14:paraId="0C2D0B52" w14:textId="77777777" w:rsidR="00512978" w:rsidRPr="00EC3542" w:rsidRDefault="00512978" w:rsidP="00CC1190">
      <w:pPr>
        <w:autoSpaceDE w:val="0"/>
        <w:autoSpaceDN w:val="0"/>
        <w:adjustRightInd w:val="0"/>
        <w:snapToGrid w:val="0"/>
        <w:spacing w:line="240" w:lineRule="auto"/>
        <w:ind w:left="0" w:right="0"/>
        <w:jc w:val="both"/>
        <w:rPr>
          <w:rFonts w:eastAsia="Times New Roman" w:cs="Times New Roman"/>
          <w:szCs w:val="24"/>
        </w:rPr>
      </w:pPr>
    </w:p>
    <w:bookmarkEnd w:id="1"/>
    <w:p w14:paraId="1651EB70" w14:textId="2FC13362" w:rsidR="001F0768" w:rsidRPr="00EC3542" w:rsidRDefault="00512978" w:rsidP="00CC1190">
      <w:pPr>
        <w:tabs>
          <w:tab w:val="left" w:pos="720"/>
        </w:tabs>
        <w:autoSpaceDE w:val="0"/>
        <w:autoSpaceDN w:val="0"/>
        <w:adjustRightInd w:val="0"/>
        <w:snapToGrid w:val="0"/>
        <w:spacing w:line="240" w:lineRule="auto"/>
        <w:ind w:left="0" w:right="0"/>
        <w:jc w:val="both"/>
        <w:rPr>
          <w:rFonts w:eastAsia="Times New Roman" w:cs="Times New Roman"/>
          <w:szCs w:val="24"/>
        </w:rPr>
      </w:pPr>
      <w:r w:rsidRPr="00EC3542">
        <w:rPr>
          <w:rFonts w:eastAsia="Times New Roman" w:cs="Times New Roman"/>
          <w:b/>
          <w:bCs/>
          <w:szCs w:val="24"/>
        </w:rPr>
        <w:tab/>
      </w:r>
      <w:r w:rsidR="001F0768" w:rsidRPr="00EC3542">
        <w:rPr>
          <w:rFonts w:eastAsia="Times New Roman" w:cs="Times New Roman"/>
          <w:b/>
          <w:bCs/>
          <w:szCs w:val="24"/>
        </w:rPr>
        <w:t xml:space="preserve">Subdivision (3) </w:t>
      </w:r>
      <w:r w:rsidR="001F0768" w:rsidRPr="00EC3542">
        <w:rPr>
          <w:rFonts w:eastAsia="Times New Roman" w:cs="Times New Roman"/>
          <w:szCs w:val="24"/>
        </w:rPr>
        <w:t xml:space="preserve">is a dictate of </w:t>
      </w:r>
      <w:r w:rsidR="001F0768" w:rsidRPr="00EC3542">
        <w:rPr>
          <w:rFonts w:eastAsia="Times New Roman" w:cs="Times New Roman"/>
          <w:i/>
          <w:iCs/>
          <w:szCs w:val="24"/>
        </w:rPr>
        <w:t>Taylor</w:t>
      </w:r>
      <w:r w:rsidR="00356112" w:rsidRPr="00EC3542">
        <w:rPr>
          <w:rFonts w:eastAsia="Times New Roman" w:cs="Times New Roman"/>
          <w:iCs/>
          <w:szCs w:val="24"/>
        </w:rPr>
        <w:t>’</w:t>
      </w:r>
      <w:r w:rsidR="001F0768" w:rsidRPr="00EC3542">
        <w:rPr>
          <w:rFonts w:eastAsia="Times New Roman" w:cs="Times New Roman"/>
          <w:iCs/>
          <w:szCs w:val="24"/>
        </w:rPr>
        <w:t>s</w:t>
      </w:r>
      <w:r w:rsidR="001F0768" w:rsidRPr="00EC3542">
        <w:rPr>
          <w:rFonts w:eastAsia="Times New Roman" w:cs="Times New Roman"/>
          <w:szCs w:val="24"/>
        </w:rPr>
        <w:t xml:space="preserve"> companion case, </w:t>
      </w:r>
      <w:r w:rsidR="00DA7CC0" w:rsidRPr="00EC3542">
        <w:rPr>
          <w:rFonts w:eastAsia="Times New Roman" w:cs="Times New Roman"/>
          <w:i/>
          <w:iCs/>
          <w:szCs w:val="24"/>
        </w:rPr>
        <w:t>People v</w:t>
      </w:r>
      <w:r w:rsidR="00DA7CC0" w:rsidRPr="00EC3542">
        <w:rPr>
          <w:rFonts w:eastAsia="Times New Roman" w:cs="Times New Roman"/>
          <w:szCs w:val="24"/>
        </w:rPr>
        <w:t xml:space="preserve"> </w:t>
      </w:r>
      <w:r w:rsidR="001F0768" w:rsidRPr="00EC3542">
        <w:rPr>
          <w:rFonts w:eastAsia="Times New Roman" w:cs="Times New Roman"/>
          <w:i/>
          <w:iCs/>
          <w:szCs w:val="24"/>
        </w:rPr>
        <w:t>Banks</w:t>
      </w:r>
      <w:r w:rsidR="001F0768" w:rsidRPr="00EC3542">
        <w:rPr>
          <w:rFonts w:eastAsia="Times New Roman" w:cs="Times New Roman"/>
          <w:szCs w:val="24"/>
        </w:rPr>
        <w:t xml:space="preserve"> </w:t>
      </w:r>
      <w:r w:rsidR="009E7ECB" w:rsidRPr="00EC3542">
        <w:rPr>
          <w:rFonts w:eastAsia="Times New Roman" w:cs="Times New Roman"/>
          <w:szCs w:val="24"/>
        </w:rPr>
        <w:t xml:space="preserve">(75 NY2d </w:t>
      </w:r>
      <w:r w:rsidR="001F0768" w:rsidRPr="00EC3542">
        <w:rPr>
          <w:rFonts w:eastAsia="Times New Roman" w:cs="Times New Roman"/>
          <w:szCs w:val="24"/>
        </w:rPr>
        <w:t>at 293 [“</w:t>
      </w:r>
      <w:r w:rsidR="001F0768" w:rsidRPr="00EC3542">
        <w:rPr>
          <w:rFonts w:eastAsia="Times New Roman" w:cs="Times New Roman"/>
          <w:szCs w:val="24"/>
          <w:lang w:val="x-none"/>
        </w:rPr>
        <w:t>evidence of rape</w:t>
      </w:r>
      <w:r w:rsidR="001F0768" w:rsidRPr="00EC3542">
        <w:rPr>
          <w:rFonts w:eastAsia="Times New Roman" w:cs="Times New Roman"/>
          <w:szCs w:val="24"/>
        </w:rPr>
        <w:t xml:space="preserve"> </w:t>
      </w:r>
      <w:r w:rsidR="001F0768" w:rsidRPr="00EC3542">
        <w:rPr>
          <w:rFonts w:eastAsia="Times New Roman" w:cs="Times New Roman"/>
          <w:szCs w:val="24"/>
          <w:lang w:val="x-none"/>
        </w:rPr>
        <w:t>trauma syndrome is inadmissible when it inescapably bears solely on proving that a rape occurred</w:t>
      </w:r>
      <w:r w:rsidR="001F0768" w:rsidRPr="00EC3542">
        <w:rPr>
          <w:rFonts w:eastAsia="Times New Roman" w:cs="Times New Roman"/>
          <w:szCs w:val="24"/>
        </w:rPr>
        <w:t xml:space="preserve">”]; </w:t>
      </w:r>
      <w:r w:rsidR="001F0768" w:rsidRPr="00EC3542">
        <w:rPr>
          <w:rFonts w:eastAsia="Times New Roman" w:cs="Times New Roman"/>
          <w:i/>
          <w:iCs/>
          <w:szCs w:val="24"/>
        </w:rPr>
        <w:t>People v Bennett</w:t>
      </w:r>
      <w:r w:rsidR="001F0768" w:rsidRPr="00EC3542">
        <w:rPr>
          <w:rFonts w:eastAsia="Times New Roman" w:cs="Times New Roman"/>
          <w:szCs w:val="24"/>
        </w:rPr>
        <w:t>, 79 NY2d 464, 473 [1992] [“expert opinion is inadmissible when introduced merely to prove that a sexual assault took place or bolster a witness</w:t>
      </w:r>
      <w:r w:rsidR="00EB414C" w:rsidRPr="00EC3542">
        <w:rPr>
          <w:rFonts w:eastAsia="Times New Roman" w:cs="Times New Roman"/>
          <w:szCs w:val="24"/>
        </w:rPr>
        <w:t>’</w:t>
      </w:r>
      <w:r w:rsidR="001F0768" w:rsidRPr="00EC3542">
        <w:rPr>
          <w:rFonts w:eastAsia="Times New Roman" w:cs="Times New Roman"/>
          <w:szCs w:val="24"/>
        </w:rPr>
        <w:t xml:space="preserve"> credibility”</w:t>
      </w:r>
      <w:r w:rsidR="009E7ECB" w:rsidRPr="00EC3542">
        <w:rPr>
          <w:rFonts w:eastAsia="Times New Roman" w:cs="Times New Roman"/>
          <w:szCs w:val="24"/>
        </w:rPr>
        <w:t xml:space="preserve"> (citation omitted)</w:t>
      </w:r>
      <w:r w:rsidR="001F0768" w:rsidRPr="00EC3542">
        <w:rPr>
          <w:rFonts w:eastAsia="Times New Roman" w:cs="Times New Roman"/>
          <w:szCs w:val="24"/>
        </w:rPr>
        <w:t xml:space="preserve">]; </w:t>
      </w:r>
      <w:r w:rsidR="001F0768" w:rsidRPr="00EC3542">
        <w:rPr>
          <w:rFonts w:eastAsia="Times New Roman" w:cs="Times New Roman"/>
          <w:i/>
          <w:iCs/>
          <w:szCs w:val="24"/>
        </w:rPr>
        <w:t>Maymi</w:t>
      </w:r>
      <w:r w:rsidR="001F0768" w:rsidRPr="00EC3542">
        <w:rPr>
          <w:rFonts w:eastAsia="Times New Roman" w:cs="Times New Roman"/>
          <w:szCs w:val="24"/>
        </w:rPr>
        <w:t xml:space="preserve">, 198 AD2d </w:t>
      </w:r>
      <w:r w:rsidR="009E7ECB" w:rsidRPr="00EC3542">
        <w:rPr>
          <w:rFonts w:eastAsia="Times New Roman" w:cs="Times New Roman"/>
          <w:szCs w:val="24"/>
        </w:rPr>
        <w:t xml:space="preserve">at </w:t>
      </w:r>
      <w:r w:rsidR="001F0768" w:rsidRPr="00EC3542">
        <w:rPr>
          <w:rFonts w:eastAsia="Times New Roman" w:cs="Times New Roman"/>
          <w:szCs w:val="24"/>
        </w:rPr>
        <w:t>153 [in finding that the rape trauma syndrome evidence specified in subdivision (3) was admissible for an appropriate purpose, the Court rejected the idea that the evidence was admitted “for purposes of bolstering the victim</w:t>
      </w:r>
      <w:r w:rsidR="00DE1E2B" w:rsidRPr="00EC3542">
        <w:rPr>
          <w:rFonts w:eastAsia="Times New Roman" w:cs="Times New Roman"/>
          <w:szCs w:val="24"/>
        </w:rPr>
        <w:t>’</w:t>
      </w:r>
      <w:r w:rsidR="001F0768" w:rsidRPr="00EC3542">
        <w:rPr>
          <w:rFonts w:eastAsia="Times New Roman" w:cs="Times New Roman"/>
          <w:szCs w:val="24"/>
        </w:rPr>
        <w:t>s testimony”</w:t>
      </w:r>
      <w:r w:rsidR="009E7ECB" w:rsidRPr="00EC3542">
        <w:rPr>
          <w:rFonts w:eastAsia="Times New Roman" w:cs="Times New Roman"/>
          <w:szCs w:val="24"/>
        </w:rPr>
        <w:t xml:space="preserve">]; </w:t>
      </w:r>
      <w:r w:rsidR="009E7ECB" w:rsidRPr="00EC3542">
        <w:rPr>
          <w:rFonts w:eastAsia="Times New Roman" w:cs="Times New Roman"/>
          <w:i/>
          <w:iCs/>
          <w:szCs w:val="24"/>
        </w:rPr>
        <w:t>s</w:t>
      </w:r>
      <w:r w:rsidR="001F0768" w:rsidRPr="00EC3542">
        <w:rPr>
          <w:rFonts w:eastAsia="Times New Roman" w:cs="Times New Roman"/>
          <w:i/>
          <w:iCs/>
          <w:szCs w:val="24"/>
        </w:rPr>
        <w:t>ee</w:t>
      </w:r>
      <w:r w:rsidR="001F0768" w:rsidRPr="00EC3542">
        <w:rPr>
          <w:rFonts w:eastAsia="Times New Roman" w:cs="Times New Roman"/>
          <w:szCs w:val="24"/>
        </w:rPr>
        <w:t xml:space="preserve"> </w:t>
      </w:r>
      <w:r w:rsidR="001F0768" w:rsidRPr="00EC3542">
        <w:rPr>
          <w:rFonts w:eastAsia="Times New Roman" w:cs="Times New Roman"/>
          <w:i/>
          <w:iCs/>
          <w:szCs w:val="24"/>
        </w:rPr>
        <w:t>People v Spicola</w:t>
      </w:r>
      <w:r w:rsidR="001F0768" w:rsidRPr="00EC3542">
        <w:rPr>
          <w:rFonts w:eastAsia="Times New Roman" w:cs="Times New Roman"/>
          <w:szCs w:val="24"/>
        </w:rPr>
        <w:t xml:space="preserve">, 16 NY3d 441, 466 [2011] [in explaining that the expert on </w:t>
      </w:r>
      <w:r w:rsidR="001F0768" w:rsidRPr="00EC3542">
        <w:rPr>
          <w:rFonts w:cs="Times New Roman"/>
          <w:szCs w:val="24"/>
        </w:rPr>
        <w:t>Child Sexual Abuse Accommodation Syndrome did not impermissibly bolster the child’s credibility, the Court stated that “</w:t>
      </w:r>
      <w:r w:rsidR="001F0768" w:rsidRPr="00EC3542">
        <w:rPr>
          <w:rFonts w:eastAsia="Times New Roman" w:cs="Times New Roman"/>
          <w:szCs w:val="24"/>
        </w:rPr>
        <w:t>the expert</w:t>
      </w:r>
      <w:r w:rsidR="00CC1190" w:rsidRPr="00EC3542">
        <w:rPr>
          <w:rFonts w:eastAsia="Times New Roman" w:cs="Times New Roman"/>
          <w:szCs w:val="24"/>
        </w:rPr>
        <w:t>’</w:t>
      </w:r>
      <w:r w:rsidR="001F0768" w:rsidRPr="00EC3542">
        <w:rPr>
          <w:rFonts w:eastAsia="Times New Roman" w:cs="Times New Roman"/>
          <w:szCs w:val="24"/>
        </w:rPr>
        <w:t>s testimony certainly supported the boy</w:t>
      </w:r>
      <w:r w:rsidR="00F37FAD" w:rsidRPr="00EC3542">
        <w:rPr>
          <w:rFonts w:eastAsia="Times New Roman" w:cs="Times New Roman"/>
          <w:szCs w:val="24"/>
        </w:rPr>
        <w:t>’</w:t>
      </w:r>
      <w:r w:rsidR="001F0768" w:rsidRPr="00EC3542">
        <w:rPr>
          <w:rFonts w:eastAsia="Times New Roman" w:cs="Times New Roman"/>
          <w:szCs w:val="24"/>
        </w:rPr>
        <w:t>s credibility by supplying explanations other than fabrication for his post-molestation behavior. It was offered, after all, for purposes of just such rehabilitation. But . . . the expert did not express an opinion on the boy</w:t>
      </w:r>
      <w:r w:rsidR="00024468" w:rsidRPr="00EC3542">
        <w:rPr>
          <w:rFonts w:eastAsia="Times New Roman" w:cs="Times New Roman"/>
          <w:szCs w:val="24"/>
        </w:rPr>
        <w:t>’</w:t>
      </w:r>
      <w:r w:rsidR="001F0768" w:rsidRPr="00EC3542">
        <w:rPr>
          <w:rFonts w:eastAsia="Times New Roman" w:cs="Times New Roman"/>
          <w:szCs w:val="24"/>
        </w:rPr>
        <w:t xml:space="preserve">s credibility”]; </w:t>
      </w:r>
      <w:r w:rsidR="001F0768" w:rsidRPr="00EC3542">
        <w:rPr>
          <w:rFonts w:eastAsia="Times New Roman" w:cs="Times New Roman"/>
          <w:i/>
          <w:iCs/>
          <w:szCs w:val="24"/>
        </w:rPr>
        <w:t>People v Kukon</w:t>
      </w:r>
      <w:r w:rsidR="001F0768" w:rsidRPr="00EC3542">
        <w:rPr>
          <w:rFonts w:eastAsia="Times New Roman" w:cs="Times New Roman"/>
          <w:szCs w:val="24"/>
        </w:rPr>
        <w:t>, 275 AD2d 478, 478-</w:t>
      </w:r>
      <w:r w:rsidR="009E7ECB" w:rsidRPr="00EC3542">
        <w:rPr>
          <w:rFonts w:eastAsia="Times New Roman" w:cs="Times New Roman"/>
          <w:szCs w:val="24"/>
        </w:rPr>
        <w:t>4</w:t>
      </w:r>
      <w:r w:rsidR="001F0768" w:rsidRPr="00EC3542">
        <w:rPr>
          <w:rFonts w:eastAsia="Times New Roman" w:cs="Times New Roman"/>
          <w:szCs w:val="24"/>
        </w:rPr>
        <w:t>79 [3d Dept 2000] [in rejecting a claim that the expert on “child sexual abuse syndrome” “impermissibly bolstered” the credibility of the complainant, the Court stated that the “expert, who testified that she had not met or examined the victim in this case, did not impermissibly suggest that the victim had been sexually abused or that she exhibited signs similar to individuals who have been abused”]</w:t>
      </w:r>
      <w:r w:rsidR="009E7ECB" w:rsidRPr="00EC3542">
        <w:rPr>
          <w:rFonts w:eastAsia="Times New Roman" w:cs="Times New Roman"/>
          <w:szCs w:val="24"/>
        </w:rPr>
        <w:t>)</w:t>
      </w:r>
      <w:r w:rsidR="001F0768" w:rsidRPr="00EC3542">
        <w:rPr>
          <w:rFonts w:eastAsia="Times New Roman" w:cs="Times New Roman"/>
          <w:szCs w:val="24"/>
        </w:rPr>
        <w:t>.</w:t>
      </w:r>
    </w:p>
    <w:p w14:paraId="31FAE8A0" w14:textId="77777777" w:rsidR="005014F6" w:rsidRPr="00EC3542" w:rsidRDefault="005014F6" w:rsidP="00CC1190">
      <w:pPr>
        <w:spacing w:line="240" w:lineRule="auto"/>
        <w:ind w:left="0"/>
        <w:rPr>
          <w:rFonts w:cs="Times New Roman"/>
          <w:szCs w:val="24"/>
        </w:rPr>
      </w:pPr>
    </w:p>
    <w:sectPr w:rsidR="005014F6" w:rsidRPr="00EC3542" w:rsidSect="00AD24C1">
      <w:footerReference w:type="default" r:id="rId8"/>
      <w:endnotePr>
        <w:numFmt w:val="decimal"/>
      </w:endnotePr>
      <w:pgSz w:w="12240" w:h="15840" w:code="1"/>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B2DF" w14:textId="77777777" w:rsidR="00E01746" w:rsidRDefault="00E01746" w:rsidP="00C642C0">
      <w:pPr>
        <w:spacing w:line="240" w:lineRule="auto"/>
      </w:pPr>
      <w:r>
        <w:separator/>
      </w:r>
    </w:p>
  </w:endnote>
  <w:endnote w:type="continuationSeparator" w:id="0">
    <w:p w14:paraId="42E7DBF0" w14:textId="77777777" w:rsidR="00E01746" w:rsidRDefault="00E01746" w:rsidP="00C642C0">
      <w:pPr>
        <w:spacing w:line="240" w:lineRule="auto"/>
      </w:pPr>
      <w:r>
        <w:continuationSeparator/>
      </w:r>
    </w:p>
  </w:endnote>
  <w:endnote w:id="1">
    <w:p w14:paraId="5DBDA01B" w14:textId="1B1D3102" w:rsidR="004C22B0" w:rsidRPr="00D91D26" w:rsidRDefault="004C22B0" w:rsidP="008A5503">
      <w:pPr>
        <w:pStyle w:val="EndnoteText"/>
        <w:jc w:val="both"/>
        <w:rPr>
          <w:sz w:val="24"/>
          <w:szCs w:val="24"/>
        </w:rPr>
      </w:pPr>
      <w:r w:rsidRPr="00D91D26">
        <w:rPr>
          <w:rStyle w:val="EndnoteReference"/>
          <w:sz w:val="24"/>
          <w:szCs w:val="24"/>
        </w:rPr>
        <w:endnoteRef/>
      </w:r>
      <w:r w:rsidRPr="00D91D26">
        <w:rPr>
          <w:sz w:val="24"/>
          <w:szCs w:val="24"/>
        </w:rPr>
        <w:t xml:space="preserve"> </w:t>
      </w:r>
      <w:r w:rsidR="008A5503" w:rsidRPr="00D91D26">
        <w:rPr>
          <w:sz w:val="24"/>
          <w:szCs w:val="24"/>
        </w:rPr>
        <w:t xml:space="preserve">In December 2021, this rule was revised to add </w:t>
      </w:r>
      <w:r w:rsidR="00B74EA9" w:rsidRPr="00D91D26">
        <w:rPr>
          <w:sz w:val="24"/>
          <w:szCs w:val="24"/>
        </w:rPr>
        <w:t xml:space="preserve">to subdivision </w:t>
      </w:r>
      <w:r w:rsidR="003708C2" w:rsidRPr="00D91D26">
        <w:rPr>
          <w:sz w:val="24"/>
          <w:szCs w:val="24"/>
        </w:rPr>
        <w:t>(</w:t>
      </w:r>
      <w:r w:rsidR="00B74EA9" w:rsidRPr="00D91D26">
        <w:rPr>
          <w:sz w:val="24"/>
          <w:szCs w:val="24"/>
        </w:rPr>
        <w:t>2</w:t>
      </w:r>
      <w:r w:rsidR="003708C2" w:rsidRPr="00D91D26">
        <w:rPr>
          <w:sz w:val="24"/>
          <w:szCs w:val="24"/>
        </w:rPr>
        <w:t xml:space="preserve">) </w:t>
      </w:r>
      <w:r w:rsidR="008A5503" w:rsidRPr="00D91D26">
        <w:rPr>
          <w:sz w:val="24"/>
          <w:szCs w:val="24"/>
        </w:rPr>
        <w:t>the phrase “on meeting the criteria of Guide to N</w:t>
      </w:r>
      <w:r w:rsidR="003708C2" w:rsidRPr="00D91D26">
        <w:rPr>
          <w:sz w:val="24"/>
          <w:szCs w:val="24"/>
        </w:rPr>
        <w:t xml:space="preserve">ew </w:t>
      </w:r>
      <w:r w:rsidR="008A5503" w:rsidRPr="00D91D26">
        <w:rPr>
          <w:sz w:val="24"/>
          <w:szCs w:val="24"/>
        </w:rPr>
        <w:t>Y</w:t>
      </w:r>
      <w:r w:rsidR="003708C2" w:rsidRPr="00D91D26">
        <w:rPr>
          <w:sz w:val="24"/>
          <w:szCs w:val="24"/>
        </w:rPr>
        <w:t>ork</w:t>
      </w:r>
      <w:r w:rsidR="008A5503" w:rsidRPr="00D91D26">
        <w:rPr>
          <w:sz w:val="24"/>
          <w:szCs w:val="24"/>
        </w:rPr>
        <w:t xml:space="preserve"> Evidence rule 7.01.”</w:t>
      </w:r>
      <w:r w:rsidR="00B900F2">
        <w:rPr>
          <w:sz w:val="24"/>
          <w:szCs w:val="24"/>
        </w:rPr>
        <w:t xml:space="preserve">  </w:t>
      </w:r>
      <w:r w:rsidR="00213891">
        <w:rPr>
          <w:sz w:val="24"/>
          <w:szCs w:val="24"/>
        </w:rPr>
        <w:t>The rule was also renumbered from 7.05 to 7.10.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49816"/>
      <w:docPartObj>
        <w:docPartGallery w:val="Page Numbers (Bottom of Page)"/>
        <w:docPartUnique/>
      </w:docPartObj>
    </w:sdtPr>
    <w:sdtEndPr>
      <w:rPr>
        <w:noProof/>
      </w:rPr>
    </w:sdtEndPr>
    <w:sdtContent>
      <w:p w14:paraId="37494DE7" w14:textId="7E33EE45" w:rsidR="00C642C0" w:rsidRDefault="00C642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A22A" w14:textId="77777777" w:rsidR="00E01746" w:rsidRDefault="00E01746" w:rsidP="00C642C0">
      <w:pPr>
        <w:spacing w:line="240" w:lineRule="auto"/>
      </w:pPr>
      <w:r>
        <w:separator/>
      </w:r>
    </w:p>
  </w:footnote>
  <w:footnote w:type="continuationSeparator" w:id="0">
    <w:p w14:paraId="05B07A2B" w14:textId="77777777" w:rsidR="00E01746" w:rsidRDefault="00E01746" w:rsidP="00C642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F0091"/>
    <w:multiLevelType w:val="multilevel"/>
    <w:tmpl w:val="EC5ABE92"/>
    <w:lvl w:ilvl="0">
      <w:start w:val="7"/>
      <w:numFmt w:val="decimal"/>
      <w:lvlText w:val="%1"/>
      <w:lvlJc w:val="left"/>
      <w:pPr>
        <w:ind w:left="525" w:hanging="525"/>
      </w:pPr>
      <w:rPr>
        <w:rFonts w:hint="default"/>
      </w:rPr>
    </w:lvl>
    <w:lvl w:ilvl="1">
      <w:start w:val="5"/>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6EE0169"/>
    <w:multiLevelType w:val="hybridMultilevel"/>
    <w:tmpl w:val="A75CFB94"/>
    <w:lvl w:ilvl="0" w:tplc="414A11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D864FB"/>
    <w:multiLevelType w:val="hybridMultilevel"/>
    <w:tmpl w:val="EB0CC2FE"/>
    <w:lvl w:ilvl="0" w:tplc="48AEA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68"/>
    <w:rsid w:val="0000460E"/>
    <w:rsid w:val="00024468"/>
    <w:rsid w:val="00061D7C"/>
    <w:rsid w:val="00083473"/>
    <w:rsid w:val="000B7F44"/>
    <w:rsid w:val="001231AA"/>
    <w:rsid w:val="00145D5E"/>
    <w:rsid w:val="00173E6F"/>
    <w:rsid w:val="001C1A46"/>
    <w:rsid w:val="001F0768"/>
    <w:rsid w:val="00213891"/>
    <w:rsid w:val="002901AF"/>
    <w:rsid w:val="003045A2"/>
    <w:rsid w:val="00356112"/>
    <w:rsid w:val="003708C2"/>
    <w:rsid w:val="00377DB0"/>
    <w:rsid w:val="003D5BC3"/>
    <w:rsid w:val="003E701F"/>
    <w:rsid w:val="00410635"/>
    <w:rsid w:val="004C22B0"/>
    <w:rsid w:val="005014F6"/>
    <w:rsid w:val="00506C9B"/>
    <w:rsid w:val="00512978"/>
    <w:rsid w:val="005167DB"/>
    <w:rsid w:val="00594533"/>
    <w:rsid w:val="005E156B"/>
    <w:rsid w:val="00626CC3"/>
    <w:rsid w:val="00637677"/>
    <w:rsid w:val="00676F92"/>
    <w:rsid w:val="006A5F9A"/>
    <w:rsid w:val="006D3DD1"/>
    <w:rsid w:val="00723FF4"/>
    <w:rsid w:val="00726FB2"/>
    <w:rsid w:val="007A7BDD"/>
    <w:rsid w:val="008076DD"/>
    <w:rsid w:val="008A5503"/>
    <w:rsid w:val="00940BE0"/>
    <w:rsid w:val="009E7ECB"/>
    <w:rsid w:val="00A413B3"/>
    <w:rsid w:val="00AC3CFB"/>
    <w:rsid w:val="00AD24C1"/>
    <w:rsid w:val="00B10303"/>
    <w:rsid w:val="00B113BC"/>
    <w:rsid w:val="00B74EA9"/>
    <w:rsid w:val="00B900F2"/>
    <w:rsid w:val="00BA4FFD"/>
    <w:rsid w:val="00BE74FF"/>
    <w:rsid w:val="00C25890"/>
    <w:rsid w:val="00C642C0"/>
    <w:rsid w:val="00C742E3"/>
    <w:rsid w:val="00C93289"/>
    <w:rsid w:val="00CB443A"/>
    <w:rsid w:val="00CC1190"/>
    <w:rsid w:val="00CC677A"/>
    <w:rsid w:val="00CF2F0D"/>
    <w:rsid w:val="00D3562E"/>
    <w:rsid w:val="00D40AE8"/>
    <w:rsid w:val="00D8689E"/>
    <w:rsid w:val="00D91D26"/>
    <w:rsid w:val="00DA2D78"/>
    <w:rsid w:val="00DA7CC0"/>
    <w:rsid w:val="00DE1E2B"/>
    <w:rsid w:val="00E01746"/>
    <w:rsid w:val="00E06B90"/>
    <w:rsid w:val="00E52D77"/>
    <w:rsid w:val="00E55EFC"/>
    <w:rsid w:val="00EB414C"/>
    <w:rsid w:val="00EC3542"/>
    <w:rsid w:val="00F37FAD"/>
    <w:rsid w:val="00F8315F"/>
    <w:rsid w:val="00FC6B6D"/>
    <w:rsid w:val="00FD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AEB0"/>
  <w15:chartTrackingRefBased/>
  <w15:docId w15:val="{77FA544E-5235-4EE3-9AC6-1AAEF79E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68"/>
    <w:pPr>
      <w:spacing w:line="276" w:lineRule="auto"/>
      <w:ind w:left="1152" w:right="115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68"/>
    <w:pPr>
      <w:contextualSpacing/>
    </w:pPr>
  </w:style>
  <w:style w:type="character" w:styleId="CommentReference">
    <w:name w:val="annotation reference"/>
    <w:basedOn w:val="DefaultParagraphFont"/>
    <w:uiPriority w:val="99"/>
    <w:semiHidden/>
    <w:unhideWhenUsed/>
    <w:rsid w:val="00FC6B6D"/>
    <w:rPr>
      <w:sz w:val="16"/>
      <w:szCs w:val="16"/>
    </w:rPr>
  </w:style>
  <w:style w:type="paragraph" w:styleId="CommentText">
    <w:name w:val="annotation text"/>
    <w:basedOn w:val="Normal"/>
    <w:link w:val="CommentTextChar"/>
    <w:uiPriority w:val="99"/>
    <w:semiHidden/>
    <w:unhideWhenUsed/>
    <w:rsid w:val="00FC6B6D"/>
    <w:pPr>
      <w:spacing w:line="240" w:lineRule="auto"/>
    </w:pPr>
    <w:rPr>
      <w:sz w:val="20"/>
      <w:szCs w:val="20"/>
    </w:rPr>
  </w:style>
  <w:style w:type="character" w:customStyle="1" w:styleId="CommentTextChar">
    <w:name w:val="Comment Text Char"/>
    <w:basedOn w:val="DefaultParagraphFont"/>
    <w:link w:val="CommentText"/>
    <w:uiPriority w:val="99"/>
    <w:semiHidden/>
    <w:rsid w:val="00FC6B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6B6D"/>
    <w:rPr>
      <w:b/>
      <w:bCs/>
    </w:rPr>
  </w:style>
  <w:style w:type="character" w:customStyle="1" w:styleId="CommentSubjectChar">
    <w:name w:val="Comment Subject Char"/>
    <w:basedOn w:val="CommentTextChar"/>
    <w:link w:val="CommentSubject"/>
    <w:uiPriority w:val="99"/>
    <w:semiHidden/>
    <w:rsid w:val="00FC6B6D"/>
    <w:rPr>
      <w:rFonts w:ascii="Times New Roman" w:hAnsi="Times New Roman"/>
      <w:b/>
      <w:bCs/>
      <w:sz w:val="20"/>
      <w:szCs w:val="20"/>
    </w:rPr>
  </w:style>
  <w:style w:type="paragraph" w:styleId="BalloonText">
    <w:name w:val="Balloon Text"/>
    <w:basedOn w:val="Normal"/>
    <w:link w:val="BalloonTextChar"/>
    <w:uiPriority w:val="99"/>
    <w:semiHidden/>
    <w:unhideWhenUsed/>
    <w:rsid w:val="00FC6B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6D"/>
    <w:rPr>
      <w:rFonts w:ascii="Segoe UI" w:hAnsi="Segoe UI" w:cs="Segoe UI"/>
      <w:sz w:val="18"/>
      <w:szCs w:val="18"/>
    </w:rPr>
  </w:style>
  <w:style w:type="paragraph" w:styleId="Header">
    <w:name w:val="header"/>
    <w:basedOn w:val="Normal"/>
    <w:link w:val="HeaderChar"/>
    <w:uiPriority w:val="99"/>
    <w:unhideWhenUsed/>
    <w:rsid w:val="00C642C0"/>
    <w:pPr>
      <w:tabs>
        <w:tab w:val="center" w:pos="4680"/>
        <w:tab w:val="right" w:pos="9360"/>
      </w:tabs>
      <w:spacing w:line="240" w:lineRule="auto"/>
    </w:pPr>
  </w:style>
  <w:style w:type="character" w:customStyle="1" w:styleId="HeaderChar">
    <w:name w:val="Header Char"/>
    <w:basedOn w:val="DefaultParagraphFont"/>
    <w:link w:val="Header"/>
    <w:uiPriority w:val="99"/>
    <w:rsid w:val="00C642C0"/>
    <w:rPr>
      <w:rFonts w:ascii="Times New Roman" w:hAnsi="Times New Roman"/>
      <w:sz w:val="24"/>
    </w:rPr>
  </w:style>
  <w:style w:type="paragraph" w:styleId="Footer">
    <w:name w:val="footer"/>
    <w:basedOn w:val="Normal"/>
    <w:link w:val="FooterChar"/>
    <w:uiPriority w:val="99"/>
    <w:unhideWhenUsed/>
    <w:rsid w:val="00C642C0"/>
    <w:pPr>
      <w:tabs>
        <w:tab w:val="center" w:pos="4680"/>
        <w:tab w:val="right" w:pos="9360"/>
      </w:tabs>
      <w:spacing w:line="240" w:lineRule="auto"/>
    </w:pPr>
  </w:style>
  <w:style w:type="character" w:customStyle="1" w:styleId="FooterChar">
    <w:name w:val="Footer Char"/>
    <w:basedOn w:val="DefaultParagraphFont"/>
    <w:link w:val="Footer"/>
    <w:uiPriority w:val="99"/>
    <w:rsid w:val="00C642C0"/>
    <w:rPr>
      <w:rFonts w:ascii="Times New Roman" w:hAnsi="Times New Roman"/>
      <w:sz w:val="24"/>
    </w:rPr>
  </w:style>
  <w:style w:type="paragraph" w:styleId="EndnoteText">
    <w:name w:val="endnote text"/>
    <w:basedOn w:val="Normal"/>
    <w:link w:val="EndnoteTextChar"/>
    <w:uiPriority w:val="99"/>
    <w:semiHidden/>
    <w:unhideWhenUsed/>
    <w:rsid w:val="00D8689E"/>
    <w:pPr>
      <w:spacing w:line="240" w:lineRule="auto"/>
    </w:pPr>
    <w:rPr>
      <w:sz w:val="20"/>
      <w:szCs w:val="20"/>
    </w:rPr>
  </w:style>
  <w:style w:type="character" w:customStyle="1" w:styleId="EndnoteTextChar">
    <w:name w:val="Endnote Text Char"/>
    <w:basedOn w:val="DefaultParagraphFont"/>
    <w:link w:val="EndnoteText"/>
    <w:uiPriority w:val="99"/>
    <w:semiHidden/>
    <w:rsid w:val="00D8689E"/>
    <w:rPr>
      <w:rFonts w:ascii="Times New Roman" w:hAnsi="Times New Roman"/>
      <w:sz w:val="20"/>
      <w:szCs w:val="20"/>
    </w:rPr>
  </w:style>
  <w:style w:type="character" w:styleId="EndnoteReference">
    <w:name w:val="endnote reference"/>
    <w:basedOn w:val="DefaultParagraphFont"/>
    <w:uiPriority w:val="99"/>
    <w:semiHidden/>
    <w:unhideWhenUsed/>
    <w:rsid w:val="00D86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EE6C-9587-4792-ACAD-2F95810E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33</cp:revision>
  <cp:lastPrinted>2021-05-18T13:48:00Z</cp:lastPrinted>
  <dcterms:created xsi:type="dcterms:W3CDTF">2021-09-28T19:58:00Z</dcterms:created>
  <dcterms:modified xsi:type="dcterms:W3CDTF">2021-12-03T02:54:00Z</dcterms:modified>
</cp:coreProperties>
</file>